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Times New Roman" w:hAnsi="Times New Roman" w:eastAsia="方正仿宋_GBK" w:cs="Times New Roman"/>
          <w:sz w:val="32"/>
          <w:szCs w:val="32"/>
        </w:rPr>
      </w:pPr>
      <w:bookmarkStart w:id="26" w:name="_GoBack"/>
      <w:bookmarkEnd w:id="26"/>
    </w:p>
    <w:p>
      <w:pPr>
        <w:spacing w:line="594" w:lineRule="exact"/>
        <w:jc w:val="center"/>
        <w:rPr>
          <w:rFonts w:ascii="Times New Roman" w:hAnsi="Times New Roman" w:eastAsia="方正小标宋_GBK" w:cs="Times New Roman"/>
          <w:sz w:val="44"/>
          <w:szCs w:val="44"/>
        </w:rPr>
      </w:pPr>
      <w:bookmarkStart w:id="0" w:name="_Toc313893526"/>
      <w:bookmarkStart w:id="1" w:name="_Toc12808"/>
      <w:bookmarkStart w:id="2" w:name="_Toc18881"/>
      <w:bookmarkStart w:id="3" w:name="_Toc25458"/>
      <w:bookmarkStart w:id="4" w:name="_Toc3463"/>
      <w:bookmarkStart w:id="5" w:name="_Toc7625"/>
      <w:bookmarkStart w:id="6" w:name="_Toc18159"/>
      <w:bookmarkStart w:id="7" w:name="_Toc26820"/>
      <w:bookmarkStart w:id="8" w:name="_Toc317775175"/>
      <w:r>
        <w:rPr>
          <w:rFonts w:ascii="Times New Roman" w:hAnsi="Times New Roman" w:eastAsia="方正小标宋_GBK" w:cs="Times New Roman"/>
          <w:sz w:val="44"/>
          <w:szCs w:val="44"/>
        </w:rPr>
        <w:t>重庆经开区嘉誉实业发展有限公司</w:t>
      </w:r>
    </w:p>
    <w:p>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西计标准</w:t>
      </w:r>
      <w:r>
        <w:rPr>
          <w:rFonts w:ascii="Times New Roman" w:hAnsi="Times New Roman" w:eastAsia="方正小标宋_GBK" w:cs="Times New Roman"/>
          <w:sz w:val="44"/>
          <w:szCs w:val="44"/>
        </w:rPr>
        <w:t>厂房</w:t>
      </w:r>
      <w:r>
        <w:rPr>
          <w:rFonts w:hint="eastAsia" w:ascii="方正小标宋_GBK" w:hAnsi="Times New Roman" w:eastAsia="方正小标宋_GBK"/>
          <w:bCs/>
          <w:snapToGrid w:val="0"/>
          <w:kern w:val="0"/>
          <w:sz w:val="44"/>
          <w:szCs w:val="44"/>
        </w:rPr>
        <w:t>配电室设施设备维修整改及保养</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采购文件</w:t>
      </w:r>
    </w:p>
    <w:p>
      <w:pPr>
        <w:spacing w:line="594" w:lineRule="exact"/>
        <w:ind w:firstLine="640" w:firstLineChars="200"/>
        <w:jc w:val="left"/>
        <w:rPr>
          <w:rFonts w:ascii="Times New Roman" w:hAnsi="Times New Roman" w:eastAsia="方正仿宋_GBK" w:cs="Times New Roman"/>
          <w:sz w:val="32"/>
          <w:szCs w:val="32"/>
        </w:rPr>
      </w:pPr>
    </w:p>
    <w:p>
      <w:pPr>
        <w:spacing w:line="595" w:lineRule="exact"/>
        <w:ind w:firstLine="64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一、竞争性磋商内容</w:t>
      </w:r>
      <w:bookmarkEnd w:id="0"/>
      <w:bookmarkEnd w:id="1"/>
      <w:bookmarkEnd w:id="2"/>
      <w:bookmarkEnd w:id="3"/>
      <w:bookmarkEnd w:id="4"/>
      <w:bookmarkEnd w:id="5"/>
      <w:bookmarkEnd w:id="6"/>
      <w:bookmarkEnd w:id="7"/>
      <w:bookmarkEnd w:id="8"/>
    </w:p>
    <w:p>
      <w:pPr>
        <w:spacing w:line="595" w:lineRule="exact"/>
        <w:ind w:firstLine="640"/>
        <w:rPr>
          <w:rFonts w:ascii="Times New Roman" w:hAnsi="Times New Roman" w:cs="Times New Roman"/>
        </w:rPr>
      </w:pP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2671"/>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539" w:type="dxa"/>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项目名称</w:t>
            </w:r>
          </w:p>
        </w:tc>
        <w:tc>
          <w:tcPr>
            <w:tcW w:w="2671" w:type="dxa"/>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采购预算</w:t>
            </w:r>
          </w:p>
          <w:p>
            <w:pPr>
              <w:spacing w:line="595" w:lineRule="exact"/>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（元）</w:t>
            </w:r>
          </w:p>
        </w:tc>
        <w:tc>
          <w:tcPr>
            <w:tcW w:w="1865" w:type="dxa"/>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pacing w:line="595" w:lineRule="exact"/>
              <w:jc w:val="center"/>
              <w:rPr>
                <w:rFonts w:ascii="Times New Roman" w:hAnsi="Times New Roman" w:eastAsia="方正仿宋_GBK" w:cs="Times New Roman"/>
                <w:sz w:val="32"/>
                <w:szCs w:val="32"/>
              </w:rPr>
            </w:pPr>
            <w:bookmarkStart w:id="9" w:name="_Hlk344477914"/>
            <w:r>
              <w:rPr>
                <w:rFonts w:hint="eastAsia" w:ascii="Times New Roman" w:hAnsi="Times New Roman" w:eastAsia="方正仿宋_GBK" w:cs="Times New Roman"/>
                <w:sz w:val="32"/>
                <w:szCs w:val="32"/>
              </w:rPr>
              <w:t>西计标准厂房配电室设施设备维修整改</w:t>
            </w:r>
          </w:p>
        </w:tc>
        <w:tc>
          <w:tcPr>
            <w:tcW w:w="2671" w:type="dxa"/>
            <w:tcBorders>
              <w:top w:val="single" w:color="auto" w:sz="4" w:space="0"/>
              <w:left w:val="single" w:color="auto" w:sz="4" w:space="0"/>
              <w:bottom w:val="single" w:color="auto" w:sz="4" w:space="0"/>
              <w:right w:val="single" w:color="auto" w:sz="4" w:space="0"/>
            </w:tcBorders>
            <w:vAlign w:val="center"/>
          </w:tcPr>
          <w:p>
            <w:pPr>
              <w:spacing w:line="595"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65000元</w:t>
            </w:r>
          </w:p>
        </w:tc>
        <w:tc>
          <w:tcPr>
            <w:tcW w:w="1865" w:type="dxa"/>
            <w:vMerge w:val="restart"/>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包干含税价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3539" w:type="dxa"/>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西计标准厂房配电室设施设备年度保养</w:t>
            </w:r>
          </w:p>
        </w:tc>
        <w:tc>
          <w:tcPr>
            <w:tcW w:w="2671" w:type="dxa"/>
            <w:tcBorders>
              <w:top w:val="single" w:color="auto" w:sz="4" w:space="0"/>
              <w:left w:val="single" w:color="auto" w:sz="4" w:space="0"/>
              <w:right w:val="single" w:color="auto" w:sz="4" w:space="0"/>
            </w:tcBorders>
            <w:vAlign w:val="center"/>
          </w:tcPr>
          <w:p>
            <w:pPr>
              <w:spacing w:line="595"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0000</w:t>
            </w:r>
            <w:r>
              <w:rPr>
                <w:rFonts w:hint="eastAsia" w:ascii="Times New Roman" w:hAnsi="Times New Roman" w:eastAsia="方正仿宋_GBK" w:cs="Times New Roman"/>
                <w:sz w:val="32"/>
                <w:szCs w:val="32"/>
              </w:rPr>
              <w:t>元</w:t>
            </w:r>
          </w:p>
        </w:tc>
        <w:tc>
          <w:tcPr>
            <w:tcW w:w="1865" w:type="dxa"/>
            <w:vMerge w:val="continue"/>
            <w:tcBorders>
              <w:left w:val="single" w:color="auto" w:sz="4" w:space="0"/>
              <w:right w:val="single" w:color="auto" w:sz="4" w:space="0"/>
            </w:tcBorders>
            <w:vAlign w:val="center"/>
          </w:tcPr>
          <w:p>
            <w:pPr>
              <w:spacing w:line="595" w:lineRule="exact"/>
              <w:jc w:val="center"/>
              <w:rPr>
                <w:rFonts w:ascii="Times New Roman" w:hAnsi="Times New Roman" w:eastAsia="方正仿宋_GBK" w:cs="Times New Roman"/>
                <w:b/>
                <w:sz w:val="32"/>
                <w:szCs w:val="32"/>
              </w:rPr>
            </w:pPr>
          </w:p>
        </w:tc>
      </w:tr>
      <w:bookmarkEnd w:id="9"/>
    </w:tbl>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1.报价原则：本采购工程由供应商以磋商文件、合同条件、国家技术和经济规范及标准、地方行业规范标准为依据，由供应商结合自身实力、市场行情自主合理报价。磋商报价为包干含税价，应包括但不限于完成采购范围内工程项目的人工费、材料费、施工机具使用费、企业管理费、利润、规费、税金、风险费用、政策性文件规定的所有费用。因成交供应商自身原因造成漏报、少报皆由其自行承担。</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 应由成交供应商交纳的各种保险费由供应商自行投保，保险费由成交供应商承担并支付，并根据企业自身和本工程情况，测算包含在本次报价中。</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二、资格条件</w:t>
      </w:r>
    </w:p>
    <w:p>
      <w:pPr>
        <w:spacing w:line="595"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（一）基本资格条件</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1.具有独立承担民事责任的能力；</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2.具有良好的商业信誉和健全的财务会计制度；</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3.具有履行合同所必需的设备和专业技术能力；</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4.有依法缴纳税收和社会保障资金的良好记录；</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5.参加政府采购活动近三年内，在经营活动中没有重大违法记录</w:t>
      </w:r>
      <w:r>
        <w:rPr>
          <w:rFonts w:hint="eastAsia" w:ascii="Times New Roman" w:hAnsi="Times New Roman" w:eastAsia="方正仿宋_GBK" w:cs="Times New Roman"/>
          <w:sz w:val="32"/>
          <w:szCs w:val="32"/>
        </w:rPr>
        <w:t>；</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6.法律、行政法规规定的其他条件。</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szCs w:val="32"/>
        </w:rPr>
        <w:t>（二）特定资格条件</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1.具有电力设备销售、电力工程设计、施工、安装及设备运行维护专业的工商营业执照及电力工程施工总承包三级及以上资质（提供证书原件备查、复印件加盖供应商公章）；</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2.具有有效的建设行政主管部门颁发的《安全生产许可证》、《建筑业企业资质证书》（提供证书原件备查、证书复印件加盖供应商公章）。</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注：以上证明材料需提供复印件加盖供应商公章，原件带至磋商现场备查。</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三、采购服务内容</w:t>
      </w:r>
    </w:p>
    <w:p>
      <w:pPr>
        <w:spacing w:line="595" w:lineRule="exact"/>
        <w:ind w:firstLine="640" w:firstLineChars="200"/>
        <w:jc w:val="left"/>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西计标准厂房开闭所、配电室</w:t>
      </w:r>
      <w:r>
        <w:rPr>
          <w:rFonts w:hint="eastAsia" w:ascii="方正仿宋_GBK" w:hAnsi="Times New Roman" w:eastAsia="方正仿宋_GBK"/>
          <w:color w:val="000000"/>
          <w:kern w:val="32"/>
          <w:sz w:val="32"/>
          <w:szCs w:val="32"/>
        </w:rPr>
        <w:t>设施设备包括直流屏、微机保护装置、温控器等设备的更换及维修保养。（详见采购清单及维修保养清单）</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w:t>
      </w:r>
      <w:r>
        <w:rPr>
          <w:rFonts w:hint="eastAsia" w:ascii="Times New Roman" w:hAnsi="Times New Roman" w:eastAsia="方正黑体_GBK" w:cs="Times New Roman"/>
          <w:sz w:val="32"/>
          <w:szCs w:val="32"/>
        </w:rPr>
        <w:t>项目时间、地点要求</w:t>
      </w:r>
      <w:r>
        <w:rPr>
          <w:rFonts w:ascii="Times New Roman" w:hAnsi="Times New Roman" w:eastAsia="方正黑体_GBK" w:cs="Times New Roman"/>
          <w:sz w:val="32"/>
          <w:szCs w:val="32"/>
        </w:rPr>
        <w:tab/>
      </w:r>
      <w:r>
        <w:rPr>
          <w:rFonts w:hint="eastAsia" w:ascii="Times New Roman" w:hAnsi="Times New Roman" w:eastAsia="方正黑体_GBK" w:cs="Times New Roman"/>
          <w:sz w:val="32"/>
          <w:szCs w:val="32"/>
        </w:rPr>
        <w:t>、验收方式、质量保证及售后服务</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实施时间：</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采购合同签订之日起</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个日历日内完成电力设施设备更换正常运行并通过采购人验收。</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实施地点：采购人指定地点（</w:t>
      </w:r>
      <w:r>
        <w:rPr>
          <w:rFonts w:ascii="Times New Roman" w:hAnsi="Times New Roman" w:eastAsia="方正仿宋_GBK" w:cs="Times New Roman"/>
          <w:sz w:val="32"/>
          <w:szCs w:val="32"/>
        </w:rPr>
        <w:t>重庆市南岸区</w:t>
      </w:r>
      <w:r>
        <w:rPr>
          <w:rFonts w:hint="eastAsia" w:ascii="Times New Roman" w:hAnsi="Times New Roman" w:eastAsia="方正仿宋_GBK" w:cs="Times New Roman"/>
          <w:sz w:val="32"/>
          <w:szCs w:val="32"/>
        </w:rPr>
        <w:t>美家路1号）</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验收方式：</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设备和材料到货后，成交供应商应通知采购人对货物进行验收，货到验收时如与磋商文件不一致，采购人可拒绝收货，由此造成的一切损失，应由成交供应商全部承担。设备和材料验收合格后才能进行施工;</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施工过程应遵照现行国家有关规范的材料和施工要求进行，按照有关要求进行检查验收。成交供应商应保证工程质量，工程用建筑材料须符合国家标准和行业标准；</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工程完工后，按国家相关标准验收程序和规程进行验收，双方签字确认;</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成交供应商未达到采购文件的要求，且对采购人造成损失的，由成交供应商承担一切责任，并赔偿所造成的所有损失；</w:t>
      </w:r>
    </w:p>
    <w:p>
      <w:pPr>
        <w:spacing w:line="595" w:lineRule="exact"/>
        <w:ind w:firstLine="640" w:firstLineChars="200"/>
        <w:jc w:val="left"/>
        <w:rPr>
          <w:rFonts w:ascii="Times New Roman" w:hAnsi="Times New Roman" w:eastAsia="方正仿宋_GBK" w:cs="Times New Roman"/>
          <w:sz w:val="32"/>
          <w:szCs w:val="32"/>
        </w:rPr>
      </w:pPr>
      <w:bookmarkStart w:id="10" w:name="_Hlk79760246"/>
      <w:r>
        <w:rPr>
          <w:rFonts w:ascii="Times New Roman" w:hAnsi="Times New Roman" w:eastAsia="方正仿宋_GBK" w:cs="Times New Roman"/>
          <w:sz w:val="32"/>
          <w:szCs w:val="32"/>
        </w:rPr>
        <w:t>(5)</w:t>
      </w:r>
      <w:bookmarkEnd w:id="10"/>
      <w:r>
        <w:rPr>
          <w:rFonts w:hint="eastAsia" w:ascii="Times New Roman" w:hAnsi="Times New Roman" w:eastAsia="方正仿宋_GBK" w:cs="Times New Roman"/>
          <w:sz w:val="32"/>
          <w:szCs w:val="32"/>
        </w:rPr>
        <w:t>供应商的成品应能达到国家的环保要求，按照建设行业主管部门的要求进行检测，检测合格方能通过验收，如果检测不合格成交供应商除对不合格部分进行整改外还需承担相应检测费用。</w:t>
      </w:r>
    </w:p>
    <w:p>
      <w:pPr>
        <w:spacing w:line="595" w:lineRule="exact"/>
        <w:ind w:firstLine="640" w:firstLineChars="200"/>
        <w:jc w:val="left"/>
        <w:rPr>
          <w:rFonts w:ascii="Times New Roman" w:hAnsi="Times New Roman" w:eastAsia="方正仿宋_GBK" w:cs="Times New Roman"/>
          <w:sz w:val="32"/>
          <w:szCs w:val="32"/>
        </w:rPr>
      </w:pPr>
      <w:bookmarkStart w:id="11" w:name="_Hlk79760208"/>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质量保证及售后服务</w:t>
      </w:r>
      <w:bookmarkEnd w:id="11"/>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产品质量保证期</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电力设备改造工程自验收合格之日起两年质保期。质保期内出现任何质量问题将由成交供应商免费维修，并在2日内处理完成。根据现有场地进行改造更换维修，更换维修后要经常检查，及时维修，发现问题及时处理消除隐患。</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售后服务内容</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①质量保证期内服务要求</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采购人遇到电力设备使用问题，成交供应商应在2小时内采取相应响应措施；无法在2小时内解决的，应在4小时内派出专业人员到达现场进行处理。</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②质保期外服务要求</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质量保证期过后，成交供应商应同样提供免费电话咨询服务，并应承诺提供上门维护服务。质量保证期过后5年内保修，采购方支付相应人工费用，材料费。保修期后，采购人仍需要继续由原成交供应商和制造商提供售后服务的，成交供应商和制造商应以优惠价格提供售后服务。</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五、付款方式</w:t>
      </w:r>
    </w:p>
    <w:p>
      <w:pPr>
        <w:spacing w:line="595" w:lineRule="exact"/>
        <w:ind w:firstLine="640" w:firstLineChars="200"/>
        <w:jc w:val="left"/>
        <w:rPr>
          <w:rFonts w:ascii="Times New Roman" w:hAnsi="Times New Roman" w:eastAsia="方正仿宋_GBK" w:cs="Times New Roman"/>
          <w:sz w:val="32"/>
          <w:szCs w:val="32"/>
        </w:rPr>
      </w:pPr>
      <w:bookmarkStart w:id="12" w:name="_Toc20778"/>
      <w:bookmarkStart w:id="13" w:name="_Toc27955"/>
      <w:bookmarkStart w:id="14" w:name="_Toc11828"/>
      <w:bookmarkStart w:id="15" w:name="_Toc9654"/>
      <w:bookmarkStart w:id="16" w:name="_Toc5085"/>
      <w:bookmarkStart w:id="17" w:name="_Toc3475"/>
      <w:bookmarkStart w:id="18" w:name="_Toc25886"/>
      <w:bookmarkStart w:id="19" w:name="_Toc15478"/>
      <w:bookmarkStart w:id="20" w:name="_Toc25516"/>
      <w:bookmarkStart w:id="21" w:name="_Toc14778"/>
      <w:bookmarkStart w:id="22" w:name="_Toc13969"/>
      <w:bookmarkStart w:id="23" w:name="_Toc9027"/>
      <w:bookmarkStart w:id="24" w:name="_Toc19730"/>
      <w:bookmarkStart w:id="25" w:name="_Toc31315"/>
      <w:r>
        <w:rPr>
          <w:rFonts w:hint="eastAsia" w:ascii="Times New Roman" w:hAnsi="Times New Roman" w:eastAsia="方正仿宋_GBK" w:cs="Times New Roman"/>
          <w:sz w:val="32"/>
          <w:szCs w:val="32"/>
        </w:rPr>
        <w:t>1. 工程竣工经采购方验收合格后，采购方留取施工维修合同（不含维修保养费用）金额的5%作为质保金后，支付合同维修款的9</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%、保养费用按合同每半年进行支付（先保养后付费）；两年后采购方确认无质量问题后一次性支付5%质保金（不计利息）；</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2.支付方式：供应商出具增值税专用发票，采购方采用银行转帐支付至供应商银行账户。</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六、</w:t>
      </w:r>
      <w:r>
        <w:rPr>
          <w:rFonts w:hint="eastAsia" w:ascii="Times New Roman" w:hAnsi="Times New Roman" w:eastAsia="方正黑体_GBK" w:cs="Times New Roman"/>
          <w:sz w:val="32"/>
          <w:szCs w:val="32"/>
        </w:rPr>
        <w:t>现场踏勘</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不统一组织踏勘，请有意向供应商踏勘自行安排并提前给采购人取得联系。无论供应商是否踏勘过现场，均被视为在磋商截止时间之前已踏勘过现场，且对本项目潜在的风险和义务已完全了解，并在其磋商文件中已充分考虑了本项目可能面临的不确定因素可能导致的风险。踏勘现场所发生的费用由供应商自行承担。</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现场踏勘联系人：曹老师，电话</w:t>
      </w:r>
      <w:r>
        <w:rPr>
          <w:rFonts w:ascii="Times New Roman" w:hAnsi="Times New Roman" w:eastAsia="方正仿宋_GBK" w:cs="Times New Roman"/>
          <w:sz w:val="32"/>
          <w:szCs w:val="32"/>
        </w:rPr>
        <w:t>62656225</w:t>
      </w:r>
      <w:r>
        <w:rPr>
          <w:rFonts w:hint="eastAsia" w:ascii="Times New Roman" w:hAnsi="Times New Roman" w:eastAsia="方正仿宋_GBK" w:cs="Times New Roman"/>
          <w:sz w:val="32"/>
          <w:szCs w:val="32"/>
        </w:rPr>
        <w:t>。</w:t>
      </w:r>
    </w:p>
    <w:p>
      <w:pPr>
        <w:spacing w:line="595"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联系方式</w:t>
      </w:r>
      <w:bookmarkEnd w:id="12"/>
      <w:bookmarkEnd w:id="13"/>
      <w:bookmarkEnd w:id="14"/>
      <w:bookmarkEnd w:id="15"/>
      <w:bookmarkEnd w:id="16"/>
      <w:bookmarkEnd w:id="17"/>
      <w:bookmarkEnd w:id="18"/>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采购人：重庆经开区嘉誉实业发展有限公司</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曹老师</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电  话：62656225</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地  址：重庆市南岸区</w:t>
      </w:r>
      <w:r>
        <w:rPr>
          <w:rFonts w:hint="eastAsia" w:ascii="Times New Roman" w:hAnsi="Times New Roman" w:eastAsia="方正仿宋_GBK" w:cs="Times New Roman"/>
          <w:sz w:val="32"/>
          <w:szCs w:val="32"/>
        </w:rPr>
        <w:t>美家路1号</w:t>
      </w:r>
    </w:p>
    <w:p>
      <w:pPr>
        <w:spacing w:line="595"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w:t>
      </w:r>
      <w:bookmarkEnd w:id="19"/>
      <w:bookmarkEnd w:id="20"/>
      <w:bookmarkEnd w:id="21"/>
      <w:bookmarkEnd w:id="22"/>
      <w:bookmarkEnd w:id="23"/>
      <w:bookmarkEnd w:id="24"/>
      <w:bookmarkEnd w:id="25"/>
      <w:r>
        <w:rPr>
          <w:rFonts w:ascii="Times New Roman" w:hAnsi="Times New Roman" w:eastAsia="方正黑体_GBK" w:cs="Times New Roman"/>
          <w:sz w:val="32"/>
          <w:szCs w:val="32"/>
        </w:rPr>
        <w:t>其它有关规定</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rPr>
        <w:t xml:space="preserve"> </w:t>
      </w:r>
      <w:r>
        <w:rPr>
          <w:rFonts w:hint="eastAsia" w:ascii="Times New Roman" w:hAnsi="Times New Roman" w:eastAsia="方正仿宋_GBK" w:cs="Times New Roman"/>
          <w:sz w:val="32"/>
          <w:szCs w:val="32"/>
        </w:rPr>
        <w:t>凡有意参加竞争性磋商的供应商，请于公告发布之日起至报名截止时间之前，下载查看本项目需求文件以及变更公告等竞争性磋商前公布的所有项目资料，无论供应商下载查看与否，均视为已知晓所有竞争性磋商实质性要求内容；超过响应文件截止时间递交的响应文件，恕不接收；</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磋商费用：无论磋商结果如何，供应商参与本项目磋商的所有费用均应由供应商自行承担；</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本项目不接受联合体参与磋商；</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采购；</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本项目成交供应商不允许将本项目工程外包给其他公司，项目安全责任为成交供应商终身制，因不合理设计、使用不符合要求的建筑材料，违章违法施工等因素造成的安全事故由成交供应商承担所有责任；</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货物、工程质量保证：供方提供的货物必须是原厂生产的、全新的、未使用过的正品（包括零部件），并完全符合国家质量标准，附正品说明，合格证。所有产品符合《中华人民共和国产品质量法》、《中华人民共和国计量法》、《中华人民共和国标准化法》要求。符合相关行业管理规定；</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成交供应商承诺到位的专业技术、管理人员应在开工前向采购人提供有关人员上岗证、有关设备合格证年审证等持证上岗，并按磋商承诺及时到位。未经采购人同意，不得调换和撤离施工人员；在合同生效以后，采购人有权要求成交供应商撤换采购人认为其能力与本项目所要求的能力不相称而提出更换的项目负责人或者技术人员；成交供应商单方面更换项目主要负责人或主要技术骨干必须书面报采购人同意后方可进行。否则，采购人有权终止合同，并追究其违约责任；</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项目开工，材料进场前，有关资料要随行，由采购人现场管理人员验收后方能投入安装；</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成交供应商必须文明施工，确保施工安全，若发生安全事故，一切经济损失及法律责任由成交供应商自负；</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成交供应商负责保管、看护进场的施工机组设备、施工用具及施工材料；项目施工所需材料和设备进场利用采购人指定电梯运输；若有无法通过该电梯运输的材料和设备，供应商需和采购人商讨确定合理的解决方案，所产生的费用由供应商自行承担；</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成交供应商施工工人、施工机械或在运输、装卸、施工途中对其他工程及邻近设备、管线、设施（含其他成品）等造成损坏，应由成交供应商负责修复原状及承担一切费用；</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无论施工期间或保修过程中，成交供应商应负责保护环境清洁卫生，及时清理垃圾（垃圾清理费及特管费，包含在报价中）；</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成交供应商承担施工区域内设备和人员的安全责任；</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成交供应商施工不能影响采购人内部的正常办公、生产等，必须按照采购人的要求进行施工，遵守采购人的管理规定。凡是违反采购人规定进行施工，造成影响及损失的，采购人有权对成交供应商进行处罚，并追究其相关法律责任；</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成交供应商应在合同规定时间内完成该项目，若延误工期按500元/天进行处罚。</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6.</w:t>
      </w:r>
      <w:r>
        <w:rPr>
          <w:rFonts w:hint="eastAsia"/>
        </w:rPr>
        <w:t xml:space="preserve"> </w:t>
      </w:r>
      <w:r>
        <w:rPr>
          <w:rFonts w:hint="eastAsia" w:ascii="Times New Roman" w:hAnsi="Times New Roman" w:eastAsia="方正仿宋_GBK" w:cs="Times New Roman"/>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7.</w:t>
      </w:r>
      <w:r>
        <w:rPr>
          <w:rFonts w:hint="eastAsia"/>
        </w:rPr>
        <w:t xml:space="preserve"> </w:t>
      </w:r>
      <w:r>
        <w:rPr>
          <w:rFonts w:hint="eastAsia" w:ascii="Times New Roman" w:hAnsi="Times New Roman" w:eastAsia="方正仿宋_GBK" w:cs="Times New Roman"/>
          <w:sz w:val="32"/>
          <w:szCs w:val="32"/>
          <w:u w:val="single"/>
        </w:rPr>
        <w:t>凡有意参加磋商的供应商，须派了解项目运作的负责人前来谈判，未派项目负责人前来磋商的供应商响应文件作废标处理。</w:t>
      </w:r>
    </w:p>
    <w:p>
      <w:pPr>
        <w:spacing w:line="595" w:lineRule="exact"/>
        <w:ind w:firstLine="640" w:firstLineChars="200"/>
        <w:jc w:val="left"/>
        <w:rPr>
          <w:rFonts w:ascii="Times New Roman" w:hAnsi="Times New Roman" w:eastAsia="方正仿宋_GBK" w:cs="Times New Roman"/>
          <w:b/>
          <w:bCs/>
          <w:sz w:val="32"/>
          <w:szCs w:val="32"/>
        </w:rPr>
      </w:pP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、评选方法</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综合评分法。满分100分，采购人对已报名供应商的响应文件和报价进行评分，得分最高的供应商为成交供应商。</w:t>
      </w:r>
    </w:p>
    <w:p>
      <w:pPr>
        <w:spacing w:line="595"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、其他</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1.供应商必须对以上条款和服务承诺明确列出，承诺内容必须达到要求</w:t>
      </w:r>
      <w:r>
        <w:rPr>
          <w:rFonts w:hint="eastAsia" w:ascii="Times New Roman" w:hAnsi="Times New Roman" w:eastAsia="方正仿宋_GBK" w:cs="Times New Roman"/>
          <w:sz w:val="32"/>
          <w:szCs w:val="32"/>
        </w:rPr>
        <w:t>；</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rPr>
        <w:t xml:space="preserve"> </w:t>
      </w:r>
      <w:r>
        <w:rPr>
          <w:rFonts w:hint="eastAsia" w:ascii="Times New Roman" w:hAnsi="Times New Roman" w:eastAsia="方正仿宋_GBK" w:cs="Times New Roman"/>
          <w:sz w:val="32"/>
          <w:szCs w:val="32"/>
        </w:rPr>
        <w:t>成交供应商要求做好疫情防控工作，提供本单位人员未前往中高风险区及未离渝承诺书（纸质加盖公章）；</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3.其他未尽事宜由供需双方在采购合同中详细约定。</w:t>
      </w:r>
    </w:p>
    <w:p>
      <w:pPr>
        <w:spacing w:line="595"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、供应商提交响应文件</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响应文件</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供应商应当按照采购文件的要求编制响应文件，并对采购文件提出的要求和条件作出实质性响应，</w:t>
      </w:r>
      <w:r>
        <w:rPr>
          <w:rFonts w:hint="eastAsia" w:ascii="Times New Roman" w:hAnsi="Times New Roman" w:eastAsia="方正仿宋_GBK" w:cs="Times New Roman"/>
          <w:sz w:val="32"/>
          <w:szCs w:val="32"/>
          <w:u w:val="single"/>
        </w:rPr>
        <w:t>响应文件原则上采用软面胶装（不得采用穿孔式、文件夹式活页装订）</w:t>
      </w:r>
      <w:r>
        <w:rPr>
          <w:rFonts w:hint="eastAsia" w:ascii="Times New Roman" w:hAnsi="Times New Roman" w:eastAsia="方正仿宋_GBK" w:cs="Times New Roman"/>
          <w:sz w:val="32"/>
          <w:szCs w:val="32"/>
        </w:rPr>
        <w:t>，同时应编制完整的封面、页码、目录。</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响应文件由规定的部分和供应商所作的一切有效补充、修改和承诺等文件组成，供应商应按照规定进行编写和装订，也可在基本格式基础上对表格进行扩展，未规定格式的由供应商自定格式。</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2.联合体</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本项目不接受联合体参与磋商。</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3.磋商有效期：响应文件及有关承诺文件有效期为磋商开始时间起90天。</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修正错误</w:t>
      </w:r>
    </w:p>
    <w:p>
      <w:pPr>
        <w:spacing w:line="595" w:lineRule="exact"/>
        <w:ind w:firstLine="640" w:firstLineChars="200"/>
        <w:jc w:val="left"/>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若供应商所递交的响应文件或最后报价中的价格出现</w:t>
      </w:r>
      <w:r>
        <w:rPr>
          <w:rFonts w:hint="eastAsia" w:ascii="Times New Roman" w:hAnsi="Times New Roman" w:eastAsia="方正仿宋_GBK" w:cs="Times New Roman"/>
          <w:sz w:val="32"/>
          <w:szCs w:val="32"/>
          <w:u w:val="single"/>
        </w:rPr>
        <w:t>大写金额和小写金额不一致的错误，以大写金额修正为准。</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磋商小组按上述修正错误的原则及方法修正供应商的报价，供应商同意并签字确认后，修正后的报价对供应商具有约束作用。如果供应商不接受修正后的价格，将视为无效响应。</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提交响应文件的份数和签署</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响应文件一式两份，其中正本一份，副本一份。在响应文件正本中，采购文件格式中规定签字、盖章的地方必须按其规定签字、盖章。</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若供应商对响应文件的错处作必要修改，则应在修改处加盖供应商公章或由法定代表人或法定代表人授权代表签字确认。</w:t>
      </w: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电报、电话、传真形式的响应文件概不接受。</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响应文件的递交</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响应文件的正本、副本均应密封送达磋商地点，应在封套上注明磋商项目名称、供应商名称。若正本、副本分别进行密封的，还应在封套上注明“正本”、“副本”、字样。封套的封口处应加盖供应商公章或由法定代表人授权代表签字。如果未按上述规定进行密封和标记，采购人对响应文件误投、丢失或提前拆封不负责任。</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供应商参与人员</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各供应商应当派1-2名代表参与磋商，至少1人应为法定代表人或具有法定代表人授权委托书的项目负责人。</w:t>
      </w:r>
    </w:p>
    <w:p>
      <w:pPr>
        <w:spacing w:line="595" w:lineRule="exact"/>
        <w:ind w:firstLine="643" w:firstLineChars="200"/>
        <w:jc w:val="left"/>
        <w:rPr>
          <w:rFonts w:ascii="Times New Roman" w:hAnsi="Times New Roman" w:eastAsia="方正黑体_GBK" w:cs="Times New Roman"/>
          <w:sz w:val="32"/>
          <w:szCs w:val="32"/>
        </w:rPr>
      </w:pPr>
      <w:r>
        <w:rPr>
          <w:rFonts w:ascii="Times New Roman" w:hAnsi="Times New Roman" w:eastAsia="方正黑体_GBK" w:cs="Times New Roman"/>
          <w:b/>
          <w:bCs/>
          <w:sz w:val="32"/>
          <w:szCs w:val="32"/>
        </w:rPr>
        <w:t>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、竞争性磋商相关事宜</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1.时间：202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日北京时间下午</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点</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0分（详见采购公告）；</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2.地点：重庆市南岸区茶园新区通江大道江桥路1号13楼；</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3.已报名供应商未在规定的时间参与线下竞争性磋商的，作废标处理；参加竞争性磋商的供应商需派项目负责人前来；</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4.采购人以抽签的形式确定评分顺序；</w:t>
      </w:r>
    </w:p>
    <w:p>
      <w:pPr>
        <w:spacing w:line="595"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5.经评分确定最终采购需求结束后，供应商应当按照变动情况提交书面承诺及最后报价，未提交的供应商作废标处理；</w:t>
      </w:r>
    </w:p>
    <w:p>
      <w:pPr>
        <w:spacing w:line="595" w:lineRule="exact"/>
        <w:jc w:val="center"/>
        <w:rPr>
          <w:rFonts w:ascii="Times New Roman" w:hAnsi="Times New Roman" w:eastAsia="方正黑体_GBK" w:cs="Times New Roman"/>
          <w:b/>
          <w:bCs/>
          <w:sz w:val="32"/>
          <w:szCs w:val="32"/>
        </w:rPr>
      </w:pPr>
      <w:r>
        <w:rPr>
          <w:rFonts w:ascii="Times New Roman" w:hAnsi="Times New Roman" w:eastAsia="方正黑体_GBK" w:cs="Times New Roman"/>
          <w:b/>
          <w:bCs/>
          <w:sz w:val="32"/>
          <w:szCs w:val="32"/>
        </w:rPr>
        <w:t>评审标准</w:t>
      </w:r>
    </w:p>
    <w:p>
      <w:pPr>
        <w:spacing w:line="595" w:lineRule="exact"/>
        <w:jc w:val="center"/>
        <w:rPr>
          <w:rFonts w:ascii="Times New Roman" w:hAnsi="Times New Roman" w:eastAsia="方正黑体_GBK" w:cs="Times New Roman"/>
          <w:b/>
          <w:bCs/>
          <w:sz w:val="32"/>
          <w:szCs w:val="32"/>
        </w:rPr>
      </w:pPr>
    </w:p>
    <w:tbl>
      <w:tblPr>
        <w:tblStyle w:val="6"/>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595" w:lineRule="exact"/>
              <w:jc w:val="center"/>
              <w:rPr>
                <w:rFonts w:ascii="Times New Roman" w:hAnsi="Times New Roman" w:cs="Times New Roman"/>
                <w:b/>
                <w:sz w:val="24"/>
                <w:szCs w:val="24"/>
              </w:rPr>
            </w:pPr>
            <w:r>
              <w:rPr>
                <w:rFonts w:ascii="Times New Roman" w:hAnsi="Times New Roman" w:cs="Times New Roman"/>
                <w:b/>
                <w:sz w:val="24"/>
                <w:szCs w:val="24"/>
              </w:rPr>
              <w:t>序号</w:t>
            </w:r>
          </w:p>
        </w:tc>
        <w:tc>
          <w:tcPr>
            <w:tcW w:w="1269" w:type="dxa"/>
            <w:vAlign w:val="center"/>
          </w:tcPr>
          <w:p>
            <w:pPr>
              <w:spacing w:line="595" w:lineRule="exact"/>
              <w:jc w:val="center"/>
              <w:rPr>
                <w:rFonts w:ascii="Times New Roman" w:hAnsi="Times New Roman" w:cs="Times New Roman"/>
                <w:b/>
                <w:sz w:val="24"/>
                <w:szCs w:val="24"/>
              </w:rPr>
            </w:pPr>
            <w:r>
              <w:rPr>
                <w:rFonts w:ascii="Times New Roman" w:hAnsi="Times New Roman" w:cs="Times New Roman"/>
                <w:b/>
                <w:sz w:val="24"/>
                <w:szCs w:val="24"/>
              </w:rPr>
              <w:t>评分因素</w:t>
            </w:r>
          </w:p>
        </w:tc>
        <w:tc>
          <w:tcPr>
            <w:tcW w:w="955" w:type="dxa"/>
            <w:vAlign w:val="center"/>
          </w:tcPr>
          <w:p>
            <w:pPr>
              <w:spacing w:line="595" w:lineRule="exact"/>
              <w:jc w:val="center"/>
              <w:rPr>
                <w:rFonts w:ascii="Times New Roman" w:hAnsi="Times New Roman" w:cs="Times New Roman"/>
                <w:b/>
                <w:sz w:val="24"/>
                <w:szCs w:val="24"/>
              </w:rPr>
            </w:pPr>
            <w:r>
              <w:rPr>
                <w:rFonts w:ascii="Times New Roman" w:hAnsi="Times New Roman" w:cs="Times New Roman"/>
                <w:b/>
                <w:sz w:val="24"/>
                <w:szCs w:val="24"/>
              </w:rPr>
              <w:t>分值</w:t>
            </w:r>
          </w:p>
        </w:tc>
        <w:tc>
          <w:tcPr>
            <w:tcW w:w="5997" w:type="dxa"/>
            <w:vAlign w:val="center"/>
          </w:tcPr>
          <w:p>
            <w:pPr>
              <w:spacing w:line="595" w:lineRule="exact"/>
              <w:jc w:val="center"/>
              <w:rPr>
                <w:rFonts w:ascii="Times New Roman" w:hAnsi="Times New Roman" w:cs="Times New Roman"/>
                <w:b/>
                <w:sz w:val="24"/>
                <w:szCs w:val="24"/>
              </w:rPr>
            </w:pPr>
            <w:r>
              <w:rPr>
                <w:rFonts w:ascii="Times New Roman" w:hAnsi="Times New Roman" w:cs="Times New Roman"/>
                <w:b/>
                <w:sz w:val="24"/>
                <w:szCs w:val="24"/>
              </w:rPr>
              <w:t>评分标准</w:t>
            </w:r>
          </w:p>
        </w:tc>
        <w:tc>
          <w:tcPr>
            <w:tcW w:w="1404" w:type="dxa"/>
            <w:vAlign w:val="center"/>
          </w:tcPr>
          <w:p>
            <w:pPr>
              <w:pStyle w:val="12"/>
              <w:spacing w:before="0" w:after="0" w:line="595" w:lineRule="exact"/>
              <w:rPr>
                <w:rFonts w:eastAsia="宋体"/>
                <w:szCs w:val="24"/>
              </w:rPr>
            </w:pPr>
            <w:r>
              <w:rPr>
                <w:rFonts w:eastAsia="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vAlign w:val="center"/>
          </w:tcPr>
          <w:p>
            <w:pPr>
              <w:spacing w:line="595" w:lineRule="exact"/>
              <w:rPr>
                <w:rFonts w:ascii="Times New Roman" w:hAnsi="Times New Roman" w:cs="Times New Roman"/>
                <w:sz w:val="24"/>
                <w:szCs w:val="24"/>
              </w:rPr>
            </w:pPr>
            <w:r>
              <w:rPr>
                <w:rFonts w:ascii="Times New Roman" w:hAnsi="Times New Roman" w:cs="Times New Roman"/>
                <w:sz w:val="24"/>
                <w:szCs w:val="24"/>
              </w:rPr>
              <w:t>投标报价</w:t>
            </w:r>
          </w:p>
        </w:tc>
        <w:tc>
          <w:tcPr>
            <w:tcW w:w="955"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0</w:t>
            </w:r>
          </w:p>
        </w:tc>
        <w:tc>
          <w:tcPr>
            <w:tcW w:w="5997" w:type="dxa"/>
            <w:vAlign w:val="center"/>
          </w:tcPr>
          <w:p>
            <w:pPr>
              <w:widowControl/>
              <w:spacing w:line="595" w:lineRule="exact"/>
              <w:outlineLvl w:val="2"/>
              <w:rPr>
                <w:rFonts w:ascii="Times New Roman" w:hAnsi="Times New Roman" w:cs="Times New Roman"/>
                <w:sz w:val="24"/>
                <w:szCs w:val="24"/>
              </w:rPr>
            </w:pPr>
            <w:r>
              <w:rPr>
                <w:rFonts w:ascii="Times New Roman" w:hAnsi="Times New Roman" w:cs="Times New Roman"/>
                <w:sz w:val="24"/>
                <w:szCs w:val="24"/>
              </w:rPr>
              <w:t>有效的投标报价中的最低价为评标基准价，按照下列公式计算每个投标人的投标价格得分。</w:t>
            </w:r>
          </w:p>
          <w:p>
            <w:pPr>
              <w:widowControl/>
              <w:spacing w:line="595" w:lineRule="exact"/>
              <w:outlineLvl w:val="2"/>
              <w:rPr>
                <w:rFonts w:ascii="Times New Roman" w:hAnsi="Times New Roman" w:cs="Times New Roman"/>
                <w:sz w:val="24"/>
                <w:szCs w:val="24"/>
              </w:rPr>
            </w:pPr>
            <w:r>
              <w:rPr>
                <w:rFonts w:ascii="Times New Roman" w:hAnsi="Times New Roman" w:cs="Times New Roman"/>
                <w:sz w:val="24"/>
                <w:szCs w:val="24"/>
              </w:rPr>
              <w:t>投标报价得分＝（评标基准价/投标报价）×价格权重×100。</w:t>
            </w:r>
          </w:p>
        </w:tc>
        <w:tc>
          <w:tcPr>
            <w:tcW w:w="1404" w:type="dxa"/>
            <w:vAlign w:val="center"/>
          </w:tcPr>
          <w:p>
            <w:pPr>
              <w:spacing w:line="595" w:lineRule="exact"/>
              <w:rPr>
                <w:rFonts w:ascii="Times New Roman" w:hAnsi="Times New Roman" w:cs="Times New Roman"/>
                <w:sz w:val="24"/>
                <w:szCs w:val="24"/>
              </w:rPr>
            </w:pPr>
            <w:r>
              <w:rPr>
                <w:rFonts w:ascii="Times New Roman" w:hAnsi="Times New Roman" w:cs="Times New Roman"/>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atLeast"/>
        </w:trPr>
        <w:tc>
          <w:tcPr>
            <w:tcW w:w="705"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服务部分</w:t>
            </w:r>
          </w:p>
        </w:tc>
        <w:tc>
          <w:tcPr>
            <w:tcW w:w="955" w:type="dxa"/>
            <w:vAlign w:val="center"/>
          </w:tcPr>
          <w:p>
            <w:pPr>
              <w:spacing w:line="595" w:lineRule="exact"/>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6</w:t>
            </w:r>
            <w:r>
              <w:rPr>
                <w:rFonts w:hint="eastAsia" w:ascii="Times New Roman" w:hAnsi="Times New Roman" w:eastAsia="微软雅黑" w:cs="Times New Roman"/>
                <w:sz w:val="24"/>
                <w:szCs w:val="24"/>
              </w:rPr>
              <w:t>0</w:t>
            </w:r>
          </w:p>
        </w:tc>
        <w:tc>
          <w:tcPr>
            <w:tcW w:w="5997" w:type="dxa"/>
            <w:vAlign w:val="center"/>
          </w:tcPr>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服务需求内容提供书面方案。</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1．施工方案（20分）:施工方案应包含工程的施工方法、施工设备、材料等，确保工程质量、工期、安全文明施工的技术、组织措施、施工总进度计划、施工平面布置，对施工现场周围环境污染的保护措施等内容。</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①方案完善、工序工艺清晰，得</w:t>
            </w:r>
            <w:r>
              <w:rPr>
                <w:rFonts w:ascii="Times New Roman" w:hAnsi="Times New Roman" w:cs="Times New Roman"/>
                <w:sz w:val="24"/>
                <w:szCs w:val="24"/>
              </w:rPr>
              <w:t>15</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②方案较完善、工序工艺较清晰，得</w:t>
            </w:r>
            <w:r>
              <w:rPr>
                <w:rFonts w:ascii="Times New Roman" w:hAnsi="Times New Roman" w:cs="Times New Roman"/>
                <w:sz w:val="24"/>
                <w:szCs w:val="24"/>
              </w:rPr>
              <w:t>10</w:t>
            </w:r>
            <w:r>
              <w:rPr>
                <w:rFonts w:hint="eastAsia" w:ascii="Times New Roman" w:hAnsi="Times New Roman" w:cs="Times New Roman"/>
                <w:sz w:val="24"/>
                <w:szCs w:val="24"/>
              </w:rPr>
              <w:t>-</w:t>
            </w:r>
            <w:r>
              <w:rPr>
                <w:rFonts w:ascii="Times New Roman" w:hAnsi="Times New Roman" w:cs="Times New Roman"/>
                <w:sz w:val="24"/>
                <w:szCs w:val="24"/>
              </w:rPr>
              <w:t>14</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③方案部缺失、工序工艺模糊，得1-</w:t>
            </w:r>
            <w:r>
              <w:rPr>
                <w:rFonts w:ascii="Times New Roman" w:hAnsi="Times New Roman" w:cs="Times New Roman"/>
                <w:sz w:val="24"/>
                <w:szCs w:val="24"/>
              </w:rPr>
              <w:t>9</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④无服务方案，得0分。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2.可行性（10分）：施工方案各项主要内容的措施、计划，各项交叉作业等是否符合实际，合理可行等。</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①方案可行，符合实际，得8-10分。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②方案较可行，较符合实际，得5-7分。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③方案欠缺，可行性不理想，得1-4分。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④方案不可行或未提供的，得0分。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3．人员资格证书（10分）：主要管理人员：持有有效证件的安全员不少于1人，施工员不少于1人、造价员不少于1人。</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①提供服务人员资质证件，得</w:t>
            </w:r>
            <w:r>
              <w:rPr>
                <w:rFonts w:ascii="Times New Roman" w:hAnsi="Times New Roman" w:cs="Times New Roman"/>
                <w:sz w:val="24"/>
                <w:szCs w:val="24"/>
              </w:rPr>
              <w:t>1</w:t>
            </w:r>
            <w:r>
              <w:rPr>
                <w:rFonts w:hint="eastAsia" w:ascii="Times New Roman" w:hAnsi="Times New Roman" w:cs="Times New Roman"/>
                <w:sz w:val="24"/>
                <w:szCs w:val="24"/>
              </w:rPr>
              <w:t>-10分。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②未提供相关证件，得0分。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4．现场安全保障方案（</w:t>
            </w:r>
            <w:r>
              <w:rPr>
                <w:rFonts w:ascii="Times New Roman" w:hAnsi="Times New Roman" w:cs="Times New Roman"/>
                <w:sz w:val="24"/>
                <w:szCs w:val="24"/>
              </w:rPr>
              <w:t>2</w:t>
            </w:r>
            <w:r>
              <w:rPr>
                <w:rFonts w:hint="eastAsia" w:ascii="Times New Roman" w:hAnsi="Times New Roman" w:cs="Times New Roman"/>
                <w:sz w:val="24"/>
                <w:szCs w:val="24"/>
              </w:rPr>
              <w:t>0分）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①方案描述清晰，完整可行，得</w:t>
            </w:r>
            <w:r>
              <w:rPr>
                <w:rFonts w:ascii="Times New Roman" w:hAnsi="Times New Roman" w:cs="Times New Roman"/>
                <w:sz w:val="24"/>
                <w:szCs w:val="24"/>
              </w:rPr>
              <w:t>15</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②方案描述较清晰，较可行，得</w:t>
            </w:r>
            <w:r>
              <w:rPr>
                <w:rFonts w:ascii="Times New Roman" w:hAnsi="Times New Roman" w:cs="Times New Roman"/>
                <w:sz w:val="24"/>
                <w:szCs w:val="24"/>
              </w:rPr>
              <w:t>10</w:t>
            </w:r>
            <w:r>
              <w:rPr>
                <w:rFonts w:hint="eastAsia" w:ascii="Times New Roman" w:hAnsi="Times New Roman" w:cs="Times New Roman"/>
                <w:sz w:val="24"/>
                <w:szCs w:val="24"/>
              </w:rPr>
              <w:t>-</w:t>
            </w:r>
            <w:r>
              <w:rPr>
                <w:rFonts w:ascii="Times New Roman" w:hAnsi="Times New Roman" w:cs="Times New Roman"/>
                <w:sz w:val="24"/>
                <w:szCs w:val="24"/>
              </w:rPr>
              <w:t>14</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③方案描述不够清晰，可行性一般，得1-</w:t>
            </w:r>
            <w:r>
              <w:rPr>
                <w:rFonts w:ascii="Times New Roman" w:hAnsi="Times New Roman" w:cs="Times New Roman"/>
                <w:sz w:val="24"/>
                <w:szCs w:val="24"/>
              </w:rPr>
              <w:t>9</w:t>
            </w:r>
            <w:r>
              <w:rPr>
                <w:rFonts w:hint="eastAsia" w:ascii="Times New Roman" w:hAnsi="Times New Roman" w:cs="Times New Roman"/>
                <w:sz w:val="24"/>
                <w:szCs w:val="24"/>
              </w:rPr>
              <w:t>分。</w:t>
            </w:r>
          </w:p>
          <w:p>
            <w:pPr>
              <w:widowControl/>
              <w:spacing w:line="595" w:lineRule="exact"/>
              <w:outlineLvl w:val="2"/>
              <w:rPr>
                <w:rFonts w:ascii="Times New Roman" w:hAnsi="Times New Roman" w:cs="Times New Roman"/>
                <w:sz w:val="24"/>
                <w:szCs w:val="24"/>
              </w:rPr>
            </w:pPr>
            <w:r>
              <w:rPr>
                <w:rFonts w:hint="eastAsia" w:ascii="Times New Roman" w:hAnsi="Times New Roman" w:cs="Times New Roman"/>
                <w:sz w:val="24"/>
                <w:szCs w:val="24"/>
              </w:rPr>
              <w:t>④无方案，得0分。</w:t>
            </w:r>
          </w:p>
        </w:tc>
        <w:tc>
          <w:tcPr>
            <w:tcW w:w="1404" w:type="dxa"/>
            <w:vAlign w:val="center"/>
          </w:tcPr>
          <w:p>
            <w:pPr>
              <w:spacing w:line="595" w:lineRule="exact"/>
              <w:rPr>
                <w:rFonts w:ascii="Times New Roman" w:hAnsi="Times New Roman" w:cs="Times New Roman"/>
                <w:sz w:val="24"/>
                <w:szCs w:val="24"/>
              </w:rPr>
            </w:pPr>
            <w:r>
              <w:rPr>
                <w:rFonts w:ascii="Times New Roman" w:hAnsi="Times New Roman" w:cs="Times New Roman"/>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705"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vAlign w:val="center"/>
          </w:tcPr>
          <w:p>
            <w:pPr>
              <w:spacing w:line="595" w:lineRule="exact"/>
              <w:jc w:val="center"/>
              <w:rPr>
                <w:rFonts w:ascii="Times New Roman" w:hAnsi="Times New Roman" w:cs="Times New Roman"/>
                <w:sz w:val="24"/>
                <w:szCs w:val="24"/>
              </w:rPr>
            </w:pPr>
            <w:r>
              <w:rPr>
                <w:rFonts w:ascii="Times New Roman" w:hAnsi="Times New Roman" w:cs="Times New Roman"/>
                <w:sz w:val="24"/>
                <w:szCs w:val="24"/>
              </w:rPr>
              <w:t>商务部分</w:t>
            </w:r>
          </w:p>
        </w:tc>
        <w:tc>
          <w:tcPr>
            <w:tcW w:w="955" w:type="dxa"/>
            <w:vAlign w:val="center"/>
          </w:tcPr>
          <w:p>
            <w:pPr>
              <w:widowControl/>
              <w:spacing w:line="595" w:lineRule="exact"/>
              <w:jc w:val="center"/>
              <w:outlineLvl w:val="2"/>
              <w:rPr>
                <w:rFonts w:ascii="Times New Roman" w:hAnsi="Times New Roman" w:cs="Times New Roman"/>
                <w:sz w:val="24"/>
                <w:szCs w:val="24"/>
              </w:rPr>
            </w:pPr>
            <w:r>
              <w:rPr>
                <w:rFonts w:hint="eastAsia" w:ascii="Times New Roman" w:hAnsi="Times New Roman" w:cs="Times New Roman"/>
                <w:sz w:val="24"/>
                <w:szCs w:val="24"/>
              </w:rPr>
              <w:t>20</w:t>
            </w:r>
          </w:p>
        </w:tc>
        <w:tc>
          <w:tcPr>
            <w:tcW w:w="5997" w:type="dxa"/>
            <w:vAlign w:val="center"/>
          </w:tcPr>
          <w:p>
            <w:pPr>
              <w:widowControl/>
              <w:spacing w:line="595" w:lineRule="exact"/>
              <w:outlineLvl w:val="2"/>
              <w:rPr>
                <w:rFonts w:ascii="Times New Roman" w:hAnsi="Times New Roman" w:cs="Times New Roman"/>
                <w:sz w:val="24"/>
                <w:szCs w:val="24"/>
              </w:rPr>
            </w:pPr>
            <w:r>
              <w:rPr>
                <w:rFonts w:hint="eastAsia" w:ascii="Times New Roman" w:hAnsi="Times New Roman" w:cs="Times New Roman"/>
                <w:kern w:val="0"/>
                <w:sz w:val="24"/>
                <w:szCs w:val="24"/>
              </w:rPr>
              <w:t>自201</w:t>
            </w:r>
            <w:r>
              <w:rPr>
                <w:rFonts w:ascii="Times New Roman" w:hAnsi="Times New Roman" w:cs="Times New Roman"/>
                <w:kern w:val="0"/>
                <w:sz w:val="24"/>
                <w:szCs w:val="24"/>
              </w:rPr>
              <w:t>9</w:t>
            </w:r>
            <w:r>
              <w:rPr>
                <w:rFonts w:hint="eastAsia" w:ascii="Times New Roman" w:hAnsi="Times New Roman" w:cs="Times New Roman"/>
                <w:kern w:val="0"/>
                <w:sz w:val="24"/>
                <w:szCs w:val="24"/>
              </w:rPr>
              <w:t>年1月1日以来，每提供一个类似项目业绩（类似项目：包含有电力工程的房屋建筑工程或电力施工改造工程）的，每提供一个项目得5分，最多20分。</w:t>
            </w:r>
          </w:p>
        </w:tc>
        <w:tc>
          <w:tcPr>
            <w:tcW w:w="1404" w:type="dxa"/>
            <w:vAlign w:val="center"/>
          </w:tcPr>
          <w:p>
            <w:pPr>
              <w:spacing w:line="595" w:lineRule="exact"/>
              <w:rPr>
                <w:rFonts w:ascii="Times New Roman" w:hAnsi="Times New Roman" w:cs="Times New Roman"/>
                <w:szCs w:val="21"/>
              </w:rPr>
            </w:pPr>
            <w:r>
              <w:rPr>
                <w:rFonts w:ascii="Times New Roman" w:hAnsi="Times New Roman" w:cs="Times New Roman"/>
                <w:szCs w:val="21"/>
              </w:rPr>
              <w:t>提供合同或其他有效证明文件扫描件，原件备查。</w:t>
            </w:r>
          </w:p>
        </w:tc>
      </w:tr>
    </w:tbl>
    <w:p>
      <w:pPr>
        <w:spacing w:line="595" w:lineRule="exact"/>
        <w:jc w:val="left"/>
        <w:rPr>
          <w:rFonts w:ascii="Times New Roman" w:hAnsi="Times New Roman" w:eastAsia="方正仿宋_GBK" w:cs="Times New Roman"/>
          <w:sz w:val="32"/>
          <w:szCs w:val="32"/>
        </w:rPr>
      </w:pPr>
    </w:p>
    <w:p>
      <w:pPr>
        <w:spacing w:line="595"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供应商编制响应文件要求</w:t>
      </w:r>
    </w:p>
    <w:p>
      <w:pPr>
        <w:numPr>
          <w:ilvl w:val="0"/>
          <w:numId w:val="1"/>
        </w:numPr>
        <w:spacing w:line="594"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报价</w:t>
      </w:r>
    </w:p>
    <w:p>
      <w:pPr>
        <w:spacing w:line="594" w:lineRule="exact"/>
        <w:ind w:firstLine="640" w:firstLineChars="200"/>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（一）报价函</w:t>
      </w:r>
    </w:p>
    <w:p>
      <w:pPr>
        <w:spacing w:line="594" w:lineRule="exact"/>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报价函</w:t>
      </w: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（采购人名称）</w:t>
      </w:r>
      <w:r>
        <w:rPr>
          <w:rFonts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我方收到____________________________（项目名称）的谈判采购文件，经详细研究，决定参加该项目的谈判。</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1、愿意按照谈判采购文件中的一切要求，提供本项目的技术服务，报价为人民币</w:t>
      </w:r>
      <w:r>
        <w:rPr>
          <w:rFonts w:ascii="Times New Roman" w:hAnsi="Times New Roman" w:eastAsia="方正仿宋_GBK" w:cs="Times New Roman"/>
          <w:sz w:val="32"/>
          <w:szCs w:val="32"/>
          <w:u w:val="single"/>
        </w:rPr>
        <w:t>大写：     元整</w:t>
      </w:r>
      <w:r>
        <w:rPr>
          <w:rFonts w:ascii="Times New Roman" w:hAnsi="Times New Roman" w:eastAsia="方正仿宋_GBK" w:cs="Times New Roman"/>
          <w:sz w:val="32"/>
          <w:szCs w:val="32"/>
        </w:rPr>
        <w:t>；人民币</w:t>
      </w:r>
      <w:r>
        <w:rPr>
          <w:rFonts w:ascii="Times New Roman" w:hAnsi="Times New Roman" w:eastAsia="方正仿宋_GBK" w:cs="Times New Roman"/>
          <w:sz w:val="32"/>
          <w:szCs w:val="32"/>
          <w:u w:val="single"/>
        </w:rPr>
        <w:t>小写：   元</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2、我方现提交的响应文件为：响应文件电子文档壹份</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3、我方承诺：本次谈判的有效期为90天</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4、我方完全理解和接受贵方谈判采购文件的一切规定和要求及评审办法</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5、在整个谈判采购过程中，我方若有违规行为，</w:t>
      </w:r>
      <w:r>
        <w:rPr>
          <w:rFonts w:hint="eastAsia" w:ascii="Times New Roman" w:hAnsi="Times New Roman" w:eastAsia="方正仿宋_GBK" w:cs="Times New Roman"/>
          <w:sz w:val="32"/>
          <w:szCs w:val="32"/>
        </w:rPr>
        <w:t>愿作废标处理；</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6、我方若中选，将按照谈判结果签订合同，并且严格履行合同义务。本承诺函将成为合同不可分割的一部分，与合同具有同等的法律效力</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7、我方理解，最低报价不是成交的唯一条件。</w:t>
      </w:r>
    </w:p>
    <w:p>
      <w:pPr>
        <w:spacing w:line="594" w:lineRule="exact"/>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供应商名称（公章）： </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w:t>
      </w:r>
    </w:p>
    <w:p>
      <w:pPr>
        <w:spacing w:line="594" w:lineRule="exact"/>
        <w:jc w:val="left"/>
        <w:rPr>
          <w:rFonts w:ascii="Times New Roman" w:hAnsi="Times New Roman" w:eastAsia="方正仿宋_GBK" w:cs="Times New Roman"/>
          <w:sz w:val="32"/>
          <w:szCs w:val="32"/>
        </w:rPr>
        <w:sectPr>
          <w:headerReference r:id="rId3" w:type="default"/>
          <w:footerReference r:id="rId4" w:type="default"/>
          <w:pgSz w:w="11907" w:h="16840"/>
          <w:pgMar w:top="1701" w:right="1446" w:bottom="1644" w:left="1446" w:header="964" w:footer="992" w:gutter="0"/>
          <w:pgNumType w:fmt="numberInDash"/>
          <w:cols w:space="720" w:num="1"/>
          <w:docGrid w:linePitch="312" w:charSpace="0"/>
        </w:sectPr>
      </w:pPr>
    </w:p>
    <w:p>
      <w:pPr>
        <w:numPr>
          <w:ilvl w:val="0"/>
          <w:numId w:val="1"/>
        </w:numPr>
        <w:spacing w:line="594"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服务方案</w:t>
      </w:r>
    </w:p>
    <w:p>
      <w:pPr>
        <w:spacing w:line="594" w:lineRule="exact"/>
        <w:ind w:firstLine="640" w:firstLineChars="200"/>
        <w:jc w:val="left"/>
        <w:rPr>
          <w:rFonts w:ascii="Times New Roman" w:hAnsi="Times New Roman" w:eastAsia="方正仿宋_GBK" w:cs="Times New Roman"/>
          <w:b/>
          <w:iCs/>
          <w:sz w:val="32"/>
          <w:szCs w:val="32"/>
          <w:u w:val="single"/>
        </w:rPr>
      </w:pPr>
      <w:r>
        <w:rPr>
          <w:rFonts w:ascii="Times New Roman" w:hAnsi="Times New Roman" w:eastAsia="方正仿宋_GBK" w:cs="Times New Roman"/>
          <w:iCs/>
          <w:sz w:val="32"/>
          <w:szCs w:val="32"/>
          <w:u w:val="single"/>
        </w:rPr>
        <w:t>服务方案（格式自定）</w:t>
      </w:r>
    </w:p>
    <w:p>
      <w:pPr>
        <w:spacing w:line="594" w:lineRule="exact"/>
        <w:ind w:firstLine="643" w:firstLineChars="200"/>
        <w:jc w:val="left"/>
        <w:rPr>
          <w:rFonts w:ascii="Times New Roman" w:hAnsi="Times New Roman" w:eastAsia="方正仿宋_GBK" w:cs="Times New Roman"/>
          <w:b/>
          <w:sz w:val="32"/>
          <w:szCs w:val="32"/>
        </w:rPr>
      </w:pPr>
    </w:p>
    <w:p>
      <w:pPr>
        <w:spacing w:line="594" w:lineRule="exact"/>
        <w:ind w:firstLine="643" w:firstLineChars="200"/>
        <w:jc w:val="left"/>
        <w:rPr>
          <w:rFonts w:ascii="Times New Roman" w:hAnsi="Times New Roman" w:eastAsia="方正仿宋_GBK" w:cs="Times New Roman"/>
          <w:b/>
          <w:sz w:val="32"/>
          <w:szCs w:val="32"/>
        </w:rPr>
      </w:pPr>
    </w:p>
    <w:p>
      <w:pPr>
        <w:numPr>
          <w:ilvl w:val="0"/>
          <w:numId w:val="1"/>
        </w:numPr>
        <w:spacing w:line="594"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资格条件及其他</w:t>
      </w:r>
    </w:p>
    <w:p>
      <w:pPr>
        <w:spacing w:line="594" w:lineRule="exact"/>
        <w:ind w:firstLine="640" w:firstLineChars="200"/>
        <w:jc w:val="left"/>
        <w:rPr>
          <w:rFonts w:ascii="Times New Roman" w:hAnsi="Times New Roman" w:eastAsia="方正仿宋_GBK" w:cs="Times New Roman"/>
          <w:iCs/>
          <w:sz w:val="32"/>
          <w:szCs w:val="32"/>
          <w:u w:val="single"/>
        </w:rPr>
      </w:pPr>
      <w:r>
        <w:rPr>
          <w:rFonts w:ascii="Times New Roman" w:hAnsi="Times New Roman" w:eastAsia="方正仿宋_GBK" w:cs="Times New Roman"/>
          <w:iCs/>
          <w:sz w:val="32"/>
          <w:szCs w:val="32"/>
          <w:u w:val="single"/>
        </w:rPr>
        <w:t>按照采购文件要求提供扫描件加盖供应商公章。</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firstLine="643" w:firstLineChars="200"/>
        <w:jc w:val="left"/>
        <w:rPr>
          <w:rFonts w:ascii="Times New Roman" w:hAnsi="Times New Roman" w:eastAsia="方正仿宋_GBK" w:cs="Times New Roman"/>
          <w:b/>
          <w:sz w:val="32"/>
          <w:szCs w:val="32"/>
        </w:rPr>
      </w:pPr>
    </w:p>
    <w:p>
      <w:pPr>
        <w:numPr>
          <w:ilvl w:val="0"/>
          <w:numId w:val="1"/>
        </w:numPr>
        <w:spacing w:line="594"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其他应提供的资料</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其他与项目有关的资料（自附）：供应商总体情况介绍、其他与本项目有关的资料等。</w:t>
      </w:r>
    </w:p>
    <w:p>
      <w:pPr>
        <w:spacing w:line="594" w:lineRule="exact"/>
        <w:ind w:firstLine="643" w:firstLineChars="200"/>
        <w:jc w:val="left"/>
        <w:rPr>
          <w:rFonts w:ascii="Times New Roman" w:hAnsi="Times New Roman" w:eastAsia="方正仿宋_GBK" w:cs="Times New Roman"/>
          <w:b/>
          <w:bCs/>
          <w:sz w:val="32"/>
          <w:szCs w:val="32"/>
        </w:rPr>
      </w:pPr>
    </w:p>
    <w:p>
      <w:pPr>
        <w:spacing w:line="594" w:lineRule="exact"/>
        <w:ind w:firstLine="643" w:firstLineChars="200"/>
        <w:jc w:val="left"/>
        <w:rPr>
          <w:rFonts w:ascii="Times New Roman" w:hAnsi="Times New Roman" w:eastAsia="方正仿宋_GBK" w:cs="Times New Roman"/>
          <w:b/>
          <w:bCs/>
          <w:sz w:val="32"/>
          <w:szCs w:val="32"/>
        </w:rPr>
      </w:pPr>
    </w:p>
    <w:p>
      <w:pPr>
        <w:spacing w:line="594" w:lineRule="exact"/>
        <w:ind w:firstLine="643" w:firstLineChars="200"/>
        <w:jc w:val="left"/>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594" w:lineRule="exact"/>
        <w:ind w:firstLine="643" w:firstLineChars="200"/>
        <w:jc w:val="left"/>
        <w:rPr>
          <w:rFonts w:ascii="Times New Roman" w:hAnsi="Times New Roman" w:eastAsia="方正黑体_GBK" w:cs="Times New Roman"/>
          <w:b/>
          <w:bCs/>
          <w:sz w:val="32"/>
          <w:szCs w:val="32"/>
        </w:rPr>
      </w:pPr>
      <w:r>
        <w:rPr>
          <w:rFonts w:ascii="Times New Roman" w:hAnsi="Times New Roman" w:eastAsia="方正黑体_GBK" w:cs="Times New Roman"/>
          <w:b/>
          <w:bCs/>
          <w:sz w:val="32"/>
          <w:szCs w:val="32"/>
        </w:rPr>
        <w:t>五、法定代表人授权委托书（格式）/法定代表人（格式）（二选一）</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jc w:val="center"/>
        <w:rPr>
          <w:rFonts w:ascii="Times New Roman" w:hAnsi="Times New Roman" w:eastAsia="方正黑体_GBK" w:cs="Times New Roman"/>
          <w:b/>
          <w:bCs/>
          <w:sz w:val="32"/>
          <w:szCs w:val="32"/>
        </w:rPr>
      </w:pPr>
      <w:r>
        <w:rPr>
          <w:rFonts w:ascii="Times New Roman" w:hAnsi="Times New Roman" w:eastAsia="方正黑体_GBK" w:cs="Times New Roman"/>
          <w:b/>
          <w:bCs/>
          <w:sz w:val="32"/>
          <w:szCs w:val="32"/>
        </w:rPr>
        <w:t>法定代表人授权委托书</w:t>
      </w: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（采购人名称）：</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（法定代表人名称）是</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（供应商名称）的法定代表人，特授权</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（被授权人姓名及身份证代码）电话</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代表我单位全权办理上述项目的谈判、签约等具体工作，并签署全部有关文件、协议及合同</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我单位对被授权人的签字负全部责任</w:t>
      </w:r>
      <w:r>
        <w:rPr>
          <w:rFonts w:hint="eastAsia" w:ascii="Times New Roman" w:hAnsi="Times New Roman" w:eastAsia="方正仿宋_GBK" w:cs="Times New Roman"/>
          <w:sz w:val="32"/>
          <w:szCs w:val="32"/>
        </w:rPr>
        <w:t>；</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被授权人：                          法定代表人：</w:t>
      </w: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（签字或盖章）                      （签字或盖章）</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（附：被授权人身份证正反面复印件）</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供应商名称（公章）</w:t>
      </w:r>
    </w:p>
    <w:p>
      <w:pPr>
        <w:spacing w:line="594"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94" w:lineRule="exact"/>
        <w:jc w:val="left"/>
        <w:rPr>
          <w:rFonts w:ascii="Times New Roman" w:hAnsi="Times New Roman" w:eastAsia="方正仿宋_GBK" w:cs="Times New Roman"/>
          <w:b/>
          <w:bCs/>
          <w:sz w:val="32"/>
          <w:szCs w:val="32"/>
        </w:rPr>
      </w:pPr>
    </w:p>
    <w:p>
      <w:pPr>
        <w:spacing w:line="594" w:lineRule="exact"/>
        <w:jc w:val="left"/>
        <w:rPr>
          <w:rFonts w:ascii="Times New Roman" w:hAnsi="Times New Roman" w:eastAsia="方正仿宋_GBK" w:cs="Times New Roman"/>
          <w:b/>
          <w:bCs/>
          <w:sz w:val="32"/>
          <w:szCs w:val="32"/>
        </w:rPr>
      </w:pPr>
    </w:p>
    <w:p>
      <w:pPr>
        <w:spacing w:line="594"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法定代表人证明</w:t>
      </w:r>
    </w:p>
    <w:p>
      <w:pPr>
        <w:spacing w:line="594" w:lineRule="exact"/>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（采购人名称）：</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（法定代表人名称及身份证代码）是</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（供应商名称）的法定代表人，电话</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代表我单位全权办理上述项目的谈判、签约等具体工作，并签署全部有关文件、协议及合同。签字负全部责任。</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right="12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法定代表人（签字或盖章）：                          </w:t>
      </w:r>
    </w:p>
    <w:p>
      <w:pPr>
        <w:spacing w:line="594" w:lineRule="exact"/>
        <w:jc w:val="right"/>
        <w:rPr>
          <w:rFonts w:ascii="Times New Roman" w:hAnsi="Times New Roman" w:eastAsia="方正仿宋_GBK" w:cs="Times New Roman"/>
          <w:sz w:val="32"/>
          <w:szCs w:val="32"/>
        </w:rPr>
      </w:pPr>
    </w:p>
    <w:p>
      <w:pPr>
        <w:spacing w:line="594" w:lineRule="exact"/>
        <w:ind w:right="1280" w:firstLine="3200" w:firstLineChars="1000"/>
        <w:rPr>
          <w:rFonts w:ascii="Times New Roman" w:hAnsi="Times New Roman" w:eastAsia="方正仿宋_GBK" w:cs="Times New Roman"/>
          <w:sz w:val="32"/>
          <w:szCs w:val="32"/>
        </w:rPr>
      </w:pPr>
      <w:r>
        <w:rPr>
          <w:rFonts w:ascii="Times New Roman" w:hAnsi="Times New Roman" w:eastAsia="方正仿宋_GBK" w:cs="Times New Roman"/>
          <w:sz w:val="32"/>
          <w:szCs w:val="32"/>
        </w:rPr>
        <w:t>供应商名称（公章）</w:t>
      </w:r>
    </w:p>
    <w:p>
      <w:pPr>
        <w:spacing w:line="594" w:lineRule="exact"/>
        <w:ind w:firstLine="640" w:firstLineChars="200"/>
        <w:jc w:val="right"/>
        <w:rPr>
          <w:rFonts w:ascii="Times New Roman" w:hAnsi="Times New Roman" w:eastAsia="方正仿宋_GBK" w:cs="Times New Roman"/>
          <w:sz w:val="32"/>
          <w:szCs w:val="32"/>
        </w:rPr>
      </w:pPr>
    </w:p>
    <w:p>
      <w:pPr>
        <w:spacing w:line="594" w:lineRule="exact"/>
        <w:ind w:right="1280" w:firstLine="3840" w:firstLineChars="1200"/>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（附：法定代表人身份证正反面复印件）</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p>
    <w:p>
      <w:pPr>
        <w:spacing w:line="360" w:lineRule="auto"/>
        <w:ind w:left="910" w:leftChars="300" w:hanging="280" w:hangingChars="100"/>
        <w:jc w:val="center"/>
        <w:rPr>
          <w:rFonts w:ascii="Times New Roman" w:hAnsi="Times New Roman" w:eastAsia="仿宋" w:cs="Times New Roman"/>
          <w:sz w:val="28"/>
          <w:szCs w:val="28"/>
        </w:rPr>
      </w:pPr>
    </w:p>
    <w:p>
      <w:pPr>
        <w:spacing w:line="360" w:lineRule="auto"/>
        <w:ind w:left="910" w:leftChars="300" w:hanging="280" w:hangingChars="100"/>
        <w:jc w:val="center"/>
        <w:rPr>
          <w:rFonts w:ascii="Times New Roman" w:hAnsi="Times New Roman" w:eastAsia="仿宋" w:cs="Times New Roman"/>
          <w:sz w:val="28"/>
          <w:szCs w:val="28"/>
        </w:rPr>
      </w:pPr>
    </w:p>
    <w:p>
      <w:pPr>
        <w:spacing w:line="360" w:lineRule="auto"/>
        <w:ind w:left="910" w:leftChars="300" w:hanging="280" w:hangingChars="100"/>
        <w:jc w:val="center"/>
        <w:rPr>
          <w:rFonts w:ascii="Times New Roman" w:hAnsi="Times New Roman" w:eastAsia="仿宋" w:cs="Times New Roman"/>
          <w:sz w:val="28"/>
          <w:szCs w:val="28"/>
        </w:rPr>
      </w:pPr>
    </w:p>
    <w:p>
      <w:pPr>
        <w:spacing w:line="360" w:lineRule="auto"/>
        <w:ind w:left="910" w:leftChars="300" w:hanging="280" w:hangingChars="100"/>
        <w:jc w:val="center"/>
        <w:rPr>
          <w:rFonts w:ascii="Times New Roman" w:hAnsi="Times New Roman" w:eastAsia="仿宋" w:cs="Times New Roman"/>
          <w:sz w:val="28"/>
          <w:szCs w:val="28"/>
        </w:rPr>
      </w:pPr>
    </w:p>
    <w:tbl>
      <w:tblPr>
        <w:tblStyle w:val="6"/>
        <w:tblW w:w="9493" w:type="dxa"/>
        <w:tblInd w:w="0" w:type="dxa"/>
        <w:tblLayout w:type="autofit"/>
        <w:tblCellMar>
          <w:top w:w="0" w:type="dxa"/>
          <w:left w:w="108" w:type="dxa"/>
          <w:bottom w:w="0" w:type="dxa"/>
          <w:right w:w="108" w:type="dxa"/>
        </w:tblCellMar>
      </w:tblPr>
      <w:tblGrid>
        <w:gridCol w:w="574"/>
        <w:gridCol w:w="2464"/>
        <w:gridCol w:w="3761"/>
        <w:gridCol w:w="709"/>
        <w:gridCol w:w="567"/>
        <w:gridCol w:w="1418"/>
      </w:tblGrid>
      <w:tr>
        <w:tblPrEx>
          <w:tblCellMar>
            <w:top w:w="0" w:type="dxa"/>
            <w:left w:w="108" w:type="dxa"/>
            <w:bottom w:w="0" w:type="dxa"/>
            <w:right w:w="108" w:type="dxa"/>
          </w:tblCellMar>
        </w:tblPrEx>
        <w:trPr>
          <w:trHeight w:val="551" w:hRule="atLeast"/>
        </w:trPr>
        <w:tc>
          <w:tcPr>
            <w:tcW w:w="9493"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西计标准厂房配电室设施设备维修清单</w:t>
            </w:r>
          </w:p>
        </w:tc>
      </w:tr>
      <w:tr>
        <w:trPr>
          <w:trHeight w:val="390" w:hRule="atLeast"/>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材料名称</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材料型号规格</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开闭所</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直流屏</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24Ah，DC220V</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微机保护装置</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iRelay60-E AC220V</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定值效验</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1#专配</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1#，2#变温控仪</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BWD-F3K</w:t>
            </w:r>
            <w:r>
              <w:rPr>
                <w:rFonts w:ascii="宋体" w:hAnsi="宋体" w:eastAsia="宋体" w:cs="宋体"/>
                <w:kern w:val="0"/>
                <w:sz w:val="24"/>
                <w:szCs w:val="24"/>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2G带电显示器</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DXN-12T（开孔：102*72）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电容柜采样电缆施放</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2*（BV-2.5）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2#专配</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3#变温控仪</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BWD-F3K</w:t>
            </w:r>
            <w:r>
              <w:rPr>
                <w:rFonts w:ascii="宋体" w:hAnsi="宋体" w:eastAsia="宋体" w:cs="宋体"/>
                <w:kern w:val="0"/>
                <w:sz w:val="24"/>
                <w:szCs w:val="24"/>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3G带电显示器</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DXN-12T（开孔：102*72）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电容柜采样电缆施放</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2*（BV-2.5）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3#专配</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4#,5#变温控仪</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BWD-F3K</w:t>
            </w:r>
            <w:r>
              <w:rPr>
                <w:rFonts w:ascii="宋体" w:hAnsi="宋体" w:eastAsia="宋体" w:cs="宋体"/>
                <w:kern w:val="0"/>
                <w:sz w:val="24"/>
                <w:szCs w:val="24"/>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4G,5G带电显示器</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DXN-12T（开孔：102*72）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电容柜采样电缆施放</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2*（BV-2.5）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4#专配</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6#，7#变温控仪</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BWD-F3K</w:t>
            </w:r>
            <w:r>
              <w:rPr>
                <w:rFonts w:ascii="宋体" w:hAnsi="宋体" w:eastAsia="宋体" w:cs="宋体"/>
                <w:kern w:val="0"/>
                <w:sz w:val="24"/>
                <w:szCs w:val="24"/>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多功能表改线</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6-2a柜多功能表接线错误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电容柜采样电缆施放</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2*（BV-2.5）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5#专配</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8#，9#变温控仪</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BWD-F3K</w:t>
            </w:r>
            <w:r>
              <w:rPr>
                <w:rFonts w:ascii="宋体" w:hAnsi="宋体" w:eastAsia="宋体" w:cs="宋体"/>
                <w:kern w:val="0"/>
                <w:sz w:val="24"/>
                <w:szCs w:val="24"/>
              </w:rPr>
              <w:t>B</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多功能表</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9-1d柜第8回路，9-1e柜第4回路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电容柜采样电缆施放</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2*（BV-2.5）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4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90" w:hRule="atLeast"/>
        </w:trPr>
        <w:tc>
          <w:tcPr>
            <w:tcW w:w="57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265" w:hRule="atLeast"/>
        </w:trPr>
        <w:tc>
          <w:tcPr>
            <w:tcW w:w="9493" w:type="dxa"/>
            <w:gridSpan w:val="6"/>
            <w:tcBorders>
              <w:top w:val="single" w:color="auto" w:sz="4" w:space="0"/>
              <w:left w:val="nil"/>
              <w:bottom w:val="nil"/>
              <w:right w:val="nil"/>
            </w:tcBorders>
            <w:shd w:val="clear" w:color="000000" w:fill="FFFFFF"/>
          </w:tcPr>
          <w:p>
            <w:pPr>
              <w:widowControl/>
              <w:jc w:val="left"/>
              <w:rPr>
                <w:rFonts w:ascii="宋体" w:hAnsi="宋体" w:eastAsia="宋体" w:cs="宋体"/>
                <w:kern w:val="0"/>
                <w:sz w:val="22"/>
              </w:rPr>
            </w:pPr>
            <w:r>
              <w:rPr>
                <w:rFonts w:hint="eastAsia" w:ascii="宋体" w:hAnsi="宋体" w:eastAsia="宋体" w:cs="宋体"/>
                <w:kern w:val="0"/>
                <w:sz w:val="22"/>
              </w:rPr>
              <w:t>注：</w:t>
            </w:r>
            <w:r>
              <w:rPr>
                <w:rFonts w:ascii="Times New Roman" w:hAnsi="Times New Roman" w:eastAsia="宋体" w:cs="Times New Roman"/>
                <w:kern w:val="0"/>
                <w:sz w:val="22"/>
              </w:rPr>
              <w:t>1</w:t>
            </w:r>
            <w:r>
              <w:rPr>
                <w:rFonts w:hint="eastAsia" w:ascii="宋体" w:hAnsi="宋体" w:eastAsia="宋体" w:cs="宋体"/>
                <w:kern w:val="0"/>
                <w:sz w:val="22"/>
              </w:rPr>
              <w:t>、以上产品质量实行质保两年，</w:t>
            </w:r>
            <w:r>
              <w:rPr>
                <w:rFonts w:hint="eastAsia" w:ascii="Times New Roman" w:hAnsi="Times New Roman" w:eastAsia="宋体" w:cs="Times New Roman"/>
                <w:kern w:val="0"/>
                <w:sz w:val="22"/>
              </w:rPr>
              <w:t>伍</w:t>
            </w:r>
            <w:r>
              <w:rPr>
                <w:rFonts w:hint="eastAsia" w:ascii="宋体" w:hAnsi="宋体" w:eastAsia="宋体" w:cs="宋体"/>
                <w:kern w:val="0"/>
                <w:sz w:val="22"/>
              </w:rPr>
              <w:t>年保修。</w:t>
            </w:r>
            <w:r>
              <w:rPr>
                <w:rFonts w:hint="eastAsia" w:ascii="宋体" w:hAnsi="宋体" w:eastAsia="宋体" w:cs="宋体"/>
                <w:kern w:val="0"/>
                <w:sz w:val="22"/>
              </w:rPr>
              <w:br w:type="textWrapping"/>
            </w:r>
            <w:r>
              <w:rPr>
                <w:rFonts w:ascii="Times New Roman" w:hAnsi="Times New Roman" w:eastAsia="宋体" w:cs="Times New Roman"/>
                <w:kern w:val="0"/>
                <w:sz w:val="22"/>
              </w:rPr>
              <w:t xml:space="preserve">    2</w:t>
            </w:r>
            <w:r>
              <w:rPr>
                <w:rFonts w:hint="eastAsia" w:ascii="宋体" w:hAnsi="宋体" w:eastAsia="宋体" w:cs="宋体"/>
                <w:kern w:val="0"/>
                <w:sz w:val="22"/>
              </w:rPr>
              <w:t>、以上材料报价含运输费、现场安装和调试费用。设备费、人工费、专利费、技术资料费、技术服务、质量保证期内的维护、维修等费用，还包括合同货物的税费（关税、增值税等）、运杂费（上下车费、运费等）、保险费（交货验收前，如果有）、包装费、安装费（含安装所需的所有材料费）、仓储管理费、调试费及调试所需的辅材、人工及超常规的额外费用、验收所需的材料费、检测费、培训费等。</w:t>
            </w:r>
            <w:r>
              <w:rPr>
                <w:rFonts w:hint="eastAsia" w:ascii="宋体" w:hAnsi="宋体" w:eastAsia="宋体" w:cs="宋体"/>
                <w:kern w:val="0"/>
                <w:sz w:val="22"/>
              </w:rPr>
              <w:br w:type="textWrapping"/>
            </w:r>
            <w:r>
              <w:rPr>
                <w:rFonts w:ascii="Times New Roman" w:hAnsi="Times New Roman" w:eastAsia="宋体" w:cs="Times New Roman"/>
                <w:b/>
                <w:bCs/>
                <w:kern w:val="0"/>
                <w:sz w:val="24"/>
                <w:szCs w:val="24"/>
              </w:rPr>
              <w:t xml:space="preserve">                                                                                 </w:t>
            </w:r>
          </w:p>
        </w:tc>
      </w:tr>
    </w:tbl>
    <w:p>
      <w:pPr>
        <w:spacing w:line="360" w:lineRule="auto"/>
        <w:rPr>
          <w:rFonts w:ascii="Times New Roman" w:hAnsi="Times New Roman" w:eastAsia="仿宋" w:cs="Times New Roman"/>
          <w:sz w:val="28"/>
          <w:szCs w:val="28"/>
        </w:rPr>
      </w:pPr>
    </w:p>
    <w:tbl>
      <w:tblPr>
        <w:tblStyle w:val="6"/>
        <w:tblW w:w="9520" w:type="dxa"/>
        <w:tblInd w:w="0" w:type="dxa"/>
        <w:tblLayout w:type="autofit"/>
        <w:tblCellMar>
          <w:top w:w="0" w:type="dxa"/>
          <w:left w:w="108" w:type="dxa"/>
          <w:bottom w:w="0" w:type="dxa"/>
          <w:right w:w="108" w:type="dxa"/>
        </w:tblCellMar>
      </w:tblPr>
      <w:tblGrid>
        <w:gridCol w:w="1100"/>
        <w:gridCol w:w="1080"/>
        <w:gridCol w:w="3911"/>
        <w:gridCol w:w="1089"/>
        <w:gridCol w:w="1100"/>
        <w:gridCol w:w="1240"/>
      </w:tblGrid>
      <w:tr>
        <w:tblPrEx>
          <w:tblCellMar>
            <w:top w:w="0" w:type="dxa"/>
            <w:left w:w="108" w:type="dxa"/>
            <w:bottom w:w="0" w:type="dxa"/>
            <w:right w:w="108" w:type="dxa"/>
          </w:tblCellMar>
        </w:tblPrEx>
        <w:trPr>
          <w:trHeight w:val="645" w:hRule="atLeast"/>
        </w:trPr>
        <w:tc>
          <w:tcPr>
            <w:tcW w:w="95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_GBK" w:hAnsi="宋体" w:eastAsia="方正小标宋_GBK" w:cs="宋体"/>
                <w:kern w:val="0"/>
                <w:sz w:val="40"/>
                <w:szCs w:val="40"/>
              </w:rPr>
            </w:pPr>
            <w:r>
              <w:rPr>
                <w:rFonts w:hint="eastAsia" w:ascii="方正小标宋_GBK" w:hAnsi="宋体" w:eastAsia="方正小标宋_GBK" w:cs="宋体"/>
                <w:kern w:val="0"/>
                <w:sz w:val="40"/>
                <w:szCs w:val="40"/>
              </w:rPr>
              <w:t>西计标准厂房配电设备年度保养预防性试验清单</w:t>
            </w:r>
          </w:p>
        </w:tc>
      </w:tr>
      <w:tr>
        <w:tblPrEx>
          <w:tblCellMar>
            <w:top w:w="0" w:type="dxa"/>
            <w:left w:w="108" w:type="dxa"/>
            <w:bottom w:w="0" w:type="dxa"/>
            <w:right w:w="108" w:type="dxa"/>
          </w:tblCellMar>
        </w:tblPrEx>
        <w:trPr>
          <w:trHeight w:val="375" w:hRule="atLeast"/>
        </w:trPr>
        <w:tc>
          <w:tcPr>
            <w:tcW w:w="2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项目位置</w:t>
            </w:r>
          </w:p>
        </w:tc>
        <w:tc>
          <w:tcPr>
            <w:tcW w:w="39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预防性试验项目内容</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405"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开闭所</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商业街专配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高压电缆</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10KV电力预防性试验（进线）</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10KV电力预防性试验（站内）</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根</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高压开关柜</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6-10KV开关柜.定期试验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10-110kV继电保护定时限</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10KV避雷器.定期试验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电力变压器</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6-10KV电力变压器：800KVA及以下.定期试验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0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Times New Roman" w:hAnsi="Times New Roman" w:eastAsia="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-1466215</wp:posOffset>
                      </wp:positionH>
                      <wp:positionV relativeFrom="paragraph">
                        <wp:posOffset>400685</wp:posOffset>
                      </wp:positionV>
                      <wp:extent cx="704850" cy="0"/>
                      <wp:effectExtent l="0" t="0" r="19050" b="19050"/>
                      <wp:wrapNone/>
                      <wp:docPr id="2" name="直接连接符 2"/>
                      <wp:cNvGraphicFramePr/>
                      <a:graphic xmlns:a="http://schemas.openxmlformats.org/drawingml/2006/main">
                        <a:graphicData uri="http://schemas.microsoft.com/office/word/2010/wordprocessingShape">
                          <wps:wsp>
                            <wps:cNvCnPr/>
                            <wps:spPr>
                              <a:xfrm flipH="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15.45pt;margin-top:31.55pt;height:0pt;width:55.5pt;z-index:251659264;mso-width-relative:page;mso-height-relative:page;" filled="f" stroked="t" coordsize="21600,21600" o:gfxdata="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4qdrX&#10;AAAACwEAAA8AAAAAAAAAAQAgAAAAIgAAAGRycy9kb3ducmV2LnhtbFBLAQIUABQAAAAIAIdO4kBz&#10;zUeG6AEAALoDAAAOAAAAAAAAAAEAIAAAACYBAABkcnMvZTJvRG9jLnhtbFBLBQYAAAAABgAGAFkB&#10;AACABQAAAAA=&#10;">
                      <v:fill on="f" focussize="0,0"/>
                      <v:stroke weight="0.5pt" color="#000000 [3200]" miterlimit="8" joinstyle="miter"/>
                      <v:imagedata o:title=""/>
                      <o:lock v:ext="edit" aspectratio="f"/>
                    </v:line>
                  </w:pict>
                </mc:Fallback>
              </mc:AlternateContent>
            </w:r>
            <w:r>
              <w:rPr>
                <w:rFonts w:hint="eastAsia" w:ascii="宋体" w:hAnsi="宋体" w:eastAsia="宋体" w:cs="宋体"/>
                <w:color w:val="000000"/>
                <w:kern w:val="0"/>
                <w:sz w:val="22"/>
              </w:rPr>
              <w:t>10KV配电站接地电阻测试(站).定期试验</w:t>
            </w:r>
          </w:p>
        </w:tc>
        <w:tc>
          <w:tcPr>
            <w:tcW w:w="1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工器具年检</w:t>
            </w: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绝缘手套年检</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若干</w:t>
            </w:r>
          </w:p>
        </w:tc>
        <w:tc>
          <w:tcPr>
            <w:tcW w:w="1240"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根据现场使用工器具数量进行年检　</w:t>
            </w:r>
          </w:p>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绝缘靴年检</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若干</w:t>
            </w:r>
          </w:p>
        </w:tc>
        <w:tc>
          <w:tcPr>
            <w:tcW w:w="1240" w:type="dxa"/>
            <w:vMerge w:val="continue"/>
            <w:tcBorders>
              <w:left w:val="nil"/>
              <w:right w:val="single" w:color="auto" w:sz="4" w:space="0"/>
            </w:tcBorders>
            <w:shd w:val="clear" w:color="auto" w:fill="auto"/>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验电器年检</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若干</w:t>
            </w:r>
          </w:p>
        </w:tc>
        <w:tc>
          <w:tcPr>
            <w:tcW w:w="1240" w:type="dxa"/>
            <w:vMerge w:val="continue"/>
            <w:tcBorders>
              <w:left w:val="nil"/>
              <w:right w:val="single" w:color="auto" w:sz="4" w:space="0"/>
            </w:tcBorders>
            <w:shd w:val="clear" w:color="auto" w:fill="auto"/>
            <w:vAlign w:val="center"/>
          </w:tcPr>
          <w:p>
            <w:pPr>
              <w:jc w:val="center"/>
              <w:rPr>
                <w:rFonts w:ascii="宋体" w:hAnsi="宋体" w:eastAsia="宋体" w:cs="宋体"/>
                <w:kern w:val="0"/>
                <w:sz w:val="22"/>
              </w:rPr>
            </w:pPr>
          </w:p>
        </w:tc>
      </w:tr>
      <w:tr>
        <w:tblPrEx>
          <w:tblCellMar>
            <w:top w:w="0" w:type="dxa"/>
            <w:left w:w="108" w:type="dxa"/>
            <w:bottom w:w="0" w:type="dxa"/>
            <w:right w:w="108" w:type="dxa"/>
          </w:tblCellMar>
        </w:tblPrEx>
        <w:trPr>
          <w:trHeight w:val="390" w:hRule="atLeast"/>
        </w:trPr>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9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接地线年检</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若干</w:t>
            </w:r>
          </w:p>
        </w:tc>
        <w:tc>
          <w:tcPr>
            <w:tcW w:w="124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319" w:hRule="atLeast"/>
        </w:trPr>
        <w:tc>
          <w:tcPr>
            <w:tcW w:w="1100"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说明：</w:t>
            </w:r>
          </w:p>
        </w:tc>
        <w:tc>
          <w:tcPr>
            <w:tcW w:w="1080"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3911"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89"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00"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240"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19" w:hRule="atLeast"/>
        </w:trPr>
        <w:tc>
          <w:tcPr>
            <w:tcW w:w="6091"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1、上述内容不含至市电电源点受电电缆（开闭所10KV电力进线）；</w:t>
            </w:r>
          </w:p>
        </w:tc>
        <w:tc>
          <w:tcPr>
            <w:tcW w:w="1089"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p>
        </w:tc>
        <w:tc>
          <w:tcPr>
            <w:tcW w:w="110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trPr>
        <w:tc>
          <w:tcPr>
            <w:tcW w:w="718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2、报价包含预试时对高低配电柜清洁吹灰、螺丝紧固等维保服务；</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ascii="仿宋_GB2312" w:hAnsi="宋体" w:eastAsia="仿宋_GB2312" w:cs="宋体"/>
                <w:kern w:val="0"/>
                <w:sz w:val="24"/>
                <w:szCs w:val="24"/>
              </w:rPr>
              <w:t>.</w:t>
            </w:r>
            <w:r>
              <w:rPr>
                <w:rFonts w:hint="eastAsia" w:ascii="仿宋_GB2312" w:hAnsi="宋体" w:eastAsia="仿宋_GB2312" w:cs="宋体"/>
                <w:kern w:val="0"/>
                <w:sz w:val="24"/>
                <w:szCs w:val="24"/>
              </w:rPr>
              <w:t>维保期内设施设备故障2小时内派维修人员处理。</w:t>
            </w:r>
          </w:p>
        </w:tc>
        <w:tc>
          <w:tcPr>
            <w:tcW w:w="1100" w:type="dxa"/>
            <w:tcBorders>
              <w:top w:val="nil"/>
              <w:left w:val="nil"/>
              <w:bottom w:val="nil"/>
              <w:right w:val="nil"/>
            </w:tcBorders>
            <w:shd w:val="clear" w:color="auto" w:fill="auto"/>
            <w:noWrap/>
            <w:vAlign w:val="center"/>
          </w:tcPr>
          <w:p>
            <w:pPr>
              <w:widowControl/>
              <w:jc w:val="left"/>
              <w:rPr>
                <w:rFonts w:ascii="仿宋_GB2312" w:hAnsi="宋体" w:eastAsia="仿宋_GB2312" w:cs="宋体"/>
                <w:kern w:val="0"/>
                <w:sz w:val="24"/>
                <w:szCs w:val="24"/>
              </w:rPr>
            </w:pPr>
          </w:p>
        </w:tc>
        <w:tc>
          <w:tcPr>
            <w:tcW w:w="124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p>
      <w:pPr>
        <w:spacing w:line="360" w:lineRule="auto"/>
        <w:ind w:left="910" w:leftChars="300" w:hanging="280" w:hangingChars="100"/>
        <w:jc w:val="center"/>
        <w:rPr>
          <w:rFonts w:ascii="Times New Roman" w:hAnsi="Times New Roman" w:eastAsia="仿宋" w:cs="Times New Roman"/>
          <w:sz w:val="28"/>
          <w:szCs w:val="28"/>
        </w:rPr>
      </w:pPr>
    </w:p>
    <w:p>
      <w:pPr>
        <w:tabs>
          <w:tab w:val="left" w:pos="3045"/>
        </w:tabs>
        <w:rPr>
          <w:rFonts w:ascii="Times New Roman" w:hAnsi="Times New Roman" w:eastAsia="仿宋" w:cs="Times New Roman"/>
          <w:sz w:val="28"/>
          <w:szCs w:val="28"/>
        </w:rPr>
      </w:pPr>
      <w:r>
        <w:rPr>
          <w:rFonts w:ascii="Times New Roman" w:hAnsi="Times New Roman" w:eastAsia="仿宋" w:cs="Times New Roman"/>
          <w:sz w:val="28"/>
          <w:szCs w:val="28"/>
        </w:rPr>
        <w:tab/>
      </w:r>
    </w:p>
    <w:sectPr>
      <w:pgSz w:w="11906" w:h="16838"/>
      <w:pgMar w:top="1418" w:right="1361" w:bottom="119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4"/>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0A"/>
    <w:rsid w:val="0000039A"/>
    <w:rsid w:val="000133C6"/>
    <w:rsid w:val="00016B40"/>
    <w:rsid w:val="0002315A"/>
    <w:rsid w:val="000529FC"/>
    <w:rsid w:val="000573C1"/>
    <w:rsid w:val="00063FB9"/>
    <w:rsid w:val="00081D53"/>
    <w:rsid w:val="00087719"/>
    <w:rsid w:val="00087910"/>
    <w:rsid w:val="000A0B5E"/>
    <w:rsid w:val="000B2D89"/>
    <w:rsid w:val="000B2E9C"/>
    <w:rsid w:val="000B756F"/>
    <w:rsid w:val="000C0D37"/>
    <w:rsid w:val="000C2412"/>
    <w:rsid w:val="000C401B"/>
    <w:rsid w:val="000C517D"/>
    <w:rsid w:val="000C6842"/>
    <w:rsid w:val="000D0706"/>
    <w:rsid w:val="0010010A"/>
    <w:rsid w:val="001030A1"/>
    <w:rsid w:val="0011158D"/>
    <w:rsid w:val="001150F6"/>
    <w:rsid w:val="001164C8"/>
    <w:rsid w:val="00117AC4"/>
    <w:rsid w:val="00132CD9"/>
    <w:rsid w:val="00136841"/>
    <w:rsid w:val="00140386"/>
    <w:rsid w:val="00141930"/>
    <w:rsid w:val="001427F2"/>
    <w:rsid w:val="001542BD"/>
    <w:rsid w:val="00156A05"/>
    <w:rsid w:val="00161E9D"/>
    <w:rsid w:val="00161EE1"/>
    <w:rsid w:val="001650F0"/>
    <w:rsid w:val="001653FD"/>
    <w:rsid w:val="00176FA2"/>
    <w:rsid w:val="00183D43"/>
    <w:rsid w:val="00192ACA"/>
    <w:rsid w:val="001A5426"/>
    <w:rsid w:val="001B01F8"/>
    <w:rsid w:val="001B0294"/>
    <w:rsid w:val="001B05F7"/>
    <w:rsid w:val="001B2F2B"/>
    <w:rsid w:val="001B6CA3"/>
    <w:rsid w:val="001C74C1"/>
    <w:rsid w:val="001D2C49"/>
    <w:rsid w:val="001D63A7"/>
    <w:rsid w:val="001E3E54"/>
    <w:rsid w:val="001E4E43"/>
    <w:rsid w:val="001F05B3"/>
    <w:rsid w:val="001F6B33"/>
    <w:rsid w:val="00207387"/>
    <w:rsid w:val="0021161C"/>
    <w:rsid w:val="002122D6"/>
    <w:rsid w:val="002150AC"/>
    <w:rsid w:val="00216B05"/>
    <w:rsid w:val="0021732C"/>
    <w:rsid w:val="002313BB"/>
    <w:rsid w:val="00255387"/>
    <w:rsid w:val="00262017"/>
    <w:rsid w:val="00280D3B"/>
    <w:rsid w:val="00292A1A"/>
    <w:rsid w:val="002A7DEA"/>
    <w:rsid w:val="002B7871"/>
    <w:rsid w:val="002C4FC1"/>
    <w:rsid w:val="002D35B6"/>
    <w:rsid w:val="002D4086"/>
    <w:rsid w:val="002D7504"/>
    <w:rsid w:val="002F0A06"/>
    <w:rsid w:val="002F3D43"/>
    <w:rsid w:val="002F48F9"/>
    <w:rsid w:val="002F7C78"/>
    <w:rsid w:val="002F7D0A"/>
    <w:rsid w:val="0030183E"/>
    <w:rsid w:val="00311A99"/>
    <w:rsid w:val="00326926"/>
    <w:rsid w:val="00327A50"/>
    <w:rsid w:val="00332061"/>
    <w:rsid w:val="00341E1C"/>
    <w:rsid w:val="00344A51"/>
    <w:rsid w:val="00352B9C"/>
    <w:rsid w:val="00355964"/>
    <w:rsid w:val="00360885"/>
    <w:rsid w:val="0036142C"/>
    <w:rsid w:val="003653D5"/>
    <w:rsid w:val="00367A14"/>
    <w:rsid w:val="00374705"/>
    <w:rsid w:val="00387290"/>
    <w:rsid w:val="0038743C"/>
    <w:rsid w:val="003935B9"/>
    <w:rsid w:val="003A128A"/>
    <w:rsid w:val="003A37E3"/>
    <w:rsid w:val="003B17F2"/>
    <w:rsid w:val="003D2C87"/>
    <w:rsid w:val="003E4A8F"/>
    <w:rsid w:val="003F379D"/>
    <w:rsid w:val="003F6D64"/>
    <w:rsid w:val="0040221D"/>
    <w:rsid w:val="00405C8A"/>
    <w:rsid w:val="004061D3"/>
    <w:rsid w:val="00406F87"/>
    <w:rsid w:val="004101F5"/>
    <w:rsid w:val="00410987"/>
    <w:rsid w:val="004128AB"/>
    <w:rsid w:val="004240A4"/>
    <w:rsid w:val="00431343"/>
    <w:rsid w:val="00431B77"/>
    <w:rsid w:val="004337FB"/>
    <w:rsid w:val="00433B3B"/>
    <w:rsid w:val="00434AA4"/>
    <w:rsid w:val="004352FB"/>
    <w:rsid w:val="004412A9"/>
    <w:rsid w:val="00441C31"/>
    <w:rsid w:val="00452477"/>
    <w:rsid w:val="00467ECA"/>
    <w:rsid w:val="004746F6"/>
    <w:rsid w:val="00483424"/>
    <w:rsid w:val="00486A33"/>
    <w:rsid w:val="00490F56"/>
    <w:rsid w:val="004961FE"/>
    <w:rsid w:val="004C1EE4"/>
    <w:rsid w:val="004D11E3"/>
    <w:rsid w:val="004D3D53"/>
    <w:rsid w:val="004D5962"/>
    <w:rsid w:val="004D7514"/>
    <w:rsid w:val="004E00FD"/>
    <w:rsid w:val="004E7310"/>
    <w:rsid w:val="004F3781"/>
    <w:rsid w:val="004F77E9"/>
    <w:rsid w:val="004F79A2"/>
    <w:rsid w:val="00500FC0"/>
    <w:rsid w:val="00514405"/>
    <w:rsid w:val="00526740"/>
    <w:rsid w:val="005276C6"/>
    <w:rsid w:val="00530EDA"/>
    <w:rsid w:val="005510AA"/>
    <w:rsid w:val="00556E4A"/>
    <w:rsid w:val="005573D3"/>
    <w:rsid w:val="00557E5A"/>
    <w:rsid w:val="00565E51"/>
    <w:rsid w:val="005820A9"/>
    <w:rsid w:val="00590A91"/>
    <w:rsid w:val="00590E3E"/>
    <w:rsid w:val="0059452D"/>
    <w:rsid w:val="005A2380"/>
    <w:rsid w:val="005A2486"/>
    <w:rsid w:val="005A70DA"/>
    <w:rsid w:val="005C0A48"/>
    <w:rsid w:val="005D5F15"/>
    <w:rsid w:val="005D61EC"/>
    <w:rsid w:val="005D69C5"/>
    <w:rsid w:val="005E1AE6"/>
    <w:rsid w:val="006101E1"/>
    <w:rsid w:val="00611B01"/>
    <w:rsid w:val="00635218"/>
    <w:rsid w:val="0064494A"/>
    <w:rsid w:val="0065087A"/>
    <w:rsid w:val="00657775"/>
    <w:rsid w:val="006633AA"/>
    <w:rsid w:val="0067122D"/>
    <w:rsid w:val="006855DA"/>
    <w:rsid w:val="00690F11"/>
    <w:rsid w:val="006B39F3"/>
    <w:rsid w:val="006C016D"/>
    <w:rsid w:val="006D33B6"/>
    <w:rsid w:val="006E687A"/>
    <w:rsid w:val="006F47AD"/>
    <w:rsid w:val="006F7238"/>
    <w:rsid w:val="006F77C8"/>
    <w:rsid w:val="0070043A"/>
    <w:rsid w:val="00717C03"/>
    <w:rsid w:val="00725628"/>
    <w:rsid w:val="00727BE3"/>
    <w:rsid w:val="00733089"/>
    <w:rsid w:val="00736B30"/>
    <w:rsid w:val="00747269"/>
    <w:rsid w:val="0074740C"/>
    <w:rsid w:val="00754067"/>
    <w:rsid w:val="00755B48"/>
    <w:rsid w:val="00760D09"/>
    <w:rsid w:val="00770E70"/>
    <w:rsid w:val="00777E4C"/>
    <w:rsid w:val="007909FE"/>
    <w:rsid w:val="00792B47"/>
    <w:rsid w:val="00794CA3"/>
    <w:rsid w:val="00796E9F"/>
    <w:rsid w:val="00797CA0"/>
    <w:rsid w:val="007D576A"/>
    <w:rsid w:val="007E0A82"/>
    <w:rsid w:val="007E13E2"/>
    <w:rsid w:val="007E728D"/>
    <w:rsid w:val="00804997"/>
    <w:rsid w:val="00805542"/>
    <w:rsid w:val="0080605C"/>
    <w:rsid w:val="00820DA9"/>
    <w:rsid w:val="00823DDF"/>
    <w:rsid w:val="00854137"/>
    <w:rsid w:val="008618B7"/>
    <w:rsid w:val="00863AA2"/>
    <w:rsid w:val="00870F0B"/>
    <w:rsid w:val="00872010"/>
    <w:rsid w:val="008762C6"/>
    <w:rsid w:val="00881329"/>
    <w:rsid w:val="00881337"/>
    <w:rsid w:val="0088316C"/>
    <w:rsid w:val="00896C03"/>
    <w:rsid w:val="008975A7"/>
    <w:rsid w:val="008A0CE4"/>
    <w:rsid w:val="008A7DB9"/>
    <w:rsid w:val="008B3C25"/>
    <w:rsid w:val="008B5ED6"/>
    <w:rsid w:val="008B76E2"/>
    <w:rsid w:val="008C0859"/>
    <w:rsid w:val="008C1397"/>
    <w:rsid w:val="008C1EAD"/>
    <w:rsid w:val="008C3B76"/>
    <w:rsid w:val="008C7992"/>
    <w:rsid w:val="008D4B99"/>
    <w:rsid w:val="008D7F63"/>
    <w:rsid w:val="008E2864"/>
    <w:rsid w:val="008E6C52"/>
    <w:rsid w:val="008F396D"/>
    <w:rsid w:val="008F57BD"/>
    <w:rsid w:val="008F6159"/>
    <w:rsid w:val="008F6B3A"/>
    <w:rsid w:val="008F763E"/>
    <w:rsid w:val="00904EAD"/>
    <w:rsid w:val="009061DA"/>
    <w:rsid w:val="00917217"/>
    <w:rsid w:val="009329FD"/>
    <w:rsid w:val="00943D1E"/>
    <w:rsid w:val="00950B5A"/>
    <w:rsid w:val="00972F05"/>
    <w:rsid w:val="00984F40"/>
    <w:rsid w:val="00987A09"/>
    <w:rsid w:val="00990697"/>
    <w:rsid w:val="00996048"/>
    <w:rsid w:val="009B073A"/>
    <w:rsid w:val="009B4466"/>
    <w:rsid w:val="009C7D1F"/>
    <w:rsid w:val="009D11EC"/>
    <w:rsid w:val="009D5579"/>
    <w:rsid w:val="009D6789"/>
    <w:rsid w:val="009E1413"/>
    <w:rsid w:val="009E57F7"/>
    <w:rsid w:val="009E6B1D"/>
    <w:rsid w:val="009F2ADA"/>
    <w:rsid w:val="009F3C43"/>
    <w:rsid w:val="009F3D5C"/>
    <w:rsid w:val="00A05394"/>
    <w:rsid w:val="00A13D7E"/>
    <w:rsid w:val="00A25733"/>
    <w:rsid w:val="00A33389"/>
    <w:rsid w:val="00A45F56"/>
    <w:rsid w:val="00A46D3B"/>
    <w:rsid w:val="00A514BD"/>
    <w:rsid w:val="00A57AC1"/>
    <w:rsid w:val="00A82DEC"/>
    <w:rsid w:val="00A870A1"/>
    <w:rsid w:val="00A90402"/>
    <w:rsid w:val="00A952B7"/>
    <w:rsid w:val="00AA0A1B"/>
    <w:rsid w:val="00AD1F62"/>
    <w:rsid w:val="00AD4853"/>
    <w:rsid w:val="00AD71CD"/>
    <w:rsid w:val="00AD7349"/>
    <w:rsid w:val="00AF1B30"/>
    <w:rsid w:val="00AF44C4"/>
    <w:rsid w:val="00B01C63"/>
    <w:rsid w:val="00B111E4"/>
    <w:rsid w:val="00B14D19"/>
    <w:rsid w:val="00B2173A"/>
    <w:rsid w:val="00B265C7"/>
    <w:rsid w:val="00B34D24"/>
    <w:rsid w:val="00B36C8D"/>
    <w:rsid w:val="00B417AE"/>
    <w:rsid w:val="00B54DC3"/>
    <w:rsid w:val="00B82FD5"/>
    <w:rsid w:val="00B840A8"/>
    <w:rsid w:val="00B9323E"/>
    <w:rsid w:val="00B94C09"/>
    <w:rsid w:val="00BA1D8D"/>
    <w:rsid w:val="00BB3D33"/>
    <w:rsid w:val="00BE42F6"/>
    <w:rsid w:val="00C034CE"/>
    <w:rsid w:val="00C17ECD"/>
    <w:rsid w:val="00C3343D"/>
    <w:rsid w:val="00C3495A"/>
    <w:rsid w:val="00C37113"/>
    <w:rsid w:val="00C547EB"/>
    <w:rsid w:val="00C62E44"/>
    <w:rsid w:val="00C701AB"/>
    <w:rsid w:val="00C70C05"/>
    <w:rsid w:val="00C73297"/>
    <w:rsid w:val="00C73972"/>
    <w:rsid w:val="00C75409"/>
    <w:rsid w:val="00C93986"/>
    <w:rsid w:val="00CA3812"/>
    <w:rsid w:val="00CB1753"/>
    <w:rsid w:val="00CC0729"/>
    <w:rsid w:val="00CC68A7"/>
    <w:rsid w:val="00CC7EF9"/>
    <w:rsid w:val="00CD1E70"/>
    <w:rsid w:val="00CD414D"/>
    <w:rsid w:val="00CE4E0F"/>
    <w:rsid w:val="00CF013A"/>
    <w:rsid w:val="00CF70A6"/>
    <w:rsid w:val="00CF7940"/>
    <w:rsid w:val="00D014C7"/>
    <w:rsid w:val="00D106F3"/>
    <w:rsid w:val="00D308D5"/>
    <w:rsid w:val="00D40712"/>
    <w:rsid w:val="00D44510"/>
    <w:rsid w:val="00D463E4"/>
    <w:rsid w:val="00D4668A"/>
    <w:rsid w:val="00D50513"/>
    <w:rsid w:val="00D52664"/>
    <w:rsid w:val="00D557FE"/>
    <w:rsid w:val="00D57E9C"/>
    <w:rsid w:val="00D72619"/>
    <w:rsid w:val="00D76AF1"/>
    <w:rsid w:val="00D813D4"/>
    <w:rsid w:val="00D90242"/>
    <w:rsid w:val="00DA2418"/>
    <w:rsid w:val="00DB1170"/>
    <w:rsid w:val="00DC54CD"/>
    <w:rsid w:val="00DD7103"/>
    <w:rsid w:val="00DD7524"/>
    <w:rsid w:val="00DE141A"/>
    <w:rsid w:val="00DF1C78"/>
    <w:rsid w:val="00DF7DD1"/>
    <w:rsid w:val="00E057BC"/>
    <w:rsid w:val="00E11AC9"/>
    <w:rsid w:val="00E16A9D"/>
    <w:rsid w:val="00E5227B"/>
    <w:rsid w:val="00E52C6C"/>
    <w:rsid w:val="00E535CC"/>
    <w:rsid w:val="00E756C5"/>
    <w:rsid w:val="00E75A7E"/>
    <w:rsid w:val="00E9038F"/>
    <w:rsid w:val="00E926CC"/>
    <w:rsid w:val="00E97B58"/>
    <w:rsid w:val="00EA15ED"/>
    <w:rsid w:val="00EB0D85"/>
    <w:rsid w:val="00EB0DEE"/>
    <w:rsid w:val="00EC14F0"/>
    <w:rsid w:val="00EC4AC6"/>
    <w:rsid w:val="00ED17DA"/>
    <w:rsid w:val="00ED2B9B"/>
    <w:rsid w:val="00EE2C49"/>
    <w:rsid w:val="00EF029A"/>
    <w:rsid w:val="00EF1215"/>
    <w:rsid w:val="00EF20C2"/>
    <w:rsid w:val="00EF54FF"/>
    <w:rsid w:val="00F0350A"/>
    <w:rsid w:val="00F217F1"/>
    <w:rsid w:val="00F3480B"/>
    <w:rsid w:val="00F5164F"/>
    <w:rsid w:val="00F62B69"/>
    <w:rsid w:val="00F62B9E"/>
    <w:rsid w:val="00F67A2A"/>
    <w:rsid w:val="00F7748D"/>
    <w:rsid w:val="00F919B2"/>
    <w:rsid w:val="00FB03AA"/>
    <w:rsid w:val="00FB2E50"/>
    <w:rsid w:val="00FD0E0A"/>
    <w:rsid w:val="00FF195E"/>
    <w:rsid w:val="00FF6EBD"/>
    <w:rsid w:val="44632FC1"/>
    <w:rsid w:val="46074ECF"/>
    <w:rsid w:val="6348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link w:val="13"/>
    <w:unhideWhenUsed/>
    <w:qFormat/>
    <w:uiPriority w:val="0"/>
    <w:pPr>
      <w:spacing w:after="120"/>
    </w:pPr>
    <w:rPr>
      <w:rFonts w:ascii="Times New Roman" w:hAnsi="Times New Roman" w:eastAsia="华文中宋" w:cs="Times New Roman"/>
      <w:sz w:val="16"/>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style>
  <w:style w:type="paragraph" w:customStyle="1" w:styleId="12">
    <w:name w:val="图例"/>
    <w:basedOn w:val="1"/>
    <w:uiPriority w:val="0"/>
    <w:pPr>
      <w:spacing w:before="120" w:after="120" w:line="360" w:lineRule="auto"/>
      <w:jc w:val="center"/>
    </w:pPr>
    <w:rPr>
      <w:rFonts w:ascii="Times New Roman" w:hAnsi="Times New Roman" w:eastAsia="仿宋_GB2312" w:cs="Times New Roman"/>
      <w:b/>
      <w:sz w:val="24"/>
      <w:szCs w:val="20"/>
    </w:rPr>
  </w:style>
  <w:style w:type="character" w:customStyle="1" w:styleId="13">
    <w:name w:val="正文文本 3 Char"/>
    <w:basedOn w:val="8"/>
    <w:link w:val="2"/>
    <w:qFormat/>
    <w:uiPriority w:val="0"/>
    <w:rPr>
      <w:rFonts w:ascii="Times New Roman" w:hAnsi="Times New Roman" w:eastAsia="华文中宋" w:cs="Times New Roman"/>
      <w:sz w:val="16"/>
      <w:szCs w:val="20"/>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25641-1CBC-45E8-ADE9-4CD8BB3BBF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1425</Words>
  <Characters>8128</Characters>
  <Lines>67</Lines>
  <Paragraphs>19</Paragraphs>
  <TotalTime>798</TotalTime>
  <ScaleCrop>false</ScaleCrop>
  <LinksUpToDate>false</LinksUpToDate>
  <CharactersWithSpaces>9534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2020-06-09T02:25:00Z</dcterms:created>
  <dc:creator>MicroSoft</dc:creator>
  <cp:lastModifiedBy>若歆</cp:lastModifiedBy>
  <cp:lastPrinted>2021-08-16T01:38:00Z</cp:lastPrinted>
  <dcterms:modified xsi:type="dcterms:W3CDTF">2022-01-21T02:51:55Z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668AFE73D19648DC8EDDDFDF69ECE15F</vt:lpwstr>
  </property>
</Properties>
</file>