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黑体" w:hAnsi="黑体" w:eastAsia="黑体"/>
          <w:b/>
          <w:bCs/>
          <w:color w:val="FF0000"/>
          <w:spacing w:val="80"/>
          <w:sz w:val="44"/>
          <w:szCs w:val="44"/>
        </w:rPr>
      </w:pPr>
    </w:p>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竞争性</w:t>
      </w:r>
      <w:bookmarkStart w:id="80" w:name="_GoBack"/>
      <w:bookmarkEnd w:id="80"/>
      <w:r>
        <w:rPr>
          <w:rFonts w:hint="eastAsia" w:ascii="方正黑体_GBK" w:hAnsi="宋体" w:eastAsia="方正黑体_GBK"/>
          <w:spacing w:val="80"/>
          <w:sz w:val="112"/>
          <w:szCs w:val="112"/>
        </w:rPr>
        <w:t>磋商文件</w:t>
      </w: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outlineLvl w:val="0"/>
        <w:rPr>
          <w:rFonts w:eastAsia="方正仿宋_GBK"/>
          <w:b/>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p>
    <w:p>
      <w:pPr>
        <w:spacing w:line="440" w:lineRule="exact"/>
        <w:ind w:firstLine="960" w:firstLineChars="300"/>
        <w:outlineLvl w:val="0"/>
        <w:rPr>
          <w:rFonts w:eastAsia="方正仿宋_GBK"/>
          <w:sz w:val="32"/>
          <w:szCs w:val="32"/>
        </w:rPr>
      </w:pPr>
      <w:r>
        <w:rPr>
          <w:rFonts w:eastAsia="方正仿宋_GBK"/>
          <w:sz w:val="32"/>
          <w:szCs w:val="32"/>
        </w:rPr>
        <w:t>磋商项目编号：</w:t>
      </w:r>
    </w:p>
    <w:p>
      <w:pPr>
        <w:spacing w:line="440" w:lineRule="exact"/>
        <w:ind w:left="454" w:leftChars="162" w:firstLine="480" w:firstLineChars="150"/>
        <w:outlineLvl w:val="0"/>
        <w:rPr>
          <w:rFonts w:eastAsia="方正仿宋_GBK"/>
          <w:sz w:val="32"/>
          <w:szCs w:val="32"/>
        </w:rPr>
      </w:pPr>
    </w:p>
    <w:p>
      <w:pPr>
        <w:spacing w:line="440" w:lineRule="exact"/>
        <w:ind w:firstLine="960" w:firstLineChars="300"/>
        <w:outlineLvl w:val="0"/>
        <w:rPr>
          <w:rFonts w:eastAsia="方正仿宋_GBK"/>
          <w:sz w:val="32"/>
          <w:szCs w:val="32"/>
        </w:rPr>
      </w:pPr>
      <w:r>
        <w:rPr>
          <w:rFonts w:eastAsia="方正仿宋_GBK"/>
          <w:sz w:val="32"/>
          <w:szCs w:val="32"/>
        </w:rPr>
        <w:t>项目名称：</w:t>
      </w:r>
      <w:r>
        <w:rPr>
          <w:rFonts w:hint="eastAsia" w:eastAsia="方正仿宋_GBK"/>
          <w:color w:val="auto"/>
          <w:sz w:val="32"/>
          <w:szCs w:val="32"/>
          <w:lang w:eastAsia="zh-CN"/>
        </w:rPr>
        <w:t>广阳湾生态城区域范围已摘牌（水投集团和江北嘴公司）地块管护</w:t>
      </w:r>
      <w:r>
        <w:rPr>
          <w:rFonts w:hint="eastAsia" w:eastAsia="方正仿宋_GBK"/>
          <w:sz w:val="32"/>
          <w:szCs w:val="32"/>
        </w:rPr>
        <w:t>单位采购</w:t>
      </w:r>
    </w:p>
    <w:p>
      <w:pPr>
        <w:spacing w:line="440" w:lineRule="exact"/>
        <w:ind w:firstLine="960" w:firstLineChars="300"/>
        <w:outlineLvl w:val="0"/>
        <w:rPr>
          <w:rFonts w:eastAsia="方正仿宋_GBK"/>
          <w:sz w:val="32"/>
          <w:szCs w:val="32"/>
        </w:rPr>
      </w:pPr>
      <w:r>
        <w:rPr>
          <w:rFonts w:eastAsia="方正仿宋_GBK"/>
          <w:sz w:val="32"/>
          <w:szCs w:val="32"/>
        </w:rPr>
        <w:t>采购人：</w:t>
      </w:r>
      <w:r>
        <w:rPr>
          <w:rFonts w:hint="eastAsia" w:eastAsia="方正仿宋_GBK"/>
          <w:sz w:val="32"/>
          <w:szCs w:val="32"/>
        </w:rPr>
        <w:t>重庆经开区开发建设有限公司</w:t>
      </w:r>
    </w:p>
    <w:p>
      <w:pPr>
        <w:spacing w:line="440" w:lineRule="exact"/>
        <w:ind w:firstLine="960" w:firstLineChars="300"/>
        <w:outlineLvl w:val="0"/>
        <w:rPr>
          <w:rFonts w:eastAsia="方正仿宋_GBK"/>
          <w:sz w:val="32"/>
          <w:szCs w:val="32"/>
        </w:rPr>
      </w:pPr>
    </w:p>
    <w:p>
      <w:pPr>
        <w:spacing w:line="440" w:lineRule="exact"/>
        <w:outlineLvl w:val="0"/>
        <w:rPr>
          <w:rFonts w:eastAsia="方正仿宋_GBK"/>
          <w:sz w:val="32"/>
          <w:szCs w:val="32"/>
        </w:rPr>
      </w:pPr>
    </w:p>
    <w:p>
      <w:pPr>
        <w:spacing w:line="440" w:lineRule="exact"/>
        <w:jc w:val="center"/>
        <w:outlineLvl w:val="0"/>
        <w:rPr>
          <w:rFonts w:eastAsia="方正仿宋_GBK"/>
          <w:sz w:val="32"/>
          <w:szCs w:val="32"/>
        </w:rPr>
      </w:pPr>
      <w:r>
        <w:rPr>
          <w:rFonts w:eastAsia="方正仿宋_GBK"/>
          <w:sz w:val="32"/>
          <w:szCs w:val="32"/>
        </w:rPr>
        <w:t>二〇</w:t>
      </w:r>
      <w:r>
        <w:rPr>
          <w:rFonts w:hint="eastAsia" w:eastAsia="方正仿宋_GBK"/>
          <w:sz w:val="32"/>
          <w:szCs w:val="32"/>
        </w:rPr>
        <w:t>二</w:t>
      </w:r>
      <w:r>
        <w:rPr>
          <w:rFonts w:hint="eastAsia" w:eastAsia="方正仿宋_GBK"/>
          <w:sz w:val="32"/>
          <w:szCs w:val="32"/>
          <w:lang w:eastAsia="zh-CN"/>
        </w:rPr>
        <w:t>二</w:t>
      </w:r>
      <w:r>
        <w:rPr>
          <w:rFonts w:eastAsia="方正仿宋_GBK"/>
          <w:sz w:val="32"/>
          <w:szCs w:val="32"/>
        </w:rPr>
        <w:t>年</w:t>
      </w:r>
      <w:r>
        <w:rPr>
          <w:rFonts w:hint="eastAsia" w:eastAsia="方正仿宋_GBK"/>
          <w:sz w:val="32"/>
          <w:szCs w:val="32"/>
          <w:lang w:eastAsia="zh-CN"/>
        </w:rPr>
        <w:t>四</w:t>
      </w:r>
      <w:r>
        <w:rPr>
          <w:rFonts w:eastAsia="方正仿宋_GBK"/>
          <w:sz w:val="32"/>
          <w:szCs w:val="32"/>
        </w:rPr>
        <w:t>月</w:t>
      </w:r>
    </w:p>
    <w:p>
      <w:pPr>
        <w:spacing w:line="440" w:lineRule="exact"/>
        <w:outlineLvl w:val="0"/>
        <w:rPr>
          <w:rFonts w:eastAsia="方正仿宋_GBK"/>
          <w:sz w:val="32"/>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p>
    <w:p>
      <w:pPr>
        <w:widowControl/>
        <w:jc w:val="left"/>
        <w:rPr>
          <w:rFonts w:ascii="黑体" w:hAnsi="黑体" w:eastAsia="黑体"/>
          <w:b/>
          <w:bCs/>
          <w:color w:val="FF0000"/>
          <w:spacing w:val="80"/>
          <w:sz w:val="44"/>
          <w:szCs w:val="44"/>
        </w:rPr>
      </w:pPr>
    </w:p>
    <w:p>
      <w:pPr>
        <w:pStyle w:val="3"/>
        <w:spacing w:line="360" w:lineRule="auto"/>
        <w:jc w:val="center"/>
        <w:rPr>
          <w:rFonts w:ascii="方正小标宋_GBK" w:hAnsi="宋体" w:eastAsia="方正小标宋_GBK"/>
          <w:b w:val="0"/>
          <w:szCs w:val="30"/>
        </w:rPr>
      </w:pPr>
      <w:bookmarkStart w:id="0" w:name="_Toc11641050"/>
      <w:bookmarkStart w:id="1" w:name="_Toc12789052"/>
      <w:bookmarkStart w:id="2" w:name="_Toc466546901"/>
      <w:bookmarkStart w:id="3" w:name="_Toc7625"/>
      <w:bookmarkStart w:id="4" w:name="_Toc3463"/>
      <w:bookmarkStart w:id="5" w:name="_Toc317775175"/>
      <w:bookmarkStart w:id="6" w:name="_Toc25458"/>
      <w:bookmarkStart w:id="7" w:name="_Toc18159"/>
      <w:bookmarkStart w:id="8" w:name="_Toc18881"/>
      <w:bookmarkStart w:id="9" w:name="_Toc12808"/>
      <w:bookmarkStart w:id="10" w:name="_Toc313893526"/>
      <w:bookmarkStart w:id="11" w:name="_Toc26820"/>
      <w:r>
        <w:rPr>
          <w:rFonts w:hint="eastAsia" w:ascii="方正小标宋_GBK" w:hAnsi="宋体" w:eastAsia="方正小标宋_GBK"/>
          <w:b w:val="0"/>
          <w:sz w:val="36"/>
          <w:szCs w:val="30"/>
        </w:rPr>
        <w:t>第一篇  采购邀请书</w:t>
      </w:r>
      <w:bookmarkEnd w:id="0"/>
      <w:bookmarkEnd w:id="1"/>
      <w:bookmarkEnd w:id="2"/>
    </w:p>
    <w:p>
      <w:pPr>
        <w:snapToGrid w:val="0"/>
        <w:spacing w:line="40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重庆经开区开发建设有限公司拟对（项目名称）进行竞争性磋商采购，欢迎有资格的供应商前来参与磋商。</w:t>
      </w:r>
    </w:p>
    <w:p>
      <w:pPr>
        <w:pStyle w:val="4"/>
        <w:spacing w:before="0" w:after="0" w:line="400" w:lineRule="exact"/>
        <w:rPr>
          <w:rFonts w:ascii="方正仿宋_GBK" w:eastAsia="方正仿宋_GBK"/>
          <w:sz w:val="24"/>
          <w:szCs w:val="24"/>
        </w:rPr>
      </w:pPr>
      <w:bookmarkStart w:id="12" w:name="_Toc466546902"/>
      <w:r>
        <w:rPr>
          <w:rFonts w:hint="eastAsia" w:ascii="方正仿宋_GBK" w:eastAsia="方正仿宋_GBK"/>
          <w:sz w:val="24"/>
          <w:szCs w:val="24"/>
        </w:rPr>
        <w:t>一、</w:t>
      </w:r>
      <w:r>
        <w:rPr>
          <w:rFonts w:hint="eastAsia" w:ascii="方正仿宋_GBK" w:hAnsi="宋体" w:eastAsia="方正仿宋_GBK"/>
          <w:sz w:val="24"/>
          <w:szCs w:val="24"/>
        </w:rPr>
        <w:t>竞争性磋商</w:t>
      </w:r>
      <w:r>
        <w:rPr>
          <w:rFonts w:hint="eastAsia" w:ascii="方正仿宋_GBK" w:eastAsia="方正仿宋_GBK"/>
          <w:sz w:val="24"/>
          <w:szCs w:val="24"/>
        </w:rPr>
        <w:t>内容</w:t>
      </w:r>
      <w:bookmarkEnd w:id="12"/>
    </w:p>
    <w:tbl>
      <w:tblPr>
        <w:tblStyle w:val="16"/>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453"/>
        <w:gridCol w:w="951"/>
        <w:gridCol w:w="1202"/>
        <w:gridCol w:w="959"/>
        <w:gridCol w:w="959"/>
        <w:gridCol w:w="95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231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项目名称</w:t>
            </w:r>
          </w:p>
        </w:tc>
        <w:tc>
          <w:tcPr>
            <w:tcW w:w="1453" w:type="dxa"/>
            <w:tcBorders>
              <w:top w:val="single" w:color="auto" w:sz="4" w:space="0"/>
              <w:left w:val="single" w:color="auto" w:sz="4" w:space="0"/>
              <w:right w:val="single" w:color="auto" w:sz="4" w:space="0"/>
            </w:tcBorders>
            <w:vAlign w:val="center"/>
          </w:tcPr>
          <w:p>
            <w:pPr>
              <w:jc w:val="center"/>
              <w:rPr>
                <w:rFonts w:hint="eastAsia"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采购单价</w:t>
            </w:r>
          </w:p>
          <w:p>
            <w:pPr>
              <w:jc w:val="center"/>
              <w:rPr>
                <w:rFonts w:hint="eastAsia" w:ascii="方正仿宋_GBK" w:hAnsi="宋体" w:eastAsia="方正仿宋_GBK" w:cs="宋体"/>
                <w:b/>
                <w:bCs/>
                <w:kern w:val="0"/>
                <w:sz w:val="21"/>
                <w:szCs w:val="24"/>
                <w:highlight w:val="none"/>
                <w:lang w:eastAsia="zh-CN"/>
              </w:rPr>
            </w:pPr>
            <w:r>
              <w:rPr>
                <w:rFonts w:hint="eastAsia" w:ascii="方正仿宋_GBK" w:hAnsi="宋体" w:eastAsia="方正仿宋_GBK" w:cs="宋体"/>
                <w:b/>
                <w:bCs/>
                <w:kern w:val="0"/>
                <w:sz w:val="21"/>
                <w:szCs w:val="24"/>
                <w:highlight w:val="none"/>
                <w:lang w:eastAsia="zh-CN"/>
              </w:rPr>
              <w:t>最高限价</w:t>
            </w:r>
          </w:p>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（元/亩/</w:t>
            </w:r>
            <w:r>
              <w:rPr>
                <w:rFonts w:hint="eastAsia" w:ascii="方正仿宋_GBK" w:hAnsi="宋体" w:eastAsia="方正仿宋_GBK" w:cs="宋体"/>
                <w:b/>
                <w:bCs/>
                <w:kern w:val="0"/>
                <w:sz w:val="21"/>
                <w:szCs w:val="24"/>
                <w:highlight w:val="none"/>
                <w:lang w:eastAsia="zh-CN"/>
              </w:rPr>
              <w:t>年</w:t>
            </w:r>
            <w:r>
              <w:rPr>
                <w:rFonts w:hint="eastAsia" w:ascii="方正仿宋_GBK" w:hAnsi="宋体" w:eastAsia="方正仿宋_GBK" w:cs="宋体"/>
                <w:b/>
                <w:bCs/>
                <w:kern w:val="0"/>
                <w:sz w:val="21"/>
                <w:szCs w:val="24"/>
                <w:highlight w:val="none"/>
              </w:rPr>
              <w:t>）</w:t>
            </w:r>
          </w:p>
        </w:tc>
        <w:tc>
          <w:tcPr>
            <w:tcW w:w="951"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预估数量（亩）</w:t>
            </w:r>
          </w:p>
        </w:tc>
        <w:tc>
          <w:tcPr>
            <w:tcW w:w="1202"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预算总价（万元）</w:t>
            </w:r>
          </w:p>
        </w:tc>
        <w:tc>
          <w:tcPr>
            <w:tcW w:w="959"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highlight w:val="none"/>
              </w:rPr>
              <w:t>投标保证金</w:t>
            </w:r>
          </w:p>
          <w:p>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（万元）</w:t>
            </w:r>
          </w:p>
        </w:tc>
        <w:tc>
          <w:tcPr>
            <w:tcW w:w="959" w:type="dxa"/>
            <w:tcBorders>
              <w:top w:val="single" w:color="auto" w:sz="4" w:space="0"/>
              <w:left w:val="single" w:color="auto" w:sz="4" w:space="0"/>
              <w:right w:val="single" w:color="auto" w:sz="4" w:space="0"/>
            </w:tcBorders>
            <w:vAlign w:val="center"/>
          </w:tcPr>
          <w:p>
            <w:pPr>
              <w:jc w:val="center"/>
              <w:rPr>
                <w:highlight w:val="none"/>
              </w:rPr>
            </w:pPr>
            <w:r>
              <w:rPr>
                <w:rFonts w:hint="eastAsia" w:ascii="方正仿宋_GBK" w:hAnsi="宋体" w:eastAsia="方正仿宋_GBK" w:cs="宋体"/>
                <w:b/>
                <w:bCs/>
                <w:kern w:val="0"/>
                <w:sz w:val="21"/>
                <w:szCs w:val="24"/>
                <w:highlight w:val="none"/>
              </w:rPr>
              <w:t>履约保证金</w:t>
            </w:r>
          </w:p>
          <w:p>
            <w:pPr>
              <w:pStyle w:val="2"/>
              <w:ind w:firstLine="0"/>
              <w:rPr>
                <w:highlight w:val="none"/>
              </w:rPr>
            </w:pPr>
            <w:r>
              <w:rPr>
                <w:rFonts w:hint="eastAsia" w:ascii="方正仿宋_GBK" w:eastAsia="方正仿宋_GBK" w:cs="宋体"/>
                <w:b/>
                <w:bCs/>
                <w:kern w:val="0"/>
                <w:sz w:val="21"/>
                <w:szCs w:val="24"/>
                <w:highlight w:val="none"/>
              </w:rPr>
              <w:t>（万元）</w:t>
            </w:r>
          </w:p>
        </w:tc>
        <w:tc>
          <w:tcPr>
            <w:tcW w:w="959" w:type="dxa"/>
            <w:tcBorders>
              <w:top w:val="single" w:color="auto" w:sz="4" w:space="0"/>
              <w:left w:val="single" w:color="auto" w:sz="4" w:space="0"/>
              <w:right w:val="single" w:color="auto" w:sz="4" w:space="0"/>
            </w:tcBorders>
            <w:vAlign w:val="center"/>
          </w:tcPr>
          <w:p>
            <w:pPr>
              <w:jc w:val="center"/>
            </w:pPr>
            <w:r>
              <w:rPr>
                <w:rFonts w:hint="eastAsia" w:ascii="方正仿宋_GBK" w:hAnsi="宋体" w:eastAsia="方正仿宋_GBK" w:cs="宋体"/>
                <w:b/>
                <w:bCs/>
                <w:kern w:val="0"/>
                <w:sz w:val="21"/>
                <w:szCs w:val="24"/>
              </w:rPr>
              <w:t>成交数量</w:t>
            </w:r>
          </w:p>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（名）</w:t>
            </w:r>
          </w:p>
        </w:tc>
        <w:tc>
          <w:tcPr>
            <w:tcW w:w="1098" w:type="dxa"/>
            <w:tcBorders>
              <w:top w:val="single" w:color="auto" w:sz="4" w:space="0"/>
              <w:left w:val="single" w:color="auto" w:sz="4" w:space="0"/>
              <w:right w:val="single" w:color="auto" w:sz="4" w:space="0"/>
            </w:tcBorders>
          </w:tcPr>
          <w:p>
            <w:pPr>
              <w:rPr>
                <w:rFonts w:ascii="方正仿宋_GBK" w:hAnsi="宋体" w:eastAsia="方正仿宋_GBK" w:cs="宋体"/>
                <w:b/>
                <w:bCs/>
                <w:kern w:val="0"/>
                <w:sz w:val="21"/>
                <w:szCs w:val="24"/>
              </w:rPr>
            </w:pPr>
          </w:p>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是否</w:t>
            </w:r>
            <w:r>
              <w:rPr>
                <w:rFonts w:ascii="方正仿宋_GBK" w:hAnsi="宋体" w:eastAsia="方正仿宋_GBK" w:cs="宋体"/>
                <w:b/>
                <w:bCs/>
                <w:kern w:val="0"/>
                <w:sz w:val="21"/>
                <w:szCs w:val="24"/>
              </w:rPr>
              <w:t>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231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sz w:val="24"/>
                <w:szCs w:val="24"/>
              </w:rPr>
              <w:t>广阳湾生态城区域范围已摘牌（水投集团和江北嘴公司）地块管护服务单位采购</w:t>
            </w:r>
          </w:p>
        </w:tc>
        <w:tc>
          <w:tcPr>
            <w:tcW w:w="1453"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color w:val="000000" w:themeColor="text1"/>
                <w:kern w:val="0"/>
                <w:sz w:val="21"/>
                <w:szCs w:val="24"/>
                <w:highlight w:val="none"/>
                <w14:textFill>
                  <w14:solidFill>
                    <w14:schemeClr w14:val="tx1"/>
                  </w14:solidFill>
                </w14:textFill>
              </w:rPr>
            </w:pPr>
            <w:r>
              <w:rPr>
                <w:rFonts w:hint="eastAsia" w:ascii="方正仿宋_GBK" w:hAnsi="宋体" w:eastAsia="方正仿宋_GBK" w:cs="宋体"/>
                <w:color w:val="000000" w:themeColor="text1"/>
                <w:kern w:val="0"/>
                <w:sz w:val="21"/>
                <w:szCs w:val="24"/>
                <w:highlight w:val="none"/>
                <w14:textFill>
                  <w14:solidFill>
                    <w14:schemeClr w14:val="tx1"/>
                  </w14:solidFill>
                </w14:textFill>
              </w:rPr>
              <w:t>800</w:t>
            </w:r>
          </w:p>
        </w:tc>
        <w:tc>
          <w:tcPr>
            <w:tcW w:w="951"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color w:val="000000" w:themeColor="text1"/>
                <w:kern w:val="0"/>
                <w:sz w:val="21"/>
                <w:szCs w:val="24"/>
                <w14:textFill>
                  <w14:solidFill>
                    <w14:schemeClr w14:val="tx1"/>
                  </w14:solidFill>
                </w14:textFill>
              </w:rPr>
            </w:pPr>
            <w:r>
              <w:rPr>
                <w:rFonts w:hint="eastAsia" w:ascii="方正仿宋_GBK" w:hAnsi="宋体" w:eastAsia="方正仿宋_GBK" w:cs="宋体"/>
                <w:color w:val="000000" w:themeColor="text1"/>
                <w:kern w:val="0"/>
                <w:sz w:val="21"/>
                <w:szCs w:val="24"/>
                <w:highlight w:val="none"/>
                <w:lang w:val="en-US" w:eastAsia="zh-CN"/>
                <w14:textFill>
                  <w14:solidFill>
                    <w14:schemeClr w14:val="tx1"/>
                  </w14:solidFill>
                </w14:textFill>
              </w:rPr>
              <w:t>619</w:t>
            </w:r>
            <w:r>
              <w:rPr>
                <w:rFonts w:hint="eastAsia" w:ascii="方正仿宋_GBK" w:hAnsi="宋体" w:eastAsia="方正仿宋_GBK" w:cs="宋体"/>
                <w:color w:val="000000" w:themeColor="text1"/>
                <w:kern w:val="0"/>
                <w:sz w:val="21"/>
                <w:szCs w:val="24"/>
                <w:highlight w:val="none"/>
                <w14:textFill>
                  <w14:solidFill>
                    <w14:schemeClr w14:val="tx1"/>
                  </w14:solidFill>
                </w14:textFill>
              </w:rPr>
              <w:t>（数量以最终勘界面积为准）</w:t>
            </w:r>
          </w:p>
        </w:tc>
        <w:tc>
          <w:tcPr>
            <w:tcW w:w="1202"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color w:val="000000" w:themeColor="text1"/>
                <w:kern w:val="0"/>
                <w:sz w:val="21"/>
                <w:szCs w:val="24"/>
                <w:highlight w:val="none"/>
                <w14:textFill>
                  <w14:solidFill>
                    <w14:schemeClr w14:val="tx1"/>
                  </w14:solidFill>
                </w14:textFill>
              </w:rPr>
            </w:pPr>
            <w:r>
              <w:rPr>
                <w:rFonts w:hint="eastAsia" w:ascii="方正仿宋_GBK" w:hAnsi="宋体" w:eastAsia="方正仿宋_GBK" w:cs="宋体"/>
                <w:color w:val="000000" w:themeColor="text1"/>
                <w:kern w:val="0"/>
                <w:sz w:val="21"/>
                <w:szCs w:val="24"/>
                <w:highlight w:val="none"/>
                <w:lang w:val="en-US" w:eastAsia="zh-CN"/>
                <w14:textFill>
                  <w14:solidFill>
                    <w14:schemeClr w14:val="tx1"/>
                  </w14:solidFill>
                </w14:textFill>
              </w:rPr>
              <w:t>49.52</w:t>
            </w:r>
            <w:r>
              <w:rPr>
                <w:rFonts w:hint="eastAsia" w:ascii="方正仿宋_GBK" w:hAnsi="宋体" w:eastAsia="方正仿宋_GBK" w:cs="宋体"/>
                <w:color w:val="000000" w:themeColor="text1"/>
                <w:kern w:val="0"/>
                <w:sz w:val="21"/>
                <w:szCs w:val="24"/>
                <w:highlight w:val="none"/>
                <w14:textFill>
                  <w14:solidFill>
                    <w14:schemeClr w14:val="tx1"/>
                  </w14:solidFill>
                </w14:textFill>
              </w:rPr>
              <w:t>万元（一年总价）</w:t>
            </w:r>
          </w:p>
        </w:tc>
        <w:tc>
          <w:tcPr>
            <w:tcW w:w="959" w:type="dxa"/>
            <w:tcBorders>
              <w:top w:val="single" w:color="auto" w:sz="4" w:space="0"/>
              <w:left w:val="single" w:color="auto" w:sz="4" w:space="0"/>
              <w:right w:val="single" w:color="auto" w:sz="4" w:space="0"/>
            </w:tcBorders>
            <w:vAlign w:val="center"/>
          </w:tcPr>
          <w:p>
            <w:pPr>
              <w:widowControl/>
              <w:jc w:val="center"/>
              <w:rPr>
                <w:rFonts w:hint="default" w:ascii="方正仿宋_GBK" w:hAnsi="宋体" w:eastAsia="方正仿宋_GBK" w:cs="宋体"/>
                <w:color w:val="FF0000"/>
                <w:kern w:val="0"/>
                <w:sz w:val="21"/>
                <w:szCs w:val="24"/>
                <w:highlight w:val="none"/>
                <w:lang w:val="en-US" w:eastAsia="zh-CN"/>
              </w:rPr>
            </w:pPr>
            <w:r>
              <w:rPr>
                <w:rFonts w:hint="eastAsia" w:ascii="方正仿宋_GBK" w:hAnsi="宋体" w:eastAsia="方正仿宋_GBK" w:cs="宋体"/>
                <w:color w:val="auto"/>
                <w:kern w:val="0"/>
                <w:sz w:val="21"/>
                <w:szCs w:val="24"/>
                <w:highlight w:val="none"/>
                <w:lang w:val="en-US" w:eastAsia="zh-CN"/>
              </w:rPr>
              <w:t>0</w:t>
            </w:r>
          </w:p>
        </w:tc>
        <w:tc>
          <w:tcPr>
            <w:tcW w:w="959"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highlight w:val="none"/>
              </w:rPr>
            </w:pPr>
            <w:r>
              <w:rPr>
                <w:rFonts w:hint="eastAsia" w:ascii="方正仿宋_GBK" w:hAnsi="宋体" w:eastAsia="方正仿宋_GBK" w:cs="宋体"/>
                <w:kern w:val="0"/>
                <w:sz w:val="21"/>
                <w:szCs w:val="24"/>
                <w:highlight w:val="none"/>
                <w:lang w:eastAsia="zh-CN"/>
              </w:rPr>
              <w:t>中标价格</w:t>
            </w:r>
            <w:r>
              <w:rPr>
                <w:rFonts w:hint="eastAsia" w:ascii="方正仿宋_GBK" w:hAnsi="宋体" w:eastAsia="方正仿宋_GBK" w:cs="宋体"/>
                <w:kern w:val="0"/>
                <w:sz w:val="21"/>
                <w:szCs w:val="24"/>
                <w:highlight w:val="none"/>
              </w:rPr>
              <w:t>10%</w:t>
            </w:r>
          </w:p>
        </w:tc>
        <w:tc>
          <w:tcPr>
            <w:tcW w:w="959"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1</w:t>
            </w:r>
          </w:p>
        </w:tc>
        <w:tc>
          <w:tcPr>
            <w:tcW w:w="1098"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p>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否</w:t>
            </w:r>
          </w:p>
        </w:tc>
      </w:tr>
    </w:tbl>
    <w:p>
      <w:pPr>
        <w:pStyle w:val="4"/>
        <w:spacing w:before="0" w:after="0" w:line="400" w:lineRule="exact"/>
        <w:rPr>
          <w:rFonts w:ascii="方正仿宋_GBK" w:eastAsia="方正仿宋_GBK"/>
          <w:sz w:val="24"/>
          <w:szCs w:val="24"/>
        </w:rPr>
      </w:pPr>
      <w:bookmarkStart w:id="13" w:name="_Toc466546903"/>
      <w:r>
        <w:rPr>
          <w:rFonts w:hint="eastAsia" w:ascii="方正仿宋_GBK" w:eastAsia="方正仿宋_GBK"/>
          <w:sz w:val="24"/>
          <w:szCs w:val="24"/>
        </w:rPr>
        <w:t>二、资金来源</w:t>
      </w:r>
      <w:bookmarkEnd w:id="13"/>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自筹资金</w:t>
      </w:r>
    </w:p>
    <w:p>
      <w:pPr>
        <w:pStyle w:val="4"/>
        <w:spacing w:before="0" w:after="0" w:line="400" w:lineRule="exact"/>
        <w:rPr>
          <w:rFonts w:ascii="方正仿宋_GBK" w:eastAsia="方正仿宋_GBK"/>
          <w:sz w:val="24"/>
          <w:szCs w:val="24"/>
        </w:rPr>
      </w:pPr>
      <w:bookmarkStart w:id="14" w:name="_Toc466546904"/>
      <w:r>
        <w:rPr>
          <w:rFonts w:hint="eastAsia" w:ascii="方正仿宋_GBK" w:eastAsia="方正仿宋_GBK"/>
          <w:sz w:val="24"/>
          <w:szCs w:val="24"/>
        </w:rPr>
        <w:t>三、供应商资格条件</w:t>
      </w:r>
      <w:bookmarkEnd w:id="14"/>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供应商是指向采购人提供服务或者货物的法人、其他组织或者自然人。</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（一）基本资格条件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5、参加政府或</w:t>
      </w:r>
      <w:r>
        <w:rPr>
          <w:rFonts w:ascii="方正仿宋_GBK" w:hAnsi="宋体" w:eastAsia="方正仿宋_GBK"/>
          <w:sz w:val="24"/>
          <w:szCs w:val="24"/>
        </w:rPr>
        <w:t>企业</w:t>
      </w:r>
      <w:r>
        <w:rPr>
          <w:rFonts w:hint="eastAsia" w:ascii="方正仿宋_GBK" w:hAnsi="宋体" w:eastAsia="方正仿宋_GBK"/>
          <w:sz w:val="24"/>
          <w:szCs w:val="24"/>
        </w:rPr>
        <w:t>采购活动前三年内，在经营活动中没有重大违法记录；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pPr>
        <w:pStyle w:val="2"/>
        <w:rPr>
          <w:rFonts w:hint="eastAsia" w:ascii="方正仿宋_GBK" w:eastAsia="方正仿宋_GBK"/>
          <w:color w:val="000000" w:themeColor="text1"/>
          <w:szCs w:val="24"/>
          <w14:textFill>
            <w14:solidFill>
              <w14:schemeClr w14:val="tx1"/>
            </w14:solidFill>
          </w14:textFill>
        </w:rPr>
      </w:pPr>
    </w:p>
    <w:p>
      <w:pPr>
        <w:pStyle w:val="4"/>
        <w:spacing w:before="0" w:after="0" w:line="480" w:lineRule="exact"/>
        <w:rPr>
          <w:rFonts w:ascii="方正仿宋_GBK" w:eastAsia="方正仿宋_GBK"/>
          <w:sz w:val="24"/>
          <w:szCs w:val="24"/>
        </w:rPr>
      </w:pPr>
      <w:bookmarkStart w:id="15" w:name="_Toc466546905"/>
      <w:r>
        <w:rPr>
          <w:rFonts w:hint="eastAsia" w:ascii="方正仿宋_GBK" w:eastAsia="方正仿宋_GBK"/>
          <w:sz w:val="24"/>
          <w:szCs w:val="24"/>
        </w:rPr>
        <w:t>四、磋商有关说明</w:t>
      </w:r>
      <w:bookmarkEnd w:id="15"/>
    </w:p>
    <w:p>
      <w:pPr>
        <w:spacing w:line="38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（一）凡有意参加磋商的供应商，请在重庆</w:t>
      </w:r>
      <w:r>
        <w:rPr>
          <w:rFonts w:hint="eastAsia" w:ascii="方正仿宋_GBK" w:hAnsi="宋体" w:eastAsia="方正仿宋_GBK"/>
          <w:color w:val="000000"/>
          <w:sz w:val="24"/>
          <w:szCs w:val="24"/>
          <w:lang w:bidi="en-US"/>
        </w:rPr>
        <w:t>经开区投资集团官方</w:t>
      </w:r>
      <w:r>
        <w:rPr>
          <w:rFonts w:ascii="方正仿宋_GBK" w:hAnsi="宋体" w:eastAsia="方正仿宋_GBK"/>
          <w:color w:val="000000"/>
          <w:sz w:val="24"/>
          <w:szCs w:val="24"/>
          <w:lang w:bidi="en-US"/>
        </w:rPr>
        <w:t>网</w:t>
      </w:r>
      <w:r>
        <w:rPr>
          <w:rFonts w:hint="eastAsia" w:ascii="方正仿宋_GBK" w:hAnsi="宋体" w:eastAsia="方正仿宋_GBK"/>
          <w:color w:val="000000"/>
          <w:sz w:val="24"/>
          <w:szCs w:val="24"/>
          <w:lang w:bidi="en-US"/>
        </w:rPr>
        <w:t>站</w:t>
      </w:r>
      <w:r>
        <w:rPr>
          <w:rFonts w:ascii="方正仿宋_GBK" w:hAnsi="宋体" w:eastAsia="方正仿宋_GBK"/>
          <w:color w:val="000000"/>
          <w:sz w:val="24"/>
          <w:szCs w:val="24"/>
          <w:lang w:bidi="en-US"/>
        </w:rPr>
        <w:t>（http://www.cetzig.com/）</w:t>
      </w:r>
      <w:r>
        <w:rPr>
          <w:rFonts w:hint="eastAsia" w:ascii="方正仿宋_GBK" w:hAnsi="宋体" w:eastAsia="方正仿宋_GBK"/>
          <w:color w:val="000000"/>
          <w:sz w:val="24"/>
          <w:szCs w:val="24"/>
          <w:lang w:bidi="en-US"/>
        </w:rPr>
        <w:t>上下载本项目竞争性磋商文件</w:t>
      </w:r>
      <w:r>
        <w:rPr>
          <w:rFonts w:hint="eastAsia" w:ascii="方正仿宋_GBK" w:hAnsi="宋体" w:eastAsia="方正仿宋_GBK"/>
          <w:color w:val="000000"/>
          <w:sz w:val="24"/>
          <w:szCs w:val="24"/>
        </w:rPr>
        <w:t>以及补遗等磋商前公布的所有项目资料，无论供应商领取或下载与否，均视为已知晓所有磋商实质性要求内容。</w:t>
      </w:r>
    </w:p>
    <w:p>
      <w:pPr>
        <w:spacing w:line="360" w:lineRule="auto"/>
        <w:ind w:firstLine="480" w:firstLineChars="200"/>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（二）供应商须满足以下二种要件，其响应文件才被接受：</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2、按时报名签到；</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（三）递交响应文件地点：重庆市南岸区茶园江桥路一号附1号1407办公室</w:t>
      </w:r>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sz w:val="24"/>
          <w:szCs w:val="24"/>
        </w:rPr>
        <w:t>（四）响应文件递交截止时间：</w:t>
      </w:r>
      <w:r>
        <w:rPr>
          <w:rFonts w:ascii="方正仿宋_GBK" w:hAnsi="宋体" w:eastAsia="方正仿宋_GBK"/>
          <w:color w:val="auto"/>
          <w:sz w:val="24"/>
          <w:szCs w:val="24"/>
        </w:rPr>
        <w:t>202</w:t>
      </w: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日北京时间</w:t>
      </w:r>
      <w:r>
        <w:rPr>
          <w:rFonts w:ascii="方正仿宋_GBK" w:hAnsi="宋体" w:eastAsia="方正仿宋_GBK"/>
          <w:color w:val="auto"/>
          <w:sz w:val="24"/>
          <w:szCs w:val="24"/>
        </w:rPr>
        <w:t>9:30</w:t>
      </w:r>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（五）响应文件开启时间：</w:t>
      </w:r>
      <w:r>
        <w:rPr>
          <w:rFonts w:ascii="方正仿宋_GBK" w:hAnsi="宋体" w:eastAsia="方正仿宋_GBK"/>
          <w:color w:val="auto"/>
          <w:sz w:val="24"/>
          <w:szCs w:val="24"/>
        </w:rPr>
        <w:t>202</w:t>
      </w:r>
      <w:r>
        <w:rPr>
          <w:rFonts w:hint="eastAsia" w:ascii="方正仿宋_GBK" w:hAnsi="宋体" w:eastAsia="方正仿宋_GBK"/>
          <w:color w:val="auto"/>
          <w:sz w:val="24"/>
          <w:szCs w:val="24"/>
          <w:lang w:val="en-US" w:eastAsia="zh-CN"/>
        </w:rPr>
        <w:t>2</w:t>
      </w:r>
      <w:r>
        <w:rPr>
          <w:rFonts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日北京时间</w:t>
      </w:r>
      <w:r>
        <w:rPr>
          <w:rFonts w:ascii="方正仿宋_GBK" w:hAnsi="宋体" w:eastAsia="方正仿宋_GBK"/>
          <w:color w:val="auto"/>
          <w:sz w:val="24"/>
          <w:szCs w:val="24"/>
        </w:rPr>
        <w:t>9:30</w:t>
      </w:r>
    </w:p>
    <w:p>
      <w:pPr>
        <w:pStyle w:val="4"/>
        <w:spacing w:before="0" w:after="0" w:line="380" w:lineRule="exact"/>
        <w:rPr>
          <w:rFonts w:ascii="方正仿宋_GBK" w:hAnsi="宋体" w:eastAsia="方正仿宋_GBK"/>
          <w:color w:val="auto"/>
          <w:sz w:val="24"/>
          <w:szCs w:val="24"/>
        </w:rPr>
      </w:pPr>
      <w:bookmarkStart w:id="16" w:name="_Toc466546907"/>
      <w:r>
        <w:rPr>
          <w:rFonts w:hint="eastAsia" w:ascii="方正仿宋_GBK" w:hAnsi="宋体" w:eastAsia="方正仿宋_GBK"/>
          <w:color w:val="auto"/>
          <w:sz w:val="24"/>
          <w:szCs w:val="24"/>
        </w:rPr>
        <w:t>五、其它有关规定</w:t>
      </w:r>
      <w:bookmarkEnd w:id="16"/>
    </w:p>
    <w:p>
      <w:pPr>
        <w:snapToGrid w:val="0"/>
        <w:spacing w:line="380" w:lineRule="exact"/>
        <w:ind w:firstLine="360" w:firstLineChars="150"/>
        <w:rPr>
          <w:rFonts w:ascii="方正仿宋_GBK" w:hAnsi="宋体" w:eastAsia="方正仿宋_GBK"/>
          <w:color w:val="000000"/>
          <w:sz w:val="24"/>
          <w:szCs w:val="24"/>
        </w:rPr>
      </w:pPr>
      <w:bookmarkStart w:id="17" w:name="_Toc466546908"/>
      <w:r>
        <w:rPr>
          <w:rFonts w:hint="eastAsia" w:ascii="方正仿宋_GBK" w:hAnsi="宋体" w:eastAsia="方正仿宋_GBK"/>
          <w:color w:val="000000"/>
          <w:sz w:val="24"/>
          <w:szCs w:val="24"/>
        </w:rPr>
        <w:t>（一）单位负责人为同一人或者存在直接控股、管理关系的不同供应商，不得参加同一合同项下的采购活动，否则均为无效响应。</w:t>
      </w:r>
    </w:p>
    <w:p>
      <w:pPr>
        <w:snapToGrid w:val="0"/>
        <w:spacing w:line="380" w:lineRule="exact"/>
        <w:ind w:firstLine="360" w:firstLineChars="150"/>
        <w:rPr>
          <w:rFonts w:ascii="方正仿宋_GBK" w:hAnsi="宋体" w:eastAsia="方正仿宋_GBK"/>
          <w:color w:val="000000"/>
          <w:sz w:val="24"/>
          <w:szCs w:val="24"/>
        </w:rPr>
      </w:pPr>
      <w:r>
        <w:rPr>
          <w:rFonts w:hint="eastAsia" w:ascii="方正仿宋_GBK" w:hAnsi="宋体" w:eastAsia="方正仿宋_GBK"/>
          <w:color w:val="000000"/>
          <w:sz w:val="24"/>
          <w:szCs w:val="24"/>
        </w:rPr>
        <w:t>（二）超过响应文件截止时间递交的响应文件，恕不接收。</w:t>
      </w:r>
    </w:p>
    <w:p>
      <w:pPr>
        <w:pStyle w:val="4"/>
        <w:spacing w:before="0" w:after="0" w:line="380" w:lineRule="exact"/>
        <w:rPr>
          <w:rFonts w:hint="eastAsia" w:ascii="方正仿宋_GBK" w:hAnsi="宋体" w:eastAsia="方正仿宋_GBK" w:cs="Times New Roman"/>
          <w:b w:val="0"/>
          <w:color w:val="000000"/>
          <w:kern w:val="2"/>
          <w:sz w:val="24"/>
          <w:szCs w:val="24"/>
          <w:lang w:val="en-US" w:eastAsia="zh-CN" w:bidi="ar-SA"/>
        </w:rPr>
      </w:pPr>
      <w:r>
        <w:rPr>
          <w:rFonts w:hint="eastAsia" w:ascii="方正仿宋_GBK" w:hAnsi="宋体" w:eastAsia="方正仿宋_GBK"/>
          <w:color w:val="000000"/>
          <w:sz w:val="24"/>
          <w:szCs w:val="24"/>
        </w:rPr>
        <w:t xml:space="preserve">   </w:t>
      </w:r>
      <w:r>
        <w:rPr>
          <w:rFonts w:hint="eastAsia" w:ascii="方正仿宋_GBK" w:hAnsi="宋体" w:eastAsia="方正仿宋_GBK" w:cs="Times New Roman"/>
          <w:b w:val="0"/>
          <w:color w:val="000000"/>
          <w:kern w:val="2"/>
          <w:sz w:val="24"/>
          <w:szCs w:val="24"/>
          <w:lang w:val="en-US" w:eastAsia="zh-CN" w:bidi="ar-SA"/>
        </w:rPr>
        <w:t>（三）磋商费用：无论磋商结果如何，供应商参与本项目磋商的所有费用均应由供应商自行承担。</w:t>
      </w:r>
    </w:p>
    <w:p>
      <w:pPr>
        <w:pStyle w:val="4"/>
        <w:spacing w:before="0" w:after="0" w:line="380" w:lineRule="exact"/>
        <w:rPr>
          <w:rFonts w:ascii="方正仿宋_GBK" w:hAnsi="宋体" w:eastAsia="方正仿宋_GBK"/>
          <w:sz w:val="24"/>
          <w:szCs w:val="24"/>
        </w:rPr>
      </w:pPr>
      <w:r>
        <w:rPr>
          <w:rFonts w:hint="eastAsia" w:ascii="方正仿宋_GBK" w:hAnsi="宋体" w:eastAsia="方正仿宋_GBK"/>
          <w:sz w:val="24"/>
          <w:szCs w:val="24"/>
        </w:rPr>
        <w:t>六、联系方式</w:t>
      </w:r>
      <w:bookmarkEnd w:id="17"/>
    </w:p>
    <w:p>
      <w:pPr>
        <w:snapToGrid w:val="0"/>
        <w:spacing w:line="38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采购人：重庆经开区开发建设有限公司</w:t>
      </w:r>
      <w:r>
        <w:rPr>
          <w:rFonts w:hint="eastAsia" w:ascii="方正仿宋_GBK" w:hAnsi="宋体" w:eastAsia="方正仿宋_GBK"/>
          <w:sz w:val="24"/>
          <w:szCs w:val="24"/>
          <w:lang w:val="en-US" w:eastAsia="zh-CN"/>
        </w:rPr>
        <w:t xml:space="preserve"> </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 蔺老师</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话：（023）62633023</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手  机：13272756664</w:t>
      </w:r>
    </w:p>
    <w:p>
      <w:pPr>
        <w:snapToGrid w:val="0"/>
        <w:spacing w:line="380" w:lineRule="exact"/>
        <w:ind w:firstLine="480" w:firstLineChars="200"/>
        <w:rPr>
          <w:rFonts w:ascii="宋体" w:hAnsi="宋体"/>
          <w:b/>
          <w:sz w:val="24"/>
          <w:szCs w:val="24"/>
        </w:rPr>
        <w:sectPr>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rPr>
        <w:t>地  址：重庆市南岸区茶园江桥路一号附1号1407办公室</w:t>
      </w:r>
    </w:p>
    <w:p>
      <w:pPr>
        <w:pStyle w:val="3"/>
        <w:spacing w:before="0" w:after="0" w:line="360" w:lineRule="auto"/>
        <w:jc w:val="center"/>
        <w:rPr>
          <w:rFonts w:ascii="方正小标宋_GBK" w:hAnsi="宋体" w:eastAsia="方正小标宋_GBK"/>
          <w:b w:val="0"/>
          <w:sz w:val="30"/>
          <w:szCs w:val="30"/>
        </w:rPr>
      </w:pPr>
      <w:bookmarkStart w:id="18" w:name="_Toc466546909"/>
      <w:r>
        <w:rPr>
          <w:rFonts w:hint="eastAsia" w:ascii="方正小标宋_GBK" w:hAnsi="宋体" w:eastAsia="方正小标宋_GBK"/>
          <w:b w:val="0"/>
          <w:sz w:val="36"/>
          <w:szCs w:val="30"/>
        </w:rPr>
        <w:t>第二篇  采购服务需求</w:t>
      </w:r>
      <w:bookmarkEnd w:id="18"/>
    </w:p>
    <w:p>
      <w:pPr>
        <w:pStyle w:val="4"/>
        <w:spacing w:before="0" w:after="0" w:line="560" w:lineRule="exact"/>
        <w:rPr>
          <w:rFonts w:ascii="方正仿宋_GBK" w:eastAsia="方正仿宋_GBK"/>
          <w:color w:val="000000" w:themeColor="text1"/>
          <w:sz w:val="24"/>
          <w:szCs w:val="24"/>
          <w:highlight w:val="none"/>
          <w14:textFill>
            <w14:solidFill>
              <w14:schemeClr w14:val="tx1"/>
            </w14:solidFill>
          </w14:textFill>
        </w:rPr>
      </w:pPr>
      <w:bookmarkStart w:id="19" w:name="_Toc466546910"/>
      <w:bookmarkStart w:id="20" w:name="_Toc344475116"/>
      <w:bookmarkStart w:id="21" w:name="_Toc313536013"/>
      <w:bookmarkStart w:id="22" w:name="_Toc466546911"/>
      <w:bookmarkStart w:id="23" w:name="_Toc12789058"/>
      <w:r>
        <w:rPr>
          <w:rFonts w:hint="eastAsia" w:ascii="方正仿宋_GBK" w:eastAsia="方正仿宋_GBK"/>
          <w:color w:val="000000" w:themeColor="text1"/>
          <w:sz w:val="24"/>
          <w:szCs w:val="24"/>
          <w14:textFill>
            <w14:solidFill>
              <w14:schemeClr w14:val="tx1"/>
            </w14:solidFill>
          </w14:textFill>
        </w:rPr>
        <w:t>一、项目基本概况介绍</w:t>
      </w:r>
      <w:bookmarkEnd w:id="19"/>
    </w:p>
    <w:p>
      <w:pPr>
        <w:pStyle w:val="4"/>
        <w:spacing w:before="0" w:after="0" w:line="400" w:lineRule="exact"/>
        <w:ind w:firstLine="480" w:firstLineChars="200"/>
        <w:rPr>
          <w:rFonts w:ascii="方正仿宋_GBK" w:hAnsi="方正仿宋_GBK" w:eastAsia="方正仿宋_GBK" w:cs="方正仿宋_GBK"/>
          <w:b w:val="0"/>
          <w:bCs/>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val="0"/>
          <w:color w:val="auto"/>
          <w:kern w:val="0"/>
          <w:sz w:val="24"/>
          <w:szCs w:val="24"/>
          <w:highlight w:val="none"/>
          <w:lang w:eastAsia="zh-CN"/>
        </w:rPr>
        <w:t>广阳湾生态城区域范围已摘牌（水投集团和江北嘴公司）地块</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约</w:t>
      </w:r>
      <w:r>
        <w:rPr>
          <w:rFonts w:hint="eastAsia" w:ascii="方正仿宋_GBK" w:hAnsi="方正仿宋_GBK" w:eastAsia="方正仿宋_GBK" w:cs="方正仿宋_GBK"/>
          <w:b w:val="0"/>
          <w:color w:val="000000" w:themeColor="text1"/>
          <w:kern w:val="0"/>
          <w:sz w:val="24"/>
          <w:szCs w:val="24"/>
          <w:lang w:val="en-US" w:eastAsia="zh-CN"/>
          <w14:textFill>
            <w14:solidFill>
              <w14:schemeClr w14:val="tx1"/>
            </w14:solidFill>
          </w14:textFill>
        </w:rPr>
        <w:t>619</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亩</w:t>
      </w:r>
      <w:r>
        <w:rPr>
          <w:rFonts w:hint="eastAsia" w:ascii="方正仿宋_GBK" w:hAnsi="方正仿宋_GBK" w:eastAsia="方正仿宋_GBK" w:cs="方正仿宋_GBK"/>
          <w:b w:val="0"/>
          <w:color w:val="000000" w:themeColor="text1"/>
          <w:kern w:val="0"/>
          <w:sz w:val="24"/>
          <w:szCs w:val="24"/>
          <w:highlight w:val="none"/>
          <w14:textFill>
            <w14:solidFill>
              <w14:schemeClr w14:val="tx1"/>
            </w14:solidFill>
          </w14:textFill>
        </w:rPr>
        <w:t>，具</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体位置及数量根据实际交地面积计算；</w:t>
      </w:r>
    </w:p>
    <w:p>
      <w:pPr>
        <w:pStyle w:val="4"/>
        <w:spacing w:before="0" w:after="0" w:line="400" w:lineRule="exact"/>
        <w:rPr>
          <w:rFonts w:ascii="方正仿宋_GBK" w:eastAsia="方正仿宋_GBK"/>
          <w:b/>
          <w:bCs w:val="0"/>
          <w:color w:val="000000" w:themeColor="text1"/>
          <w:sz w:val="24"/>
          <w:szCs w:val="24"/>
          <w14:textFill>
            <w14:solidFill>
              <w14:schemeClr w14:val="tx1"/>
            </w14:solidFill>
          </w14:textFill>
        </w:rPr>
      </w:pPr>
      <w:r>
        <w:rPr>
          <w:rFonts w:hint="eastAsia" w:ascii="方正仿宋_GBK" w:eastAsia="方正仿宋_GBK"/>
          <w:b/>
          <w:bCs w:val="0"/>
          <w:color w:val="000000" w:themeColor="text1"/>
          <w:sz w:val="24"/>
          <w:szCs w:val="24"/>
          <w14:textFill>
            <w14:solidFill>
              <w14:schemeClr w14:val="tx1"/>
            </w14:solidFill>
          </w14:textFill>
        </w:rPr>
        <w:t>二、服务及质量要求</w:t>
      </w:r>
      <w:bookmarkEnd w:id="20"/>
      <w:bookmarkEnd w:id="21"/>
      <w:bookmarkEnd w:id="22"/>
    </w:p>
    <w:p>
      <w:pPr>
        <w:spacing w:line="520" w:lineRule="exact"/>
        <w:ind w:firstLine="480" w:firstLineChars="200"/>
        <w:rPr>
          <w:rFonts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（下称：）在</w:t>
      </w:r>
      <w:r>
        <w:rPr>
          <w:rFonts w:hint="eastAsia" w:ascii="方正仿宋_GBK" w:hAnsi="方正仿宋_GBK" w:eastAsia="方正仿宋_GBK" w:cs="方正仿宋_GBK"/>
          <w:b w:val="0"/>
          <w:color w:val="auto"/>
          <w:kern w:val="0"/>
          <w:sz w:val="24"/>
          <w:szCs w:val="24"/>
        </w:rPr>
        <w:t>广阳湾生态城区域范围已摘牌（水投集团和江北嘴公司）地块</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约</w:t>
      </w:r>
      <w:r>
        <w:rPr>
          <w:rFonts w:hint="eastAsia" w:ascii="方正仿宋_GBK" w:hAnsi="方正仿宋_GBK" w:eastAsia="方正仿宋_GBK" w:cs="方正仿宋_GBK"/>
          <w:color w:val="000000" w:themeColor="text1"/>
          <w:kern w:val="0"/>
          <w:sz w:val="24"/>
          <w:szCs w:val="24"/>
          <w:lang w:val="en-US" w:eastAsia="zh-CN"/>
          <w14:textFill>
            <w14:solidFill>
              <w14:schemeClr w14:val="tx1"/>
            </w14:solidFill>
          </w14:textFill>
        </w:rPr>
        <w:t>619</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亩</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土地</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进行管护</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，供应商应保证管护区域内禁止出现违规用地、违法用地、乱栽乱种、乱搭乱建、乱到渣土、安全事故等情况发生；</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若出现一次上述情况罚款1000-5000元并立即制止并整改到位。日常管护人员不少于</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人，24小时值守。</w:t>
      </w:r>
    </w:p>
    <w:p>
      <w:pPr>
        <w:spacing w:line="520" w:lineRule="exact"/>
        <w:ind w:firstLine="480" w:firstLineChars="200"/>
        <w:rPr>
          <w:rFonts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为确保</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管护</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任务顺利完成，</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供应商</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需要</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禁止</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管护区域</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内无关</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人员进</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入及</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周边的安全管理，发现异常及时查看、处理，并保证日常安全值守工作不松懈，确保安全工作实施的畅通。发生在执勤区域内的、治安刑事案件和自然灾害事故，及时处理并报告采购人和当地公安机关，采取措施保护现场，协助公安机关查办管护期内相关治安刑事案件，依法妥善处理责任范围内的其它突发事件。落实防火、防盗、防破坏等消防安全防范措施，发现责任区域内的安全隐患，及时报告采购人并协助处理。加强对保安员的在岗培训、监督和管理，确保服务工作的优质高效。维护辖区内公共安全、公众财产安全、防止辖区内寻衅滋事事件发生，保持高度警觉，不得迟到、早退、脱岗、工作时间睡觉等。队员应保持相对稳定，不得随意调整，如有调整或更换,应提前告知采购人，并征求采购人意见。协助采购人完成其它相关安全方面的工作。</w:t>
      </w:r>
    </w:p>
    <w:p>
      <w:pPr>
        <w:spacing w:line="360" w:lineRule="auto"/>
        <w:rPr>
          <w:rFonts w:ascii="方正仿宋_GBK" w:hAnsi="宋体" w:eastAsia="方正仿宋_GBK"/>
          <w:b/>
          <w:sz w:val="24"/>
          <w:szCs w:val="24"/>
        </w:rPr>
      </w:pPr>
      <w:r>
        <w:rPr>
          <w:rFonts w:hint="eastAsia" w:ascii="方正仿宋_GBK" w:hAnsi="宋体" w:eastAsia="方正仿宋_GBK"/>
          <w:b/>
          <w:sz w:val="24"/>
          <w:szCs w:val="24"/>
        </w:rPr>
        <w:t>三、其他要求</w:t>
      </w:r>
    </w:p>
    <w:p>
      <w:pPr>
        <w:snapToGrid w:val="0"/>
        <w:spacing w:line="360" w:lineRule="auto"/>
        <w:ind w:firstLine="480" w:firstLineChars="200"/>
        <w:rPr>
          <w:rFonts w:ascii="方正仿宋_GBK" w:hAnsi="宋体" w:eastAsia="方正仿宋_GBK"/>
          <w:sz w:val="24"/>
          <w:szCs w:val="24"/>
        </w:rPr>
      </w:pPr>
      <w:bookmarkStart w:id="24" w:name="_Toc466546912"/>
      <w:r>
        <w:rPr>
          <w:rFonts w:hint="eastAsia" w:ascii="方正仿宋_GBK" w:hAnsi="宋体" w:eastAsia="方正仿宋_GBK"/>
          <w:sz w:val="24"/>
          <w:szCs w:val="24"/>
        </w:rPr>
        <w:t>（一）投标时将管护方案、相关文件、合同等材料形成纸质</w:t>
      </w:r>
      <w:r>
        <w:rPr>
          <w:rFonts w:ascii="方正仿宋_GBK" w:hAnsi="宋体" w:eastAsia="方正仿宋_GBK"/>
          <w:sz w:val="24"/>
          <w:szCs w:val="24"/>
        </w:rPr>
        <w:t>文件</w:t>
      </w:r>
      <w:r>
        <w:rPr>
          <w:rFonts w:hint="eastAsia" w:ascii="方正仿宋_GBK" w:hAnsi="宋体" w:eastAsia="方正仿宋_GBK"/>
          <w:sz w:val="24"/>
          <w:szCs w:val="24"/>
        </w:rPr>
        <w:t>并盖章</w:t>
      </w:r>
    </w:p>
    <w:p>
      <w:pPr>
        <w:pStyle w:val="2"/>
      </w:pPr>
      <w:r>
        <w:rPr>
          <w:rFonts w:hint="eastAsia" w:ascii="方正仿宋_GBK" w:hAnsi="宋体" w:eastAsia="方正仿宋_GBK"/>
          <w:sz w:val="24"/>
          <w:szCs w:val="24"/>
        </w:rPr>
        <w:t>（二）投标人自行踏勘现场。</w:t>
      </w: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p>
    <w:p>
      <w:pPr>
        <w:pStyle w:val="3"/>
        <w:spacing w:before="0" w:after="0" w:line="360" w:lineRule="auto"/>
        <w:rPr>
          <w:rFonts w:ascii="方正小标宋_GBK" w:hAnsi="宋体" w:eastAsia="方正小标宋_GBK"/>
          <w:b w:val="0"/>
          <w:sz w:val="36"/>
          <w:szCs w:val="30"/>
        </w:rPr>
      </w:pPr>
    </w:p>
    <w:p>
      <w:pPr>
        <w:rPr>
          <w:rFonts w:ascii="方正小标宋_GBK" w:hAnsi="宋体" w:eastAsia="方正小标宋_GBK"/>
          <w:sz w:val="36"/>
          <w:szCs w:val="30"/>
        </w:rPr>
      </w:pPr>
    </w:p>
    <w:p>
      <w:pPr>
        <w:pStyle w:val="2"/>
        <w:rPr>
          <w:rFonts w:ascii="方正小标宋_GBK" w:eastAsia="方正小标宋_GBK"/>
          <w:sz w:val="36"/>
          <w:szCs w:val="30"/>
        </w:rPr>
      </w:pPr>
    </w:p>
    <w:p>
      <w:pPr>
        <w:pStyle w:val="2"/>
        <w:rPr>
          <w:rFonts w:ascii="方正小标宋_GBK" w:eastAsia="方正小标宋_GBK"/>
          <w:sz w:val="36"/>
          <w:szCs w:val="30"/>
        </w:rPr>
      </w:pPr>
    </w:p>
    <w:p>
      <w:pPr>
        <w:pStyle w:val="3"/>
        <w:spacing w:before="0" w:after="0"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第三篇  采购商务需</w:t>
      </w:r>
      <w:bookmarkEnd w:id="23"/>
      <w:bookmarkEnd w:id="24"/>
    </w:p>
    <w:p>
      <w:pPr>
        <w:pStyle w:val="4"/>
        <w:spacing w:before="0" w:after="0" w:line="440" w:lineRule="exact"/>
        <w:rPr>
          <w:rFonts w:ascii="方正仿宋_GBK" w:hAnsi="宋体" w:eastAsia="方正仿宋_GBK"/>
          <w:sz w:val="24"/>
          <w:szCs w:val="24"/>
        </w:rPr>
      </w:pPr>
      <w:bookmarkStart w:id="25" w:name="_Toc344475120"/>
      <w:bookmarkStart w:id="26" w:name="_Toc466546913"/>
      <w:r>
        <w:rPr>
          <w:rFonts w:hint="eastAsia" w:ascii="方正仿宋_GBK" w:hAnsi="宋体" w:eastAsia="方正仿宋_GBK"/>
          <w:sz w:val="24"/>
          <w:szCs w:val="24"/>
        </w:rPr>
        <w:t>一、服务期、地点及验收方式</w:t>
      </w:r>
      <w:bookmarkEnd w:id="25"/>
      <w:bookmarkEnd w:id="26"/>
    </w:p>
    <w:p>
      <w:pPr>
        <w:pStyle w:val="11"/>
        <w:spacing w:line="400" w:lineRule="exact"/>
        <w:ind w:left="0" w:leftChars="0"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sz w:val="24"/>
          <w:szCs w:val="24"/>
        </w:rPr>
        <w:t>（一）服务期：</w:t>
      </w:r>
      <w:r>
        <w:rPr>
          <w:rFonts w:hint="eastAsia" w:ascii="方正仿宋_GBK" w:hAnsi="宋体" w:eastAsia="方正仿宋_GBK"/>
          <w:color w:val="000000" w:themeColor="text1"/>
          <w:sz w:val="24"/>
          <w:szCs w:val="24"/>
          <w14:textFill>
            <w14:solidFill>
              <w14:schemeClr w14:val="tx1"/>
            </w14:solidFill>
          </w14:textFill>
        </w:rPr>
        <w:t>合同签订后有效期1年，1年期满后由双方协商是否继续进行管护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（二）服务地点：重庆经开区</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sz w:val="24"/>
          <w:szCs w:val="24"/>
        </w:rPr>
        <w:t>（三）验收方式：</w:t>
      </w:r>
      <w:bookmarkStart w:id="27" w:name="_Toc344475121"/>
      <w:bookmarkStart w:id="28" w:name="_Toc466546914"/>
      <w:r>
        <w:rPr>
          <w:rFonts w:hint="eastAsia" w:ascii="方正仿宋_GBK" w:hAnsi="宋体" w:eastAsia="方正仿宋_GBK"/>
          <w:sz w:val="24"/>
          <w:szCs w:val="24"/>
        </w:rPr>
        <w:t>对管护区域土地维持</w:t>
      </w:r>
      <w:r>
        <w:rPr>
          <w:rFonts w:hint="eastAsia" w:ascii="方正仿宋_GBK" w:hAnsi="宋体" w:eastAsia="方正仿宋_GBK"/>
          <w:color w:val="000000" w:themeColor="text1"/>
          <w:sz w:val="24"/>
          <w:szCs w:val="24"/>
          <w14:textFill>
            <w14:solidFill>
              <w14:schemeClr w14:val="tx1"/>
            </w14:solidFill>
          </w14:textFill>
        </w:rPr>
        <w:t>土地原貌</w:t>
      </w:r>
      <w:r>
        <w:rPr>
          <w:rFonts w:hint="eastAsia" w:ascii="方正仿宋_GBK" w:hAnsi="方正仿宋_GBK" w:eastAsia="方正仿宋_GBK" w:cs="方正仿宋_GBK"/>
          <w:sz w:val="24"/>
          <w:szCs w:val="24"/>
        </w:rPr>
        <w:t>。</w:t>
      </w:r>
    </w:p>
    <w:p>
      <w:pPr>
        <w:pStyle w:val="4"/>
        <w:spacing w:before="0" w:after="0" w:line="440" w:lineRule="exact"/>
        <w:rPr>
          <w:rFonts w:ascii="方正仿宋_GBK" w:hAnsi="宋体" w:eastAsia="方正仿宋_GBK"/>
          <w:sz w:val="24"/>
          <w:szCs w:val="24"/>
        </w:rPr>
      </w:pPr>
      <w:r>
        <w:rPr>
          <w:rFonts w:hint="eastAsia" w:ascii="方正仿宋_GBK" w:hAnsi="宋体" w:eastAsia="方正仿宋_GBK"/>
          <w:sz w:val="24"/>
          <w:szCs w:val="24"/>
        </w:rPr>
        <w:t>二、</w:t>
      </w:r>
      <w:bookmarkEnd w:id="27"/>
      <w:r>
        <w:rPr>
          <w:rFonts w:hint="eastAsia" w:ascii="方正仿宋_GBK" w:hAnsi="宋体" w:eastAsia="方正仿宋_GBK"/>
          <w:sz w:val="24"/>
          <w:szCs w:val="24"/>
        </w:rPr>
        <w:t>报价要求</w:t>
      </w:r>
      <w:bookmarkEnd w:id="28"/>
    </w:p>
    <w:p>
      <w:pPr>
        <w:snapToGrid w:val="0"/>
        <w:spacing w:line="400" w:lineRule="exact"/>
        <w:ind w:firstLine="540"/>
        <w:rPr>
          <w:rFonts w:ascii="方正仿宋_GBK" w:hAnsi="宋体" w:eastAsia="方正仿宋_GBK"/>
          <w:color w:val="000000" w:themeColor="text1"/>
          <w:sz w:val="24"/>
          <w:szCs w:val="24"/>
          <w:highlight w:val="none"/>
          <w14:textFill>
            <w14:solidFill>
              <w14:schemeClr w14:val="tx1"/>
            </w14:solidFill>
          </w14:textFill>
        </w:rPr>
      </w:pPr>
      <w:r>
        <w:rPr>
          <w:rFonts w:hint="eastAsia" w:ascii="方正仿宋_GBK" w:hAnsi="宋体" w:eastAsia="方正仿宋_GBK"/>
          <w:color w:val="000000" w:themeColor="text1"/>
          <w:sz w:val="24"/>
          <w:szCs w:val="24"/>
          <w:highlight w:val="none"/>
          <w14:textFill>
            <w14:solidFill>
              <w14:schemeClr w14:val="tx1"/>
            </w14:solidFill>
          </w14:textFill>
        </w:rPr>
        <w:t>本此磋商报价为固定单价包干（包括人员住宿费、水电费及生活费），单价不能高于</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800</w:t>
      </w:r>
      <w:r>
        <w:rPr>
          <w:rFonts w:hint="eastAsia" w:ascii="方正仿宋_GBK" w:hAnsi="宋体" w:eastAsia="方正仿宋_GBK"/>
          <w:color w:val="000000" w:themeColor="text1"/>
          <w:sz w:val="24"/>
          <w:szCs w:val="24"/>
          <w:highlight w:val="none"/>
          <w14:textFill>
            <w14:solidFill>
              <w14:schemeClr w14:val="tx1"/>
            </w14:solidFill>
          </w14:textFill>
        </w:rPr>
        <w:t>元/亩/</w:t>
      </w:r>
      <w:r>
        <w:rPr>
          <w:rFonts w:hint="eastAsia" w:ascii="方正仿宋_GBK" w:hAnsi="宋体" w:eastAsia="方正仿宋_GBK"/>
          <w:color w:val="000000" w:themeColor="text1"/>
          <w:sz w:val="24"/>
          <w:szCs w:val="24"/>
          <w:highlight w:val="none"/>
          <w:lang w:eastAsia="zh-CN"/>
          <w14:textFill>
            <w14:solidFill>
              <w14:schemeClr w14:val="tx1"/>
            </w14:solidFill>
          </w14:textFill>
        </w:rPr>
        <w:t>年</w:t>
      </w:r>
      <w:r>
        <w:rPr>
          <w:rFonts w:hint="eastAsia" w:ascii="方正仿宋_GBK" w:hAnsi="宋体" w:eastAsia="方正仿宋_GBK"/>
          <w:color w:val="000000" w:themeColor="text1"/>
          <w:sz w:val="24"/>
          <w:szCs w:val="24"/>
          <w:highlight w:val="none"/>
          <w14:textFill>
            <w14:solidFill>
              <w14:schemeClr w14:val="tx1"/>
            </w14:solidFill>
          </w14:textFill>
        </w:rPr>
        <w:t>（面积暂定</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619</w:t>
      </w:r>
      <w:r>
        <w:rPr>
          <w:rFonts w:hint="eastAsia" w:ascii="方正仿宋_GBK" w:hAnsi="宋体" w:eastAsia="方正仿宋_GBK"/>
          <w:color w:val="000000" w:themeColor="text1"/>
          <w:sz w:val="24"/>
          <w:szCs w:val="24"/>
          <w:highlight w:val="none"/>
          <w14:textFill>
            <w14:solidFill>
              <w14:schemeClr w14:val="tx1"/>
            </w14:solidFill>
          </w14:textFill>
        </w:rPr>
        <w:t>亩），总价不能高于</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49.52</w:t>
      </w:r>
      <w:r>
        <w:rPr>
          <w:rFonts w:hint="eastAsia" w:ascii="方正仿宋_GBK" w:hAnsi="宋体" w:eastAsia="方正仿宋_GBK"/>
          <w:color w:val="000000" w:themeColor="text1"/>
          <w:sz w:val="24"/>
          <w:szCs w:val="24"/>
          <w:highlight w:val="none"/>
          <w14:textFill>
            <w14:solidFill>
              <w14:schemeClr w14:val="tx1"/>
            </w14:solidFill>
          </w14:textFill>
        </w:rPr>
        <w:t>万元。</w:t>
      </w:r>
    </w:p>
    <w:p>
      <w:pPr>
        <w:snapToGrid w:val="0"/>
        <w:spacing w:line="400" w:lineRule="exact"/>
        <w:ind w:firstLine="540"/>
        <w:rPr>
          <w:color w:val="000000" w:themeColor="text1"/>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磋商报价包括但不限于完成本项目所需的服务费、人工费及提供服务所需的设备或货物购买（制造）费、辅材费、运输费、装卸费、安装调试费、培训费及各种应纳的税费等。因成交供应商自身原因造成漏报、少报皆由其自行承担责任，采购人不再补偿。</w:t>
      </w:r>
    </w:p>
    <w:p>
      <w:pPr>
        <w:pStyle w:val="4"/>
        <w:spacing w:before="0" w:after="0" w:line="400" w:lineRule="exact"/>
        <w:rPr>
          <w:rFonts w:ascii="方正仿宋_GBK" w:hAnsi="宋体" w:eastAsia="方正仿宋_GBK"/>
          <w:color w:val="000000" w:themeColor="text1"/>
          <w:sz w:val="24"/>
          <w:szCs w:val="24"/>
          <w14:textFill>
            <w14:solidFill>
              <w14:schemeClr w14:val="tx1"/>
            </w14:solidFill>
          </w14:textFill>
        </w:rPr>
      </w:pPr>
      <w:bookmarkStart w:id="29" w:name="_Toc466546915"/>
      <w:r>
        <w:rPr>
          <w:rFonts w:hint="eastAsia" w:ascii="方正仿宋_GBK" w:hAnsi="宋体" w:eastAsia="方正仿宋_GBK"/>
          <w:color w:val="000000" w:themeColor="text1"/>
          <w:sz w:val="24"/>
          <w:szCs w:val="24"/>
          <w14:textFill>
            <w14:solidFill>
              <w14:schemeClr w14:val="tx1"/>
            </w14:solidFill>
          </w14:textFill>
        </w:rPr>
        <w:t>三、</w:t>
      </w:r>
      <w:bookmarkStart w:id="30" w:name="_Toc398650620"/>
      <w:bookmarkStart w:id="31" w:name="_Toc344475122"/>
      <w:r>
        <w:rPr>
          <w:rFonts w:hint="eastAsia" w:ascii="方正仿宋_GBK" w:hAnsi="宋体" w:eastAsia="方正仿宋_GBK"/>
          <w:color w:val="000000" w:themeColor="text1"/>
          <w:sz w:val="24"/>
          <w:szCs w:val="24"/>
          <w14:textFill>
            <w14:solidFill>
              <w14:schemeClr w14:val="tx1"/>
            </w14:solidFill>
          </w14:textFill>
        </w:rPr>
        <w:t>质量保证及售后服务</w:t>
      </w:r>
      <w:bookmarkEnd w:id="29"/>
      <w:bookmarkEnd w:id="30"/>
    </w:p>
    <w:p>
      <w:pPr>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随时接受委托方巡查，保持土地原状不发生改变。</w:t>
      </w:r>
    </w:p>
    <w:p>
      <w:pPr>
        <w:pStyle w:val="4"/>
        <w:spacing w:before="0" w:after="0" w:line="400" w:lineRule="exact"/>
      </w:pPr>
      <w:bookmarkStart w:id="32" w:name="_Toc466546916"/>
      <w:r>
        <w:rPr>
          <w:rFonts w:hint="eastAsia" w:ascii="方正仿宋_GBK" w:hAnsi="宋体" w:eastAsia="方正仿宋_GBK"/>
          <w:sz w:val="24"/>
          <w:szCs w:val="24"/>
        </w:rPr>
        <w:t>四、付款方式</w:t>
      </w:r>
      <w:bookmarkEnd w:id="31"/>
      <w:bookmarkEnd w:id="32"/>
    </w:p>
    <w:p>
      <w:pPr>
        <w:spacing w:line="400" w:lineRule="exact"/>
        <w:ind w:firstLine="480" w:firstLineChars="200"/>
        <w:rPr>
          <w:rFonts w:ascii="方正仿宋_GBK" w:hAnsi="宋体" w:eastAsia="方正仿宋_GBK"/>
          <w:color w:val="000000" w:themeColor="text1"/>
          <w:sz w:val="24"/>
          <w:szCs w:val="24"/>
          <w14:textFill>
            <w14:solidFill>
              <w14:schemeClr w14:val="tx1"/>
            </w14:solidFill>
          </w14:textFill>
        </w:rPr>
      </w:pPr>
      <w:bookmarkStart w:id="33" w:name="_Toc466546917"/>
      <w:bookmarkStart w:id="34" w:name="_Toc344475123"/>
      <w:r>
        <w:rPr>
          <w:rFonts w:hint="eastAsia" w:ascii="方正仿宋_GBK" w:hAnsi="宋体" w:eastAsia="方正仿宋_GBK"/>
          <w:color w:val="000000" w:themeColor="text1"/>
          <w:sz w:val="24"/>
          <w:szCs w:val="24"/>
          <w14:textFill>
            <w14:solidFill>
              <w14:schemeClr w14:val="tx1"/>
            </w14:solidFill>
          </w14:textFill>
        </w:rPr>
        <w:t>按季度支付。委托方在每个委托管理季度的第三个月25日开始检查乙方管护是否合格。若合格，于次月5日前以转账方式支付上一季度管护费用。</w:t>
      </w:r>
    </w:p>
    <w:p>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五、知识产权</w:t>
      </w:r>
      <w:bookmarkEnd w:id="33"/>
      <w:bookmarkEnd w:id="34"/>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（二）涉及软件开发等服务类项目知识产权的，知识产权归采购人所有。</w:t>
      </w:r>
    </w:p>
    <w:p>
      <w:pPr>
        <w:pStyle w:val="4"/>
        <w:spacing w:before="0" w:after="0" w:line="400" w:lineRule="exact"/>
        <w:rPr>
          <w:rFonts w:ascii="方正仿宋_GBK" w:hAnsi="宋体" w:eastAsia="方正仿宋_GBK"/>
          <w:sz w:val="24"/>
          <w:szCs w:val="24"/>
        </w:rPr>
      </w:pPr>
      <w:bookmarkStart w:id="35" w:name="_Toc344475124"/>
      <w:bookmarkStart w:id="36" w:name="_Toc466546918"/>
      <w:r>
        <w:rPr>
          <w:rFonts w:hint="eastAsia" w:ascii="方正仿宋_GBK" w:hAnsi="宋体" w:eastAsia="方正仿宋_GBK"/>
          <w:sz w:val="24"/>
          <w:szCs w:val="24"/>
        </w:rPr>
        <w:t>六、</w:t>
      </w:r>
      <w:bookmarkEnd w:id="35"/>
      <w:bookmarkStart w:id="37" w:name="_Toc344475125"/>
      <w:r>
        <w:rPr>
          <w:rFonts w:hint="eastAsia" w:ascii="方正仿宋_GBK" w:hAnsi="宋体" w:eastAsia="方正仿宋_GBK"/>
          <w:sz w:val="24"/>
          <w:szCs w:val="24"/>
        </w:rPr>
        <w:t>其他</w:t>
      </w:r>
      <w:bookmarkEnd w:id="36"/>
    </w:p>
    <w:bookmarkEnd w:id="37"/>
    <w:p>
      <w:pPr>
        <w:snapToGrid w:val="0"/>
        <w:spacing w:line="400" w:lineRule="exact"/>
        <w:ind w:firstLine="480" w:firstLineChars="200"/>
        <w:outlineLvl w:val="0"/>
        <w:rPr>
          <w:rFonts w:ascii="方正仿宋_GBK" w:hAnsi="宋体" w:eastAsia="方正仿宋_GBK"/>
          <w:sz w:val="24"/>
          <w:szCs w:val="24"/>
        </w:rPr>
      </w:pPr>
      <w:r>
        <w:rPr>
          <w:rFonts w:hint="eastAsia" w:ascii="方正仿宋_GBK" w:hAnsi="宋体" w:eastAsia="方正仿宋_GBK"/>
          <w:sz w:val="24"/>
          <w:szCs w:val="24"/>
        </w:rPr>
        <w:t>（一）供应商必须在响应文件中对以上条款和服务承诺明确列出，承诺内容必须达到本篇及竞争性磋商文件其他条款的要求。</w:t>
      </w:r>
    </w:p>
    <w:p>
      <w:pPr>
        <w:snapToGrid w:val="0"/>
        <w:spacing w:line="400" w:lineRule="exact"/>
        <w:ind w:firstLine="480" w:firstLineChars="200"/>
        <w:outlineLvl w:val="0"/>
        <w:rPr>
          <w:rFonts w:ascii="方正仿宋_GBK" w:hAnsi="宋体" w:eastAsia="方正仿宋_GBK"/>
          <w:sz w:val="24"/>
          <w:szCs w:val="24"/>
        </w:rPr>
      </w:pPr>
      <w:r>
        <w:rPr>
          <w:rFonts w:hint="eastAsia" w:ascii="方正仿宋_GBK" w:hAnsi="宋体" w:eastAsia="方正仿宋_GBK"/>
          <w:sz w:val="24"/>
          <w:szCs w:val="24"/>
        </w:rPr>
        <w:t>（二）其他未尽事宜由供需双方在采购合同中详细约定。</w:t>
      </w:r>
    </w:p>
    <w:p>
      <w:pPr>
        <w:widowControl/>
        <w:jc w:val="left"/>
        <w:rPr>
          <w:rFonts w:ascii="方正小标宋_GBK" w:hAnsi="宋体" w:eastAsia="方正小标宋_GBK"/>
          <w:sz w:val="36"/>
          <w:szCs w:val="30"/>
        </w:rPr>
      </w:pPr>
      <w:r>
        <w:rPr>
          <w:rFonts w:ascii="宋体" w:hAnsi="宋体" w:cs="宋体"/>
          <w:sz w:val="24"/>
          <w:szCs w:val="24"/>
        </w:rPr>
        <w:br w:type="page"/>
      </w:r>
      <w:bookmarkStart w:id="38" w:name="_Toc466546919"/>
      <w:r>
        <w:rPr>
          <w:rFonts w:hint="eastAsia" w:ascii="方正小标宋_GBK" w:hAnsi="宋体" w:eastAsia="方正小标宋_GBK"/>
          <w:sz w:val="36"/>
          <w:szCs w:val="30"/>
        </w:rPr>
        <w:t>第四篇  磋商程序及方法、评审标准、无效响应和</w:t>
      </w:r>
      <w:r>
        <w:rPr>
          <w:rFonts w:hint="eastAsia" w:ascii="方正小标宋_GBK" w:eastAsia="方正小标宋_GBK"/>
          <w:sz w:val="36"/>
          <w:szCs w:val="36"/>
        </w:rPr>
        <w:t>采购终止</w:t>
      </w:r>
      <w:bookmarkEnd w:id="38"/>
    </w:p>
    <w:p>
      <w:pPr>
        <w:pStyle w:val="4"/>
        <w:spacing w:before="0" w:after="0" w:line="440" w:lineRule="exact"/>
        <w:rPr>
          <w:rFonts w:ascii="方正仿宋_GBK" w:hAnsi="宋体" w:eastAsia="方正仿宋_GBK"/>
          <w:sz w:val="24"/>
          <w:szCs w:val="24"/>
        </w:rPr>
      </w:pPr>
      <w:bookmarkStart w:id="39" w:name="_Toc466546920"/>
      <w:r>
        <w:rPr>
          <w:rFonts w:hint="eastAsia" w:ascii="方正仿宋_GBK" w:hAnsi="宋体" w:eastAsia="方正仿宋_GBK"/>
          <w:sz w:val="24"/>
          <w:szCs w:val="24"/>
        </w:rPr>
        <w:t>一、磋商程序及方法</w:t>
      </w:r>
      <w:bookmarkEnd w:id="3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（二）磋商小组对各供应商的响应文件的有效性、完整性和响应程度进行审查。各供应商只有在完全符合要求的前提下，才能参与正式磋商。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资格性检查。依据法律法规和竞争性磋商文件的规定，对响应文件中的投标保证金（如有）等进行审查，以确定供应商是否具备磋商资格。资格性检查资料表如下：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388"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64"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vAlign w:val="center"/>
          </w:tcPr>
          <w:p>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1</w:t>
            </w:r>
          </w:p>
        </w:tc>
        <w:tc>
          <w:tcPr>
            <w:tcW w:w="709"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供应商</w:t>
            </w:r>
            <w:r>
              <w:rPr>
                <w:rFonts w:hint="eastAsia" w:ascii="方正仿宋_GBK" w:hAnsi="宋体" w:eastAsia="方正仿宋_GBK" w:cs="仿宋_GB2312"/>
                <w:sz w:val="21"/>
                <w:szCs w:val="21"/>
                <w:lang w:val="zh-CN"/>
              </w:rPr>
              <w:t>应符合的基本资格条件</w:t>
            </w:r>
          </w:p>
        </w:tc>
        <w:tc>
          <w:tcPr>
            <w:tcW w:w="46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供应商法人营业执照（副本）或事业单位法人证书（副本）或个体工商户营业执照、组织机构代码证复印件（注</w:t>
            </w:r>
            <w:r>
              <w:rPr>
                <w:rFonts w:ascii="方正仿宋_GBK" w:hAnsi="宋体" w:eastAsia="方正仿宋_GBK"/>
                <w:sz w:val="21"/>
                <w:szCs w:val="21"/>
              </w:rPr>
              <w:fldChar w:fldCharType="begin"/>
            </w:r>
            <w:r>
              <w:rPr>
                <w:rFonts w:hint="eastAsia" w:ascii="方正仿宋_GBK" w:hAnsi="宋体" w:eastAsia="方正仿宋_GBK"/>
                <w:sz w:val="21"/>
                <w:szCs w:val="21"/>
              </w:rPr>
              <w:instrText xml:space="preserve">eq \o\ac(○,</w:instrText>
            </w:r>
            <w:r>
              <w:rPr>
                <w:rFonts w:hint="eastAsia" w:ascii="宋体" w:hAnsi="宋体" w:eastAsia="方正仿宋_GBK"/>
                <w:position w:val="2"/>
                <w:sz w:val="14"/>
                <w:szCs w:val="21"/>
              </w:rPr>
              <w:instrText xml:space="preserve">2</w:instrText>
            </w:r>
            <w:r>
              <w:rPr>
                <w:rFonts w:hint="eastAsia" w:ascii="方正仿宋_GBK" w:hAnsi="宋体" w:eastAsia="方正仿宋_GBK"/>
                <w:sz w:val="21"/>
                <w:szCs w:val="21"/>
              </w:rPr>
              <w:instrText xml:space="preserve">)</w:instrText>
            </w:r>
            <w:r>
              <w:rPr>
                <w:rFonts w:ascii="方正仿宋_GBK" w:hAnsi="宋体" w:eastAsia="方正仿宋_GBK"/>
                <w:sz w:val="21"/>
                <w:szCs w:val="21"/>
              </w:rPr>
              <w:fldChar w:fldCharType="end"/>
            </w:r>
            <w:r>
              <w:rPr>
                <w:rFonts w:hint="eastAsia" w:ascii="方正仿宋_GBK" w:hAnsi="宋体" w:eastAsia="方正仿宋_GBK"/>
                <w:sz w:val="21"/>
                <w:szCs w:val="21"/>
              </w:rPr>
              <w:t xml:space="preserve">）； </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供应商法定代表人身份证明和法定代表人授权代表委托书。</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不具有独立法人的分公司、办事处等分支机构不能参加磋商。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highlight w:val="none"/>
                <w:lang w:val="en-US" w:eastAsia="zh-CN"/>
              </w:rPr>
              <w:t>提供2021年1-6月份公司财务报表复印件</w:t>
            </w:r>
            <w:r>
              <w:rPr>
                <w:rFonts w:hint="eastAsia" w:ascii="方正仿宋_GBK" w:hAnsi="宋体" w:eastAsia="方正仿宋_GBK"/>
                <w:sz w:val="21"/>
                <w:szCs w:val="21"/>
                <w:highlight w:val="none"/>
              </w:rPr>
              <w:t>，本年度新成立的公司提供递交响应文件截止时间前一个月的财务状况报告（表）复印件（新成立公司不足一个月的除外）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（4）有依法缴纳税收和社会保障金的良好记录</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税务登记证（副本）复印件（注</w:t>
            </w:r>
            <w:r>
              <w:rPr>
                <w:rFonts w:ascii="方正仿宋_GBK" w:hAnsi="宋体" w:eastAsia="方正仿宋_GBK"/>
                <w:sz w:val="21"/>
                <w:szCs w:val="21"/>
              </w:rPr>
              <w:fldChar w:fldCharType="begin"/>
            </w:r>
            <w:r>
              <w:rPr>
                <w:rFonts w:hint="eastAsia" w:ascii="方正仿宋_GBK" w:hAnsi="宋体" w:eastAsia="方正仿宋_GBK"/>
                <w:sz w:val="21"/>
                <w:szCs w:val="21"/>
              </w:rPr>
              <w:instrText xml:space="preserve">eq \o\ac(○,</w:instrText>
            </w:r>
            <w:r>
              <w:rPr>
                <w:rFonts w:hint="eastAsia" w:ascii="宋体" w:hAnsi="宋体" w:eastAsia="方正仿宋_GBK"/>
                <w:position w:val="2"/>
                <w:sz w:val="14"/>
                <w:szCs w:val="21"/>
              </w:rPr>
              <w:instrText xml:space="preserve">2</w:instrText>
            </w:r>
            <w:r>
              <w:rPr>
                <w:rFonts w:hint="eastAsia" w:ascii="方正仿宋_GBK" w:hAnsi="宋体" w:eastAsia="方正仿宋_GBK"/>
                <w:sz w:val="21"/>
                <w:szCs w:val="21"/>
              </w:rPr>
              <w:instrText xml:space="preserve">)</w:instrText>
            </w:r>
            <w:r>
              <w:rPr>
                <w:rFonts w:ascii="方正仿宋_GBK" w:hAnsi="宋体" w:eastAsia="方正仿宋_GBK"/>
                <w:sz w:val="21"/>
                <w:szCs w:val="21"/>
              </w:rPr>
              <w:fldChar w:fldCharType="end"/>
            </w:r>
            <w:r>
              <w:rPr>
                <w:rFonts w:hint="eastAsia" w:ascii="方正仿宋_GBK" w:hAnsi="宋体" w:eastAsia="方正仿宋_GBK"/>
                <w:sz w:val="21"/>
                <w:szCs w:val="21"/>
              </w:rPr>
              <w:t>）和社会保险缴纳证明材料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1.供应商提供书面声明（见格式文件）；</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2.供应商提供信用中国网站（</w:t>
            </w:r>
            <w:r>
              <w:fldChar w:fldCharType="begin"/>
            </w:r>
            <w:r>
              <w:instrText xml:space="preserve"> HYPERLINK "http://www.creditchina.gov.cn" </w:instrText>
            </w:r>
            <w:r>
              <w:fldChar w:fldCharType="separate"/>
            </w:r>
            <w:r>
              <w:rPr>
                <w:rStyle w:val="19"/>
                <w:rFonts w:hint="eastAsia" w:ascii="方正仿宋_GBK" w:hAnsi="宋体" w:eastAsia="方正仿宋_GBK"/>
                <w:sz w:val="21"/>
                <w:szCs w:val="21"/>
              </w:rPr>
              <w:t>www.creditchina.gov.cn</w:t>
            </w:r>
            <w:r>
              <w:rPr>
                <w:rStyle w:val="19"/>
                <w:rFonts w:hint="eastAsia" w:ascii="方正仿宋_GBK" w:hAnsi="宋体" w:eastAsia="方正仿宋_GBK"/>
                <w:sz w:val="21"/>
                <w:szCs w:val="21"/>
              </w:rPr>
              <w:fldChar w:fldCharType="end"/>
            </w:r>
            <w:r>
              <w:rPr>
                <w:rFonts w:hint="eastAsia" w:ascii="方正仿宋_GBK" w:hAnsi="宋体" w:eastAsia="方正仿宋_GBK"/>
                <w:sz w:val="21"/>
                <w:szCs w:val="21"/>
              </w:rPr>
              <w:t>）以下内容的查询结果网页打印件并加盖供应商公章（查询信息为供应商名称）</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2.1“信用信息”查询结果；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2.2“失信被执行人”查询结果；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2.3“重大税收违法案件当事人名单”查询结果；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2.4“政府行政许可与行政处罚”查询结果。</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3. 中国政府采购网（www.ccgp.gov.cn）“政府采购严重违法失信行为记录名单”查询结果，提供查询结果网页打印件并加盖供应商公章</w:t>
            </w:r>
          </w:p>
          <w:p>
            <w:pPr>
              <w:spacing w:line="240" w:lineRule="exact"/>
              <w:rPr>
                <w:rFonts w:ascii="方正仿宋_GBK" w:hAnsi="宋体" w:eastAsia="方正仿宋_GBK"/>
                <w:sz w:val="21"/>
                <w:szCs w:val="21"/>
              </w:rPr>
            </w:pPr>
            <w:r>
              <w:rPr>
                <w:rFonts w:hint="eastAsia" w:ascii="方正仿宋_GBK" w:hAnsi="宋体" w:eastAsia="方正仿宋_GBK"/>
                <w:sz w:val="21"/>
                <w:szCs w:val="21"/>
              </w:rPr>
              <w:t>4.以上查询时间为本项目采购公告发布之日起至响应文件递交截止时间前。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709" w:type="dxa"/>
            <w:vMerge w:val="continue"/>
            <w:vAlign w:val="center"/>
          </w:tcPr>
          <w:p>
            <w:pPr>
              <w:spacing w:line="240" w:lineRule="exact"/>
              <w:rPr>
                <w:rFonts w:ascii="方正仿宋_GBK" w:hAnsi="宋体" w:eastAsia="方正仿宋_GBK" w:cs="仿宋_GB2312"/>
                <w:sz w:val="21"/>
                <w:szCs w:val="21"/>
                <w:lang w:val="zh-CN"/>
              </w:rPr>
            </w:pPr>
          </w:p>
        </w:tc>
        <w:tc>
          <w:tcPr>
            <w:tcW w:w="467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64" w:type="dxa"/>
            <w:vAlign w:val="center"/>
          </w:tcPr>
          <w:p>
            <w:pPr>
              <w:spacing w:line="240" w:lineRule="exact"/>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2</w:t>
            </w:r>
          </w:p>
        </w:tc>
        <w:tc>
          <w:tcPr>
            <w:tcW w:w="5388" w:type="dxa"/>
            <w:gridSpan w:val="2"/>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特定资格条件</w:t>
            </w:r>
          </w:p>
        </w:tc>
        <w:tc>
          <w:tcPr>
            <w:tcW w:w="356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按照第一篇“三</w:t>
            </w:r>
            <w:r>
              <w:rPr>
                <w:rFonts w:ascii="方正仿宋_GBK" w:hAnsi="宋体" w:eastAsia="方正仿宋_GBK"/>
                <w:sz w:val="21"/>
                <w:szCs w:val="21"/>
              </w:rPr>
              <w:t>”、</w:t>
            </w:r>
            <w:r>
              <w:rPr>
                <w:rFonts w:hint="eastAsia" w:ascii="方正仿宋_GBK" w:hAnsi="宋体" w:eastAsia="方正仿宋_GBK"/>
                <w:sz w:val="21"/>
                <w:szCs w:val="21"/>
              </w:rPr>
              <w:t>投标人资格要求（二）特定资格条件要求提交复印件并加盖公章</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以联合体形式参与磋商的，共同联合协议中应确定主办方（主体），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供应商按“三证合一”登记制度办理营业执照的，组织机构代码证和税务登记证（副本）以供应商所提供的营业执照（副本）复印件为准。</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2、符合性检查。依据竞争性磋商文件的规定，从响应文件的有效性、完整性和对竞争性磋商文件的响应程度进行审查，以确定是否对竞争性磋商文件的实质性要求作出响应。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kern w:val="0"/>
          <w:sz w:val="24"/>
          <w:szCs w:val="24"/>
        </w:rPr>
        <w:t>符合性检查资料表如下：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每个分包只能有一个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竞争性磋商</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文件内容</w:t>
            </w:r>
          </w:p>
        </w:tc>
        <w:tc>
          <w:tcPr>
            <w:tcW w:w="540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竞争性磋商文件的响应程度审查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409" w:type="dxa"/>
            <w:vAlign w:val="center"/>
          </w:tcPr>
          <w:p>
            <w:pPr>
              <w:pStyle w:val="10"/>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对竞争性磋商文件第三篇规定的磋商内容作出响应。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仿宋_GB2312"/>
                <w:sz w:val="21"/>
                <w:szCs w:val="21"/>
                <w:lang w:val="zh-CN"/>
              </w:rPr>
            </w:pP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磋商有效期</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满足磋商文件</w:t>
            </w:r>
            <w:r>
              <w:rPr>
                <w:rFonts w:hint="eastAsia" w:ascii="方正仿宋_GBK" w:hAnsi="宋体" w:eastAsia="方正仿宋_GBK" w:cs="仿宋_GB2312"/>
                <w:sz w:val="21"/>
                <w:szCs w:val="21"/>
                <w:lang w:val="zh-CN"/>
              </w:rPr>
              <w:t>规定。</w:t>
            </w:r>
          </w:p>
        </w:tc>
      </w:tr>
    </w:tbl>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（五）在磋商过程中磋商的任何一方不得向他人透露与磋商有关的技术资料、价格或其他信息。</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（七）供应商在磋商时作出的所有书面承诺须由法定代表人或其授权代表签字。</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（九）磋商小组采用综合评分法对提交最后报价的供应商的响应文件和最后报价（含有效书面承诺）进行综合评分。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竞争性磋商</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。供应商总得分为价格、商务、技术等评定因素分别按照相应权重值计算分项得分后相加，满分为</w:t>
      </w:r>
      <w:r>
        <w:rPr>
          <w:rFonts w:ascii="方正仿宋_GBK" w:hAnsi="宋体" w:eastAsia="方正仿宋_GBK" w:cs="宋体"/>
          <w:kern w:val="0"/>
          <w:sz w:val="24"/>
          <w:szCs w:val="24"/>
        </w:rPr>
        <w:t>100</w:t>
      </w:r>
      <w:r>
        <w:rPr>
          <w:rFonts w:hint="eastAsia" w:ascii="方正仿宋_GBK" w:hAnsi="宋体" w:eastAsia="方正仿宋_GBK" w:cs="宋体"/>
          <w:kern w:val="0"/>
          <w:sz w:val="24"/>
          <w:szCs w:val="24"/>
        </w:rPr>
        <w:t>分</w:t>
      </w:r>
      <w:r>
        <w:rPr>
          <w:rFonts w:hint="eastAsia" w:ascii="方正仿宋_GBK" w:hAnsi="宋体" w:eastAsia="方正仿宋_GBK"/>
          <w:sz w:val="24"/>
          <w:szCs w:val="24"/>
        </w:rPr>
        <w:t>（详见评审标准）。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（十）磋商小组各成员独立对每个</w:t>
      </w:r>
      <w:r>
        <w:rPr>
          <w:rFonts w:ascii="方正仿宋_GBK" w:hAnsi="宋体" w:eastAsia="方正仿宋_GBK" w:cs="宋体"/>
          <w:kern w:val="0"/>
          <w:sz w:val="24"/>
          <w:szCs w:val="24"/>
        </w:rPr>
        <w:t>实质性</w:t>
      </w:r>
      <w:r>
        <w:rPr>
          <w:rFonts w:hint="eastAsia" w:ascii="方正仿宋_GBK" w:hAnsi="宋体" w:eastAsia="方正仿宋_GBK" w:cs="宋体"/>
          <w:kern w:val="0"/>
          <w:sz w:val="24"/>
          <w:szCs w:val="24"/>
        </w:rPr>
        <w:t>响应</w:t>
      </w:r>
      <w:r>
        <w:rPr>
          <w:rFonts w:hint="eastAsia" w:ascii="方正仿宋_GBK" w:hAnsi="宋体" w:eastAsia="方正仿宋_GBK"/>
          <w:sz w:val="24"/>
          <w:szCs w:val="24"/>
        </w:rPr>
        <w:t>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w:t>
      </w:r>
    </w:p>
    <w:p>
      <w:pPr>
        <w:pStyle w:val="4"/>
        <w:spacing w:before="0" w:after="0" w:line="400" w:lineRule="exact"/>
        <w:rPr>
          <w:rFonts w:ascii="方正仿宋_GBK" w:eastAsia="方正仿宋_GBK"/>
          <w:color w:val="FF0000"/>
          <w:sz w:val="24"/>
          <w:szCs w:val="24"/>
        </w:rPr>
      </w:pPr>
      <w:bookmarkStart w:id="40" w:name="_Toc466546921"/>
      <w:r>
        <w:rPr>
          <w:rFonts w:hint="eastAsia" w:ascii="方正仿宋_GBK" w:hAnsi="宋体" w:eastAsia="方正仿宋_GBK"/>
          <w:sz w:val="24"/>
          <w:szCs w:val="24"/>
        </w:rPr>
        <w:t>二、</w:t>
      </w:r>
      <w:bookmarkStart w:id="41" w:name="_Toc342913394"/>
      <w:bookmarkStart w:id="42" w:name="_Toc102227320"/>
      <w:r>
        <w:rPr>
          <w:rFonts w:hint="eastAsia" w:ascii="方正仿宋_GBK" w:eastAsia="方正仿宋_GBK"/>
          <w:sz w:val="24"/>
          <w:szCs w:val="24"/>
        </w:rPr>
        <w:t>评审标准</w:t>
      </w:r>
      <w:bookmarkEnd w:id="40"/>
      <w:bookmarkStart w:id="43" w:name="_Toc466546922"/>
    </w:p>
    <w:p/>
    <w:tbl>
      <w:tblPr>
        <w:tblStyle w:val="16"/>
        <w:tblpPr w:leftFromText="180" w:rightFromText="180" w:vertAnchor="text" w:horzAnchor="page" w:tblpX="1293" w:tblpY="330"/>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49"/>
        <w:gridCol w:w="638"/>
        <w:gridCol w:w="799"/>
        <w:gridCol w:w="4672"/>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序号</w:t>
            </w:r>
          </w:p>
        </w:tc>
        <w:tc>
          <w:tcPr>
            <w:tcW w:w="1387" w:type="dxa"/>
            <w:gridSpan w:val="2"/>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评分因素及权重</w:t>
            </w:r>
          </w:p>
        </w:tc>
        <w:tc>
          <w:tcPr>
            <w:tcW w:w="799"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分值</w:t>
            </w:r>
          </w:p>
        </w:tc>
        <w:tc>
          <w:tcPr>
            <w:tcW w:w="4672"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评分标准</w:t>
            </w:r>
          </w:p>
        </w:tc>
        <w:tc>
          <w:tcPr>
            <w:tcW w:w="1924" w:type="dxa"/>
            <w:vAlign w:val="center"/>
          </w:tcPr>
          <w:p>
            <w:pPr>
              <w:spacing w:line="240" w:lineRule="exact"/>
              <w:jc w:val="center"/>
              <w:rPr>
                <w:b/>
                <w:color w:val="000000" w:themeColor="text1"/>
                <w:kern w:val="0"/>
                <w:sz w:val="21"/>
                <w:szCs w:val="21"/>
                <w14:textFill>
                  <w14:solidFill>
                    <w14:schemeClr w14:val="tx1"/>
                  </w14:solidFill>
                </w14:textFill>
              </w:rPr>
            </w:pPr>
            <w:r>
              <w:rPr>
                <w:b/>
                <w:color w:val="000000" w:themeColor="text1"/>
                <w:kern w:val="0"/>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w:t>
            </w:r>
          </w:p>
        </w:tc>
        <w:tc>
          <w:tcPr>
            <w:tcW w:w="1387" w:type="dxa"/>
            <w:gridSpan w:val="2"/>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投标报价（20%）</w:t>
            </w:r>
          </w:p>
        </w:tc>
        <w:tc>
          <w:tcPr>
            <w:tcW w:w="799" w:type="dxa"/>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20分</w:t>
            </w:r>
          </w:p>
        </w:tc>
        <w:tc>
          <w:tcPr>
            <w:tcW w:w="4672" w:type="dxa"/>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有效的投标报价中的最低价为评标基准价，按照下列公式计算每个投标人的投标价格得分。</w:t>
            </w:r>
          </w:p>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磋商报价得分=（磋商基准价/最后磋商报价）×价格权值×100</w:t>
            </w:r>
          </w:p>
        </w:tc>
        <w:tc>
          <w:tcPr>
            <w:tcW w:w="1924" w:type="dxa"/>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不高于限价的为有效报价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6" w:type="dxa"/>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1387" w:type="dxa"/>
            <w:gridSpan w:val="2"/>
            <w:shd w:val="clear" w:color="auto" w:fill="auto"/>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技术部分</w:t>
            </w:r>
          </w:p>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14:textFill>
                  <w14:solidFill>
                    <w14:schemeClr w14:val="tx1"/>
                  </w14:solidFill>
                </w14:textFill>
              </w:rPr>
              <w:t>0%）</w:t>
            </w:r>
          </w:p>
        </w:tc>
        <w:tc>
          <w:tcPr>
            <w:tcW w:w="799" w:type="dxa"/>
            <w:tcBorders>
              <w:bottom w:val="single" w:color="auto" w:sz="4" w:space="0"/>
            </w:tcBorders>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14:textFill>
                  <w14:solidFill>
                    <w14:schemeClr w14:val="tx1"/>
                  </w14:solidFill>
                </w14:textFill>
              </w:rPr>
              <w:t>0分</w:t>
            </w:r>
          </w:p>
        </w:tc>
        <w:tc>
          <w:tcPr>
            <w:tcW w:w="4672" w:type="dxa"/>
            <w:tcBorders>
              <w:bottom w:val="single" w:color="auto" w:sz="4" w:space="0"/>
            </w:tcBorders>
            <w:shd w:val="clear" w:color="auto" w:fill="FFFFFF"/>
            <w:vAlign w:val="center"/>
          </w:tcPr>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1.服务方案（1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根据本项目制定包含组织机构设置及运作机制、人员配置、安保服务等内容的服务方案方案：</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（4）未提供服务方案不得分。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2.管理制度：（1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根据本项目设计制度具有可操作性、严谨性、保安现状及纪律要求的管理制度适合程：</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14:textFill>
                  <w14:solidFill>
                    <w14:schemeClr w14:val="tx1"/>
                  </w14:solidFill>
                </w14:textFill>
              </w:rPr>
            </w:pP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（4）未提供管理制度不得分。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3.服务承诺及进度控制（1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要求投标人提供详细完整的服务承诺、时间进度控制安排及诚信承诺等内容。</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Cs w:val="24"/>
                <w:highlight w:val="none"/>
                <w14:textFill>
                  <w14:solidFill>
                    <w14:schemeClr w14:val="tx1"/>
                  </w14:solidFill>
                </w14:textFill>
              </w:rPr>
              <w:t>-1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0</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7</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pStyle w:val="2"/>
              <w:spacing w:line="240" w:lineRule="auto"/>
              <w:ind w:firstLine="0"/>
              <w:rPr>
                <w:rFonts w:ascii="方正仿宋_GBK" w:hAnsi="方正仿宋_GBK" w:eastAsia="方正仿宋_GBK" w:cs="方正仿宋_GBK"/>
                <w:color w:val="000000" w:themeColor="text1"/>
                <w:szCs w:val="24"/>
                <w:highlight w:val="none"/>
                <w14:textFill>
                  <w14:solidFill>
                    <w14:schemeClr w14:val="tx1"/>
                  </w14:solidFill>
                </w14:textFill>
              </w:rPr>
            </w:pPr>
            <w:r>
              <w:rPr>
                <w:rFonts w:hint="eastAsia" w:ascii="方正仿宋_GBK" w:hAnsi="方正仿宋_GBK" w:eastAsia="方正仿宋_GBK" w:cs="方正仿宋_GBK"/>
                <w:color w:val="000000" w:themeColor="text1"/>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Cs w:val="24"/>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（4）未提供不得分。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4.应急预案（1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要求投标人提供详细完整的应急预案，内容应包含对出现紧急事故的防范性和及时性。</w:t>
            </w:r>
          </w:p>
          <w:p>
            <w:pPr>
              <w:spacing w:after="12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（1）内容阐述详尽完整、措施完善、条例清晰、覆盖全面，得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spacing w:after="12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（2）覆盖上述内容，但阐述不详尽、措施不完善、条理不够清晰，得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spacing w:after="120"/>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（3）未完全覆盖上述内容，阐述严重缺乏条理性，措施极不完善，得1-</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p>
            <w:pPr>
              <w:spacing w:after="12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（4）未提供应急预案不得分。</w:t>
            </w:r>
          </w:p>
        </w:tc>
        <w:tc>
          <w:tcPr>
            <w:tcW w:w="1924" w:type="dxa"/>
            <w:shd w:val="clear" w:color="auto" w:fill="FFFFFF"/>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restart"/>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3</w:t>
            </w:r>
          </w:p>
        </w:tc>
        <w:tc>
          <w:tcPr>
            <w:tcW w:w="749" w:type="dxa"/>
            <w:vMerge w:val="restart"/>
            <w:shd w:val="clear" w:color="auto" w:fill="auto"/>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商务部分（</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14:textFill>
                  <w14:solidFill>
                    <w14:schemeClr w14:val="tx1"/>
                  </w14:solidFill>
                </w14:textFill>
              </w:rPr>
              <w:t>0%）</w:t>
            </w:r>
          </w:p>
        </w:tc>
        <w:tc>
          <w:tcPr>
            <w:tcW w:w="638" w:type="dxa"/>
            <w:vMerge w:val="restart"/>
            <w:shd w:val="clear" w:color="auto" w:fill="auto"/>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服务</w:t>
            </w:r>
          </w:p>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p>
        </w:tc>
        <w:tc>
          <w:tcPr>
            <w:tcW w:w="799" w:type="dxa"/>
            <w:vMerge w:val="restart"/>
            <w:shd w:val="clear" w:color="auto" w:fill="FFFFFF"/>
            <w:vAlign w:val="center"/>
          </w:tcPr>
          <w:p>
            <w:pPr>
              <w:spacing w:line="320" w:lineRule="exact"/>
              <w:jc w:val="both"/>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18分</w:t>
            </w:r>
          </w:p>
        </w:tc>
        <w:tc>
          <w:tcPr>
            <w:tcW w:w="4672"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投标人的注册资金大于</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等于</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00万，得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tc>
        <w:tc>
          <w:tcPr>
            <w:tcW w:w="1924"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46"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749"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638"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799" w:type="dxa"/>
            <w:vMerge w:val="continue"/>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p>
        </w:tc>
        <w:tc>
          <w:tcPr>
            <w:tcW w:w="4672" w:type="dxa"/>
            <w:shd w:val="clear" w:color="auto" w:fill="FFFFFF"/>
            <w:vAlign w:val="center"/>
          </w:tcPr>
          <w:p>
            <w:pPr>
              <w:spacing w:line="320" w:lineRule="exact"/>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提</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供巡查车辆，车辆须为</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投标人</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本单位自有车辆，每一辆计</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分，共</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w:t>
            </w:r>
          </w:p>
        </w:tc>
        <w:tc>
          <w:tcPr>
            <w:tcW w:w="1924"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行驶证</w:t>
            </w:r>
            <w:r>
              <w:rPr>
                <w:rFonts w:hint="eastAsia" w:ascii="方正仿宋_GBK" w:hAnsi="方正仿宋_GBK" w:eastAsia="方正仿宋_GBK" w:cs="方正仿宋_GBK"/>
                <w:color w:val="000000" w:themeColor="text1"/>
                <w:sz w:val="24"/>
                <w:szCs w:val="24"/>
                <w14:textFill>
                  <w14:solidFill>
                    <w14:schemeClr w14:val="tx1"/>
                  </w14:solidFill>
                </w14:textFill>
              </w:rPr>
              <w:t>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46"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749" w:type="dxa"/>
            <w:vMerge w:val="continue"/>
            <w:shd w:val="clear" w:color="auto" w:fill="auto"/>
            <w:vAlign w:val="center"/>
          </w:tcPr>
          <w:p>
            <w:pPr>
              <w:spacing w:line="320" w:lineRule="exact"/>
              <w:ind w:firstLine="480" w:firstLineChars="200"/>
              <w:rPr>
                <w:rFonts w:ascii="方正仿宋_GBK" w:hAnsi="方正仿宋_GBK" w:eastAsia="方正仿宋_GBK" w:cs="方正仿宋_GBK"/>
                <w:color w:val="000000" w:themeColor="text1"/>
                <w:sz w:val="24"/>
                <w:szCs w:val="24"/>
                <w14:textFill>
                  <w14:solidFill>
                    <w14:schemeClr w14:val="tx1"/>
                  </w14:solidFill>
                </w14:textFill>
              </w:rPr>
            </w:pPr>
          </w:p>
        </w:tc>
        <w:tc>
          <w:tcPr>
            <w:tcW w:w="638" w:type="dxa"/>
            <w:shd w:val="clear" w:color="auto" w:fill="auto"/>
            <w:vAlign w:val="center"/>
          </w:tcPr>
          <w:p>
            <w:pPr>
              <w:spacing w:line="320" w:lineRule="exact"/>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机械设备</w:t>
            </w:r>
          </w:p>
        </w:tc>
        <w:tc>
          <w:tcPr>
            <w:tcW w:w="799" w:type="dxa"/>
            <w:shd w:val="clear" w:color="auto" w:fill="FFFFFF"/>
            <w:vAlign w:val="center"/>
          </w:tcPr>
          <w:p>
            <w:pPr>
              <w:spacing w:line="320" w:lineRule="exact"/>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12分</w:t>
            </w:r>
          </w:p>
        </w:tc>
        <w:tc>
          <w:tcPr>
            <w:tcW w:w="4672" w:type="dxa"/>
            <w:shd w:val="clear" w:color="auto" w:fill="FFFFFF"/>
            <w:vAlign w:val="center"/>
          </w:tcPr>
          <w:p>
            <w:pPr>
              <w:spacing w:line="320" w:lineRule="exact"/>
              <w:rPr>
                <w:rFonts w:ascii="方正仿宋_GBK" w:hAnsi="方正仿宋_GBK" w:eastAsia="方正仿宋_GBK" w:cs="方正仿宋_GBK"/>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投标人提供</w:t>
            </w:r>
            <w:r>
              <w:rPr>
                <w:rFonts w:hint="eastAsia" w:ascii="方正仿宋_GBK" w:hAnsi="方正仿宋_GBK" w:eastAsia="方正仿宋_GBK" w:cs="方正仿宋_GBK"/>
                <w:color w:val="000000" w:themeColor="text1"/>
                <w:sz w:val="24"/>
                <w:szCs w:val="24"/>
                <w:highlight w:val="none"/>
                <w:lang w:eastAsia="zh-CN"/>
                <w14:textFill>
                  <w14:solidFill>
                    <w14:schemeClr w14:val="tx1"/>
                  </w14:solidFill>
                </w14:textFill>
              </w:rPr>
              <w:t>机械设备照片</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，每一个得</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分，满分</w:t>
            </w:r>
            <w:r>
              <w:rPr>
                <w:rFonts w:hint="eastAsia" w:ascii="方正仿宋_GBK" w:hAnsi="方正仿宋_GBK" w:eastAsia="方正仿宋_GBK" w:cs="方正仿宋_GBK"/>
                <w:color w:val="000000" w:themeColor="text1"/>
                <w:sz w:val="24"/>
                <w:szCs w:val="24"/>
                <w:highlight w:val="non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4"/>
                <w:szCs w:val="24"/>
                <w:highlight w:val="none"/>
                <w14:textFill>
                  <w14:solidFill>
                    <w14:schemeClr w14:val="tx1"/>
                  </w14:solidFill>
                </w14:textFill>
              </w:rPr>
              <w:t>分。</w:t>
            </w:r>
          </w:p>
        </w:tc>
        <w:tc>
          <w:tcPr>
            <w:tcW w:w="1924" w:type="dxa"/>
            <w:shd w:val="clear" w:color="auto" w:fill="FFFFFF"/>
            <w:vAlign w:val="center"/>
          </w:tcPr>
          <w:p>
            <w:pPr>
              <w:spacing w:line="320" w:lineRule="exact"/>
              <w:rPr>
                <w:rFonts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机械设备照片</w:t>
            </w:r>
            <w:r>
              <w:rPr>
                <w:rFonts w:hint="eastAsia" w:ascii="方正仿宋_GBK" w:hAnsi="方正仿宋_GBK" w:eastAsia="方正仿宋_GBK" w:cs="方正仿宋_GBK"/>
                <w:color w:val="000000" w:themeColor="text1"/>
                <w:sz w:val="24"/>
                <w:szCs w:val="24"/>
                <w14:textFill>
                  <w14:solidFill>
                    <w14:schemeClr w14:val="tx1"/>
                  </w14:solidFill>
                </w14:textFill>
              </w:rPr>
              <w:t>，并加盖投标人公章。</w:t>
            </w:r>
          </w:p>
        </w:tc>
      </w:tr>
    </w:tbl>
    <w:p>
      <w:pPr>
        <w:pStyle w:val="4"/>
        <w:spacing w:before="0" w:after="0" w:line="400" w:lineRule="exact"/>
        <w:rPr>
          <w:rFonts w:ascii="方正仿宋_GBK" w:eastAsia="方正仿宋_GBK"/>
          <w:color w:val="FF0000"/>
          <w:sz w:val="24"/>
          <w:szCs w:val="24"/>
        </w:rPr>
      </w:pPr>
    </w:p>
    <w:p>
      <w:pPr>
        <w:pStyle w:val="4"/>
        <w:spacing w:before="0" w:after="0" w:line="400" w:lineRule="exact"/>
        <w:rPr>
          <w:rFonts w:ascii="方正仿宋_GBK" w:eastAsia="方正仿宋_GBK"/>
          <w:sz w:val="24"/>
          <w:szCs w:val="24"/>
        </w:rPr>
      </w:pPr>
      <w:r>
        <w:rPr>
          <w:rFonts w:hint="eastAsia" w:ascii="方正仿宋_GBK" w:eastAsia="方正仿宋_GBK"/>
          <w:sz w:val="24"/>
          <w:szCs w:val="24"/>
        </w:rPr>
        <w:t>三、无效响应</w:t>
      </w:r>
      <w:bookmarkEnd w:id="43"/>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（一）供应商不符合规定的基本资格条件或特定资格条件的；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（二）供应商的法定代表人或其授权代表未参加磋商；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（三）供应商未按照竞争性磋商文件的要求缴纳投标保证金；</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（四）供应商所提交的响应文件不按第六篇“响应文件编制要求”规定签字、盖章；</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（五）供应商的最后报价超过采购预算的；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（六）法定代表人为同一个人的两个及两个以上法人，母公司、全资子公司及其控股公司，在同一分包采购中同时参与磋商；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（七）单位负责人为同一人或者存在直接控股、管理关系的不同供应商，参加同一合同项下的政府采购活动的；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（九）供应商的服务期、质量保证期及磋商有效期不满足竞争性磋商文件要求的；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（十）供应商响应文件内容有与国家现行法律法规相违背的内容，或附有采购人无法接受的条件。</w:t>
      </w:r>
    </w:p>
    <w:p>
      <w:pPr>
        <w:pStyle w:val="4"/>
        <w:spacing w:before="0" w:after="0" w:line="400" w:lineRule="exact"/>
        <w:rPr>
          <w:rFonts w:ascii="方正仿宋_GBK" w:eastAsia="方正仿宋_GBK"/>
          <w:sz w:val="24"/>
          <w:szCs w:val="24"/>
        </w:rPr>
      </w:pPr>
      <w:bookmarkStart w:id="44" w:name="_Toc466546923"/>
      <w:r>
        <w:rPr>
          <w:rFonts w:hint="eastAsia" w:ascii="方正仿宋_GBK" w:eastAsia="方正仿宋_GBK"/>
          <w:sz w:val="24"/>
          <w:szCs w:val="24"/>
        </w:rPr>
        <w:t>四、</w:t>
      </w:r>
      <w:bookmarkEnd w:id="41"/>
      <w:bookmarkEnd w:id="42"/>
      <w:r>
        <w:rPr>
          <w:rFonts w:hint="eastAsia" w:ascii="方正仿宋_GBK" w:eastAsia="方正仿宋_GBK"/>
          <w:sz w:val="24"/>
          <w:szCs w:val="24"/>
        </w:rPr>
        <w:t>采购终止</w:t>
      </w:r>
      <w:bookmarkEnd w:id="44"/>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（一）因情况变化，不再符合规定的竞争性磋商采购方式适用情形的；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（三）在采购过程中符合要求的供应商或者报价未超过采购预算的供应商不足3家的，</w:t>
      </w:r>
      <w:r>
        <w:rPr>
          <w:rFonts w:ascii="方正仿宋_GBK" w:hAnsi="宋体" w:eastAsia="方正仿宋_GBK"/>
          <w:sz w:val="24"/>
          <w:szCs w:val="24"/>
        </w:rPr>
        <w:t>原则上应</w:t>
      </w:r>
      <w:r>
        <w:rPr>
          <w:rFonts w:hint="eastAsia" w:ascii="方正仿宋_GBK" w:hAnsi="宋体" w:eastAsia="方正仿宋_GBK"/>
          <w:sz w:val="24"/>
          <w:szCs w:val="24"/>
        </w:rPr>
        <w:t>当终止竞争性磋商采购活动，</w:t>
      </w:r>
      <w:r>
        <w:rPr>
          <w:rFonts w:ascii="方正仿宋_GBK" w:hAnsi="宋体" w:eastAsia="方正仿宋_GBK"/>
          <w:sz w:val="24"/>
          <w:szCs w:val="24"/>
        </w:rPr>
        <w:t>特殊情况下可以继续磋商</w:t>
      </w:r>
      <w:r>
        <w:rPr>
          <w:rFonts w:hint="eastAsia" w:ascii="方正仿宋_GBK" w:hAnsi="宋体" w:eastAsia="方正仿宋_GBK"/>
          <w:sz w:val="24"/>
          <w:szCs w:val="24"/>
        </w:rPr>
        <w:t>并</w:t>
      </w:r>
      <w:r>
        <w:rPr>
          <w:rFonts w:ascii="方正仿宋_GBK" w:hAnsi="宋体" w:eastAsia="方正仿宋_GBK"/>
          <w:sz w:val="24"/>
          <w:szCs w:val="24"/>
        </w:rPr>
        <w:t>确定成交供应商</w:t>
      </w:r>
      <w:r>
        <w:rPr>
          <w:rFonts w:hint="eastAsia" w:ascii="方正仿宋_GBK" w:hAnsi="宋体" w:eastAsia="方正仿宋_GBK"/>
          <w:sz w:val="24"/>
          <w:szCs w:val="24"/>
        </w:rPr>
        <w:t>。</w:t>
      </w:r>
    </w:p>
    <w:p>
      <w:pPr>
        <w:widowControl/>
        <w:jc w:val="left"/>
        <w:rPr>
          <w:rFonts w:ascii="方正仿宋_GBK" w:hAnsi="宋体" w:eastAsia="方正仿宋_GBK"/>
          <w:sz w:val="24"/>
          <w:szCs w:val="24"/>
        </w:rPr>
      </w:pPr>
      <w:r>
        <w:rPr>
          <w:rFonts w:ascii="方正仿宋_GBK" w:hAnsi="宋体" w:eastAsia="方正仿宋_GBK"/>
          <w:sz w:val="24"/>
          <w:szCs w:val="24"/>
        </w:rPr>
        <w:br w:type="page"/>
      </w:r>
      <w:bookmarkStart w:id="45" w:name="_Toc466546924"/>
      <w:bookmarkStart w:id="46" w:name="_Toc102227313"/>
    </w:p>
    <w:p>
      <w:pPr>
        <w:pStyle w:val="3"/>
        <w:spacing w:line="360" w:lineRule="auto"/>
        <w:jc w:val="center"/>
        <w:rPr>
          <w:rFonts w:ascii="方正小标宋_GBK" w:hAnsi="宋体" w:eastAsia="方正小标宋_GBK"/>
          <w:b w:val="0"/>
          <w:szCs w:val="30"/>
        </w:rPr>
      </w:pPr>
      <w:r>
        <w:rPr>
          <w:rFonts w:hint="eastAsia" w:ascii="方正小标宋_GBK" w:hAnsi="宋体" w:eastAsia="方正小标宋_GBK"/>
          <w:b w:val="0"/>
          <w:sz w:val="36"/>
          <w:szCs w:val="30"/>
        </w:rPr>
        <w:t>第五篇  供应商须知</w:t>
      </w:r>
      <w:bookmarkEnd w:id="45"/>
      <w:bookmarkEnd w:id="46"/>
    </w:p>
    <w:p>
      <w:pPr>
        <w:pStyle w:val="4"/>
        <w:spacing w:before="0" w:after="0" w:line="440" w:lineRule="exact"/>
        <w:rPr>
          <w:rFonts w:ascii="方正仿宋_GBK" w:eastAsia="方正仿宋_GBK"/>
          <w:sz w:val="24"/>
          <w:szCs w:val="24"/>
        </w:rPr>
      </w:pPr>
      <w:bookmarkStart w:id="47" w:name="_Toc466546925"/>
      <w:bookmarkStart w:id="48" w:name="_Toc342913389"/>
      <w:r>
        <w:rPr>
          <w:rFonts w:hint="eastAsia" w:ascii="方正仿宋_GBK" w:eastAsia="方正仿宋_GBK"/>
          <w:sz w:val="24"/>
          <w:szCs w:val="24"/>
        </w:rPr>
        <w:t>一、磋商费用</w:t>
      </w:r>
      <w:bookmarkEnd w:id="47"/>
      <w:bookmarkEnd w:id="48"/>
    </w:p>
    <w:p>
      <w:pPr>
        <w:pStyle w:val="3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eastAsia="方正仿宋_GBK"/>
          <w:sz w:val="24"/>
          <w:szCs w:val="24"/>
        </w:rPr>
        <w:t>磋商</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eastAsia="方正仿宋_GBK"/>
          <w:sz w:val="24"/>
          <w:szCs w:val="24"/>
        </w:rPr>
        <w:t>磋商</w:t>
      </w:r>
      <w:r>
        <w:rPr>
          <w:rFonts w:hint="eastAsia" w:ascii="方正仿宋_GBK" w:hAnsi="宋体" w:eastAsia="方正仿宋_GBK"/>
          <w:sz w:val="24"/>
          <w:szCs w:val="24"/>
        </w:rPr>
        <w:t>结果如何，采购人和采购代理机构在任何情况下无义务也无责任承担这些费用。</w:t>
      </w:r>
    </w:p>
    <w:p>
      <w:pPr>
        <w:pStyle w:val="4"/>
        <w:spacing w:before="0" w:after="0" w:line="400" w:lineRule="exact"/>
        <w:rPr>
          <w:rFonts w:ascii="方正仿宋_GBK" w:eastAsia="方正仿宋_GBK"/>
          <w:sz w:val="24"/>
          <w:szCs w:val="24"/>
        </w:rPr>
      </w:pPr>
      <w:bookmarkStart w:id="49" w:name="_Toc342913392"/>
      <w:bookmarkStart w:id="50" w:name="_Toc466546927"/>
      <w:bookmarkStart w:id="51" w:name="_Toc102227318"/>
      <w:bookmarkStart w:id="52" w:name="_Toc179714297"/>
      <w:r>
        <w:rPr>
          <w:rFonts w:hint="eastAsia" w:ascii="方正仿宋_GBK" w:eastAsia="方正仿宋_GBK"/>
          <w:sz w:val="24"/>
          <w:szCs w:val="24"/>
        </w:rPr>
        <w:t>二、磋商要求</w:t>
      </w:r>
      <w:bookmarkEnd w:id="49"/>
      <w:bookmarkEnd w:id="50"/>
      <w:bookmarkEnd w:id="51"/>
      <w:bookmarkEnd w:id="52"/>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（一）磋商有效期：响应文件及有关承诺文件有效期为提交响应文件截止时间起90天。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在响应文件正本中，竞争性磋商文件第六篇响应文件编制要求中规定签字、盖章的地方必须按其规定签字、盖章。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各个供应商应当派1-2名代表参与磋商，至少1人应为法定代表人或具有法定代表人授权委托书的授权代表。</w:t>
      </w:r>
    </w:p>
    <w:p>
      <w:pPr>
        <w:pStyle w:val="4"/>
        <w:spacing w:before="0" w:after="0" w:line="400" w:lineRule="exact"/>
        <w:rPr>
          <w:rFonts w:ascii="方正仿宋_GBK" w:eastAsia="方正仿宋_GBK"/>
          <w:sz w:val="24"/>
          <w:szCs w:val="24"/>
        </w:rPr>
      </w:pPr>
      <w:bookmarkStart w:id="53" w:name="_Toc466546928"/>
      <w:r>
        <w:rPr>
          <w:rFonts w:hint="eastAsia" w:ascii="方正仿宋_GBK" w:eastAsia="方正仿宋_GBK"/>
          <w:sz w:val="24"/>
          <w:szCs w:val="24"/>
        </w:rPr>
        <w:t>三、成交供应商的确认和变更</w:t>
      </w:r>
      <w:bookmarkEnd w:id="5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（一）成交供应商的确认</w:t>
      </w:r>
    </w:p>
    <w:p>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采购人</w:t>
      </w:r>
      <w:r>
        <w:rPr>
          <w:rFonts w:hint="eastAsia" w:ascii="方正仿宋_GBK" w:hAnsi="宋体" w:eastAsia="方正仿宋_GBK"/>
          <w:sz w:val="24"/>
          <w:szCs w:val="24"/>
        </w:rPr>
        <w:t>在成交候选供应商中，按照排序由高到低的原则确定成交供应商。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1、成交供应商因不可抗力或者自身原因不能履行合同的，采购人可以确定排名其后一位的成交候选人为成交供应商：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2、成交供应商无充分理由放弃成交的，采购人将依规对违规供应商进行处罚。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（一）采购人将以书面形式发出《中标通知书》。《中标通知书》一经发出即发生法律效力。</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（二）《中标通知书》将作为签订合同的依据。</w:t>
      </w:r>
    </w:p>
    <w:p>
      <w:pPr>
        <w:spacing w:line="400" w:lineRule="exact"/>
        <w:ind w:firstLine="480" w:firstLineChars="200"/>
      </w:pPr>
      <w:r>
        <w:rPr>
          <w:rFonts w:hint="eastAsia" w:ascii="方正仿宋_GBK" w:hAnsi="宋体" w:eastAsia="方正仿宋_GBK"/>
          <w:sz w:val="24"/>
          <w:szCs w:val="24"/>
        </w:rPr>
        <w:t>（三）如有供应商对成交结果提出质疑的，在质疑处理完毕后发出成交通知书。</w:t>
      </w:r>
    </w:p>
    <w:p>
      <w:pPr>
        <w:widowControl/>
        <w:jc w:val="left"/>
        <w:rPr>
          <w:rFonts w:ascii="方正仿宋_GBK" w:hAnsi="宋体" w:eastAsia="方正仿宋_GBK"/>
          <w:sz w:val="24"/>
          <w:szCs w:val="24"/>
        </w:rPr>
      </w:pPr>
      <w:r>
        <w:rPr>
          <w:rFonts w:ascii="方正仿宋_GBK" w:hAnsi="宋体" w:eastAsia="方正仿宋_GBK"/>
          <w:sz w:val="24"/>
          <w:szCs w:val="24"/>
        </w:rPr>
        <w:br w:type="page"/>
      </w:r>
    </w:p>
    <w:p>
      <w:pPr>
        <w:pStyle w:val="3"/>
        <w:spacing w:before="0" w:after="0" w:line="360" w:lineRule="auto"/>
        <w:rPr>
          <w:rFonts w:ascii="方正小标宋_GBK" w:hAnsi="宋体" w:eastAsia="方正小标宋_GBK"/>
          <w:b w:val="0"/>
          <w:sz w:val="36"/>
          <w:szCs w:val="30"/>
        </w:rPr>
      </w:pPr>
      <w:bookmarkStart w:id="54" w:name="_Toc466546935"/>
    </w:p>
    <w:p>
      <w:pPr>
        <w:pStyle w:val="3"/>
        <w:spacing w:before="0" w:after="0"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第六篇  合同草案条款</w:t>
      </w:r>
      <w:bookmarkEnd w:id="54"/>
    </w:p>
    <w:p>
      <w:pPr>
        <w:spacing w:line="300" w:lineRule="auto"/>
        <w:jc w:val="center"/>
        <w:rPr>
          <w:rFonts w:ascii="宋体" w:hAnsi="宋体" w:cs="宋体"/>
          <w:szCs w:val="28"/>
          <w:lang w:val="zh-TW" w:eastAsia="zh-TW"/>
        </w:rPr>
      </w:pPr>
      <w:bookmarkStart w:id="55" w:name="_Toc12789072"/>
      <w:bookmarkStart w:id="56" w:name="_Toc466546936"/>
      <w:r>
        <w:rPr>
          <w:rFonts w:hint="eastAsia" w:ascii="宋体" w:hAnsi="宋体" w:cs="宋体"/>
          <w:b/>
          <w:bCs/>
          <w:sz w:val="44"/>
          <w:szCs w:val="44"/>
          <w:lang w:val="zh-TW" w:eastAsia="zh-TW"/>
        </w:rPr>
        <w:t>土地</w:t>
      </w:r>
      <w:r>
        <w:rPr>
          <w:rFonts w:hint="eastAsia" w:ascii="宋体" w:hAnsi="宋体" w:cs="宋体"/>
          <w:b/>
          <w:bCs/>
          <w:sz w:val="44"/>
          <w:szCs w:val="44"/>
          <w:lang w:val="zh-TW"/>
        </w:rPr>
        <w:t>管护</w:t>
      </w:r>
      <w:r>
        <w:rPr>
          <w:rFonts w:hint="eastAsia" w:ascii="宋体" w:hAnsi="宋体" w:cs="宋体"/>
          <w:b/>
          <w:bCs/>
          <w:sz w:val="44"/>
          <w:szCs w:val="44"/>
          <w:lang w:val="zh-TW" w:eastAsia="zh-TW"/>
        </w:rPr>
        <w:t xml:space="preserve">合同 </w:t>
      </w:r>
      <w:r>
        <w:rPr>
          <w:rFonts w:hint="eastAsia" w:ascii="宋体" w:hAnsi="宋体" w:cs="宋体"/>
          <w:szCs w:val="28"/>
          <w:lang w:val="zh-TW" w:eastAsia="zh-TW"/>
        </w:rPr>
        <w:t>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为了加强对区域土地的管护，根据《中华人民共和国</w:t>
      </w:r>
      <w:r>
        <w:rPr>
          <w:rFonts w:ascii="方正仿宋_GBK" w:hAnsi="宋体" w:eastAsia="方正仿宋_GBK"/>
          <w:sz w:val="24"/>
          <w:szCs w:val="24"/>
        </w:rPr>
        <w:t>民法典</w:t>
      </w:r>
      <w:r>
        <w:rPr>
          <w:rFonts w:hint="eastAsia" w:ascii="方正仿宋_GBK" w:hAnsi="宋体" w:eastAsia="方正仿宋_GBK"/>
          <w:sz w:val="24"/>
          <w:szCs w:val="24"/>
        </w:rPr>
        <w:t>》的有关规定和双方约定，委托方（以下简称“甲方”）就</w:t>
      </w:r>
      <w:r>
        <w:rPr>
          <w:rFonts w:hint="eastAsia" w:ascii="方正仿宋_GBK" w:hAnsi="宋体" w:eastAsia="方正仿宋_GBK"/>
          <w:color w:val="auto"/>
          <w:sz w:val="24"/>
          <w:szCs w:val="24"/>
        </w:rPr>
        <w:t>广阳湾生态城区域范围已摘（水投集团和江北</w:t>
      </w:r>
      <w:r>
        <w:rPr>
          <w:rFonts w:hint="eastAsia" w:ascii="方正仿宋_GBK" w:hAnsi="宋体" w:eastAsia="方正仿宋_GBK"/>
          <w:color w:val="auto"/>
          <w:sz w:val="24"/>
          <w:szCs w:val="24"/>
          <w:lang w:eastAsia="zh-CN"/>
        </w:rPr>
        <w:t>嘴</w:t>
      </w:r>
      <w:r>
        <w:rPr>
          <w:rFonts w:hint="eastAsia" w:ascii="方正仿宋_GBK" w:hAnsi="宋体" w:eastAsia="方正仿宋_GBK"/>
          <w:color w:val="auto"/>
          <w:sz w:val="24"/>
          <w:szCs w:val="24"/>
        </w:rPr>
        <w:t>公司）</w:t>
      </w:r>
      <w:r>
        <w:rPr>
          <w:rFonts w:hint="eastAsia" w:ascii="方正仿宋_GBK" w:hAnsi="宋体" w:eastAsia="方正仿宋_GBK"/>
          <w:sz w:val="24"/>
          <w:szCs w:val="24"/>
          <w:lang w:eastAsia="zh-CN"/>
        </w:rPr>
        <w:t>地块</w:t>
      </w:r>
      <w:r>
        <w:rPr>
          <w:rFonts w:hint="eastAsia" w:ascii="方正仿宋_GBK" w:hAnsi="宋体" w:eastAsia="方正仿宋_GBK"/>
          <w:sz w:val="24"/>
          <w:szCs w:val="24"/>
        </w:rPr>
        <w:t>(以下简称土地)委托给受托方（以下简称“乙方”）管护事宜达成一致意见，签订本合同，双方共同遵守执行。</w:t>
      </w:r>
    </w:p>
    <w:p>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第一条  </w:t>
      </w:r>
      <w:r>
        <w:rPr>
          <w:rFonts w:hint="eastAsia" w:ascii="方正仿宋_GBK" w:hAnsi="宋体" w:eastAsia="方正仿宋_GBK"/>
          <w:sz w:val="24"/>
          <w:szCs w:val="24"/>
          <w:highlight w:val="none"/>
          <w:lang w:eastAsia="zh-CN"/>
        </w:rPr>
        <w:t>工作内容及范围</w:t>
      </w:r>
      <w:r>
        <w:rPr>
          <w:rFonts w:hint="eastAsia" w:ascii="方正仿宋_GBK" w:hAnsi="宋体" w:eastAsia="方正仿宋_GBK"/>
          <w:sz w:val="24"/>
          <w:szCs w:val="24"/>
          <w:highlight w:val="none"/>
        </w:rPr>
        <w:t>      </w:t>
      </w:r>
    </w:p>
    <w:p>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（一）管护项目名称：</w:t>
      </w:r>
      <w:r>
        <w:rPr>
          <w:rFonts w:hint="eastAsia" w:ascii="方正仿宋_GBK" w:hAnsi="宋体" w:eastAsia="方正仿宋_GBK"/>
          <w:color w:val="auto"/>
          <w:sz w:val="24"/>
          <w:szCs w:val="24"/>
        </w:rPr>
        <w:t>广阳湾生态城区域范围已摘牌（水投集团和江北嘴公司）地块</w:t>
      </w:r>
      <w:r>
        <w:rPr>
          <w:rFonts w:hint="eastAsia" w:ascii="方正仿宋_GBK" w:hAnsi="宋体" w:eastAsia="方正仿宋_GBK"/>
          <w:sz w:val="24"/>
          <w:szCs w:val="24"/>
          <w:highlight w:val="none"/>
        </w:rPr>
        <w:t>管护工作。</w:t>
      </w:r>
    </w:p>
    <w:p>
      <w:pPr>
        <w:snapToGrid w:val="0"/>
        <w:spacing w:line="400" w:lineRule="exact"/>
        <w:ind w:firstLine="480" w:firstLineChars="200"/>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（二）管护规模：</w:t>
      </w:r>
      <w:r>
        <w:rPr>
          <w:rFonts w:hint="eastAsia" w:ascii="方正仿宋_GBK" w:hAnsi="宋体" w:eastAsia="方正仿宋_GBK"/>
          <w:color w:val="auto"/>
          <w:sz w:val="24"/>
          <w:szCs w:val="24"/>
        </w:rPr>
        <w:t>广阳湾生态城区域范围已摘牌（水投集团和江北嘴公司）地块</w:t>
      </w:r>
      <w:r>
        <w:rPr>
          <w:rFonts w:hint="eastAsia" w:ascii="方正仿宋_GBK" w:hAnsi="宋体" w:eastAsia="方正仿宋_GBK"/>
          <w:sz w:val="24"/>
          <w:szCs w:val="24"/>
          <w:highlight w:val="none"/>
        </w:rPr>
        <w:t>面积约</w:t>
      </w:r>
      <w:r>
        <w:rPr>
          <w:rFonts w:hint="eastAsia" w:ascii="方正仿宋_GBK" w:hAnsi="宋体" w:eastAsia="方正仿宋_GBK"/>
          <w:sz w:val="24"/>
          <w:szCs w:val="24"/>
          <w:highlight w:val="none"/>
          <w:lang w:val="en-US" w:eastAsia="zh-CN"/>
        </w:rPr>
        <w:t>619</w:t>
      </w:r>
      <w:r>
        <w:rPr>
          <w:rFonts w:hint="eastAsia" w:ascii="方正仿宋_GBK" w:hAnsi="宋体" w:eastAsia="方正仿宋_GBK"/>
          <w:sz w:val="24"/>
          <w:szCs w:val="24"/>
          <w:highlight w:val="none"/>
        </w:rPr>
        <w:t>亩,位于南岸区迎龙镇，界址清楚、面积明确。管护期限内新增或减少的闲置土地</w:t>
      </w:r>
      <w:r>
        <w:rPr>
          <w:rFonts w:hint="eastAsia" w:ascii="方正仿宋_GBK" w:hAnsi="宋体" w:eastAsia="方正仿宋_GBK"/>
          <w:sz w:val="24"/>
          <w:szCs w:val="24"/>
          <w:highlight w:val="none"/>
          <w:lang w:eastAsia="zh-CN"/>
        </w:rPr>
        <w:t>面积，根据包干单价</w:t>
      </w:r>
      <w:r>
        <w:rPr>
          <w:rFonts w:hint="eastAsia" w:ascii="方正仿宋_GBK" w:hAnsi="宋体" w:eastAsia="方正仿宋_GBK"/>
          <w:sz w:val="24"/>
          <w:szCs w:val="24"/>
          <w:highlight w:val="none"/>
          <w:lang w:val="en-US" w:eastAsia="zh-CN"/>
        </w:rPr>
        <w:t>800元/亩/年</w:t>
      </w:r>
      <w:r>
        <w:rPr>
          <w:rFonts w:hint="eastAsia" w:ascii="方正仿宋_GBK" w:hAnsi="宋体" w:eastAsia="方正仿宋_GBK"/>
          <w:sz w:val="24"/>
          <w:szCs w:val="24"/>
          <w:highlight w:val="none"/>
        </w:rPr>
        <w:t>据实结算管护费用。</w:t>
      </w:r>
    </w:p>
    <w:p>
      <w:pPr>
        <w:snapToGrid w:val="0"/>
        <w:spacing w:line="400" w:lineRule="exact"/>
        <w:ind w:firstLine="480" w:firstLineChars="200"/>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pPr>
      <w:r>
        <w:rPr>
          <w:rFonts w:hint="eastAsia" w:ascii="方正仿宋_GBK" w:hAnsi="宋体" w:eastAsia="方正仿宋_GBK"/>
          <w:sz w:val="24"/>
          <w:szCs w:val="24"/>
        </w:rPr>
        <w:t>（三）委托对该区域土地进行看护、环境保护及安全管理。</w:t>
      </w:r>
    </w:p>
    <w:p>
      <w:pPr>
        <w:spacing w:line="520" w:lineRule="exact"/>
        <w:ind w:firstLine="480" w:firstLineChars="200"/>
        <w:rPr>
          <w:rFonts w:hint="eastAsia" w:eastAsia="方正仿宋_GBK"/>
          <w:lang w:eastAsia="zh-CN"/>
        </w:rPr>
      </w:pPr>
      <w:r>
        <w:rPr>
          <w:rFonts w:hint="eastAsia" w:ascii="方正仿宋_GBK" w:hAnsi="方正仿宋_GBK" w:eastAsia="方正仿宋_GBK" w:cs="方正仿宋_GBK"/>
          <w:color w:val="000000" w:themeColor="text1"/>
          <w:kern w:val="0"/>
          <w:sz w:val="24"/>
          <w:szCs w:val="24"/>
          <w:lang w:eastAsia="zh-CN"/>
          <w14:textFill>
            <w14:solidFill>
              <w14:schemeClr w14:val="tx1"/>
            </w14:solidFill>
          </w14:textFill>
        </w:rPr>
        <w:t>（四）</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为确保</w:t>
      </w:r>
      <w:r>
        <w:rPr>
          <w:rFonts w:hint="eastAsia" w:ascii="方正仿宋_GBK" w:hAnsi="方正仿宋_GBK" w:eastAsia="方正仿宋_GBK" w:cs="方正仿宋_GBK"/>
          <w:color w:val="000000" w:themeColor="text1"/>
          <w:kern w:val="0"/>
          <w:sz w:val="24"/>
          <w:szCs w:val="24"/>
          <w14:textFill>
            <w14:solidFill>
              <w14:schemeClr w14:val="tx1"/>
            </w14:solidFill>
          </w14:textFill>
        </w:rPr>
        <w:t>管护</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任务顺利完成，</w:t>
      </w:r>
      <w:r>
        <w:rPr>
          <w:rFonts w:hint="eastAsia" w:ascii="方正仿宋_GBK" w:hAnsi="方正仿宋_GBK" w:eastAsia="方正仿宋_GBK" w:cs="方正仿宋_GBK"/>
          <w:color w:val="000000" w:themeColor="text1"/>
          <w:kern w:val="0"/>
          <w:sz w:val="24"/>
          <w:szCs w:val="24"/>
          <w14:textFill>
            <w14:solidFill>
              <w14:schemeClr w14:val="tx1"/>
            </w14:solidFill>
          </w14:textFill>
        </w:rPr>
        <w:t>供应商</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需要</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负债禁止</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管护区域</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无关</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人员进</w:t>
      </w:r>
      <w:r>
        <w:rPr>
          <w:rFonts w:hint="eastAsia" w:ascii="方正仿宋_GBK" w:hAnsi="方正仿宋_GBK" w:eastAsia="方正仿宋_GBK" w:cs="方正仿宋_GBK"/>
          <w:b w:val="0"/>
          <w:color w:val="000000" w:themeColor="text1"/>
          <w:kern w:val="0"/>
          <w:sz w:val="24"/>
          <w:szCs w:val="24"/>
          <w:lang w:eastAsia="zh-CN"/>
          <w14:textFill>
            <w14:solidFill>
              <w14:schemeClr w14:val="tx1"/>
            </w14:solidFill>
          </w14:textFill>
        </w:rPr>
        <w:t>入及</w:t>
      </w:r>
      <w:r>
        <w:rPr>
          <w:rFonts w:hint="eastAsia" w:ascii="方正仿宋_GBK" w:hAnsi="方正仿宋_GBK" w:eastAsia="方正仿宋_GBK" w:cs="方正仿宋_GBK"/>
          <w:b w:val="0"/>
          <w:color w:val="000000" w:themeColor="text1"/>
          <w:kern w:val="0"/>
          <w:sz w:val="24"/>
          <w:szCs w:val="24"/>
          <w14:textFill>
            <w14:solidFill>
              <w14:schemeClr w14:val="tx1"/>
            </w14:solidFill>
          </w14:textFill>
        </w:rPr>
        <w:t>周边的安全管理，发现异常及时查看、处理，并保证日常安全值守工作不松懈，确保安全工作实施的畅通。发生在执勤区域内的、治安刑事案件和自然灾害事故，及时处理并报告采购人和当地公安机关，采取措施保护现场，协助公安机关查办管护期内相关治安刑事案件，依法妥善处理责任范围内的其它突发事件。落实防火、防盗、防破坏等消防安全防范措施，发现责任区域内的安全隐患，及时报告采购人并协助处理。加强对保安员的在岗培训、监督和管理，确保服务工作的优质高效。维护辖区内公共安全、公众财产安全、防止辖区内寻衅滋事事件发生，保持高度警觉，不得迟到、早退、脱岗、工作时间睡觉等。队员应保持相对稳定，不得随意调整，如有调整或更换,应提前告知采购人，并征求采购人意见。协助采购人完成其它相关安全方面的工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）甲方委托的其他管护工作。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第二条  管护期限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管护期限暂定为1年，从   年   月   日起至   年   月 日止。若需继续管护，甲乙双方另行协商。若甲方因建设等需要提前收回管护权，乙方无条件将土地原貌交付给甲方。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第三条  委托管护服务费用及支付方式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（一）管护服务费标准。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管护费用以中标价格为准。</w:t>
      </w:r>
      <w:r>
        <w:rPr>
          <w:rFonts w:hint="eastAsia" w:ascii="方正仿宋_GBK" w:hAnsi="宋体" w:eastAsia="方正仿宋_GBK"/>
          <w:sz w:val="24"/>
          <w:szCs w:val="24"/>
          <w:highlight w:val="none"/>
        </w:rPr>
        <w:t>包干</w:t>
      </w:r>
      <w:r>
        <w:rPr>
          <w:rFonts w:hint="eastAsia" w:ascii="方正仿宋_GBK" w:hAnsi="宋体" w:eastAsia="方正仿宋_GBK"/>
          <w:sz w:val="24"/>
          <w:szCs w:val="24"/>
          <w:highlight w:val="none"/>
          <w:lang w:eastAsia="zh-CN"/>
        </w:rPr>
        <w:t>单</w:t>
      </w:r>
      <w:r>
        <w:rPr>
          <w:rFonts w:hint="eastAsia" w:ascii="方正仿宋_GBK" w:hAnsi="宋体" w:eastAsia="方正仿宋_GBK"/>
          <w:sz w:val="24"/>
          <w:szCs w:val="24"/>
          <w:highlight w:val="none"/>
        </w:rPr>
        <w:t>价人民</w:t>
      </w:r>
      <w:r>
        <w:rPr>
          <w:rFonts w:hint="eastAsia" w:ascii="方正仿宋_GBK" w:hAnsi="宋体" w:eastAsia="方正仿宋_GBK"/>
          <w:sz w:val="24"/>
          <w:szCs w:val="24"/>
        </w:rPr>
        <w:t>币</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元/亩/月，面积以甲方土地勘界报告为准，最终总价为包干单价乘以甲方勘界报告确定面积（价格已包含相应税款）。</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（二）支付方式。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按期支付（每三个月为一期）。</w:t>
      </w:r>
      <w:r>
        <w:rPr>
          <w:rFonts w:ascii="方正仿宋_GBK" w:hAnsi="宋体" w:eastAsia="方正仿宋_GBK"/>
          <w:sz w:val="24"/>
          <w:szCs w:val="24"/>
        </w:rPr>
        <w:t>按管护期限计算</w:t>
      </w:r>
      <w:r>
        <w:rPr>
          <w:rFonts w:hint="eastAsia" w:ascii="方正仿宋_GBK" w:hAnsi="宋体" w:eastAsia="方正仿宋_GBK"/>
          <w:sz w:val="24"/>
          <w:szCs w:val="24"/>
        </w:rPr>
        <w:t>每三个月最后1个月的25日后进行验收。经甲方验收合格</w:t>
      </w:r>
      <w:r>
        <w:rPr>
          <w:rFonts w:ascii="方正仿宋_GBK" w:hAnsi="宋体" w:eastAsia="方正仿宋_GBK"/>
          <w:sz w:val="24"/>
          <w:szCs w:val="24"/>
        </w:rPr>
        <w:t>且收到</w:t>
      </w:r>
      <w:r>
        <w:rPr>
          <w:rFonts w:hint="eastAsia" w:ascii="方正仿宋_GBK" w:hAnsi="宋体" w:eastAsia="方正仿宋_GBK"/>
          <w:sz w:val="24"/>
          <w:szCs w:val="24"/>
        </w:rPr>
        <w:t>乙方提供的合法足额的增值税专用发票后</w:t>
      </w:r>
      <w:r>
        <w:rPr>
          <w:rFonts w:ascii="方正仿宋_GBK" w:hAnsi="宋体" w:eastAsia="方正仿宋_GBK"/>
          <w:sz w:val="24"/>
          <w:szCs w:val="24"/>
        </w:rPr>
        <w:t>十个工作日内</w:t>
      </w:r>
      <w:r>
        <w:rPr>
          <w:rFonts w:hint="eastAsia" w:ascii="方正仿宋_GBK" w:hAnsi="宋体" w:eastAsia="方正仿宋_GBK"/>
          <w:sz w:val="24"/>
          <w:szCs w:val="24"/>
        </w:rPr>
        <w:t>支付当期的土地管护费用（每一期土地管护费为一年管护费用的25%），以此类推，直至土地管护期限结束。甲方付款前应先收到。</w:t>
      </w:r>
    </w:p>
    <w:p>
      <w:pPr>
        <w:numPr>
          <w:ilvl w:val="0"/>
          <w:numId w:val="1"/>
        </w:num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若因国家建设或甲方需要提前解除合同,</w:t>
      </w:r>
      <w:r>
        <w:rPr>
          <w:rFonts w:ascii="方正仿宋_GBK" w:hAnsi="宋体" w:eastAsia="方正仿宋_GBK"/>
          <w:sz w:val="24"/>
          <w:szCs w:val="24"/>
        </w:rPr>
        <w:t>甲方有权单方解除本合同，</w:t>
      </w:r>
      <w:r>
        <w:rPr>
          <w:rFonts w:hint="eastAsia" w:ascii="方正仿宋_GBK" w:hAnsi="宋体" w:eastAsia="方正仿宋_GBK"/>
          <w:sz w:val="24"/>
          <w:szCs w:val="24"/>
        </w:rPr>
        <w:t>委托管护服务费用应按实际管护的时间结算</w:t>
      </w:r>
      <w:r>
        <w:rPr>
          <w:rFonts w:ascii="方正仿宋_GBK" w:hAnsi="宋体" w:eastAsia="方正仿宋_GBK"/>
          <w:sz w:val="24"/>
          <w:szCs w:val="24"/>
        </w:rPr>
        <w:t>；</w:t>
      </w:r>
      <w:r>
        <w:rPr>
          <w:rFonts w:hint="eastAsia" w:ascii="方正仿宋_GBK" w:hAnsi="宋体" w:eastAsia="方正仿宋_GBK"/>
          <w:sz w:val="24"/>
          <w:szCs w:val="24"/>
        </w:rPr>
        <w:t>实际管护的时间为甲方正式移交乙方管护之日起，至解除或终止委托土地管护之日止，解除或终止日期以实际交地时间为准。</w:t>
      </w:r>
    </w:p>
    <w:p>
      <w:pPr>
        <w:pStyle w:val="2"/>
        <w:numPr>
          <w:ilvl w:val="-1"/>
          <w:numId w:val="0"/>
        </w:numPr>
        <w:ind w:left="0" w:firstLine="720" w:firstLineChars="300"/>
        <w:rPr>
          <w:rFonts w:hint="eastAsia" w:ascii="方正仿宋_GBK" w:eastAsia="方正仿宋_GBK"/>
          <w:sz w:val="24"/>
          <w:szCs w:val="24"/>
          <w:lang w:val="en-US" w:eastAsia="zh-CN"/>
        </w:rPr>
      </w:pPr>
      <w:r>
        <w:rPr>
          <w:rFonts w:hint="eastAsia" w:ascii="方正仿宋_GBK" w:eastAsia="方正仿宋_GBK"/>
          <w:sz w:val="24"/>
          <w:szCs w:val="24"/>
          <w:lang w:val="en-US" w:eastAsia="zh-CN"/>
        </w:rPr>
        <w:t>第四条 履约保证金</w:t>
      </w:r>
    </w:p>
    <w:p>
      <w:pPr>
        <w:pStyle w:val="2"/>
        <w:numPr>
          <w:ilvl w:val="-1"/>
          <w:numId w:val="0"/>
        </w:numPr>
        <w:ind w:firstLine="0" w:firstLineChars="0"/>
        <w:rPr>
          <w:rFonts w:hint="default" w:ascii="方正仿宋_GBK" w:eastAsia="方正仿宋_GBK"/>
          <w:sz w:val="24"/>
          <w:szCs w:val="24"/>
          <w:lang w:val="en-US" w:eastAsia="zh-CN"/>
        </w:rPr>
      </w:pPr>
      <w:r>
        <w:rPr>
          <w:rFonts w:hint="eastAsia" w:ascii="方正仿宋_GBK" w:eastAsia="方正仿宋_GBK"/>
          <w:sz w:val="24"/>
          <w:szCs w:val="24"/>
          <w:lang w:val="en-US" w:eastAsia="zh-CN"/>
        </w:rPr>
        <w:t>本项目履约保证金按协议总价款的10%缴纳，在中标通知书下达后，签订合同前一次性向甲方缴纳；合同终止，土地验收合格后10个工作日内一次性退还履约保证金。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第</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条  双方责任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（一）甲方责任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1.负责提供委托乙方管护的地块位置、地块边界红线、土地面积、地上建构筑物数量和其它附着物的现状资料，与乙方现场清点、核对后进行移交。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2.收回地块时，与乙方到现场根据委托管护协议第一条进行现场清点、核对，无误后进行收回移交工作。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3.有权对管护土地区域进行跟踪动态监督。</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4.按合同约定支付委托管护服务费。</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（二）乙方责任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.守护看管委托土地，及时发现并制止非法侵占、破坏土地的行为，日常看护人员不少于</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人，24小时值守；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.防止委托土地内出现新增乱搭乱建、乱倒弃土、乱倒垃圾、乱砍滥伐林木、复耕行为；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.管理保护委托土地上甲方指定的基础设施、建（构）筑物等；</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.建立委托土地管护台帐，及时核对账目，接受甲方监管；</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.对危险地段采取安全防护措施，设置警示牌等；</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.在委托土地转让后，积极配合甲方业务部门，做到按甲方要求的时间交地；</w:t>
      </w:r>
    </w:p>
    <w:p>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发现委托土地上存在新增违法用地、违法建筑、乱砍滥伐林木、超过规定标准排放污染物、乱倒淤泥渣土、垃圾等行为，应当及时采取措施予以阻止并报告甲方及相关职能部门；发生纠纷及时处理并上报甲方，如不及时报告。甲方在巡查过程中</w:t>
      </w:r>
      <w:r>
        <w:rPr>
          <w:rFonts w:hint="eastAsia" w:ascii="方正仿宋_GBK" w:hAnsi="方正仿宋_GBK" w:eastAsia="方正仿宋_GBK" w:cs="方正仿宋_GBK"/>
          <w:kern w:val="0"/>
          <w:sz w:val="24"/>
          <w:szCs w:val="24"/>
        </w:rPr>
        <w:t>发现一次上述情况罚款1000-</w:t>
      </w:r>
      <w:r>
        <w:rPr>
          <w:rFonts w:hint="eastAsia" w:ascii="方正仿宋_GBK" w:hAnsi="方正仿宋_GBK" w:eastAsia="方正仿宋_GBK" w:cs="方正仿宋_GBK"/>
          <w:kern w:val="0"/>
          <w:sz w:val="24"/>
          <w:szCs w:val="24"/>
          <w:highlight w:val="none"/>
        </w:rPr>
        <w:t>5000元，并按甲方要求立即制止并整改到位</w:t>
      </w:r>
      <w:r>
        <w:rPr>
          <w:rFonts w:hint="eastAsia" w:ascii="方正仿宋_GBK" w:hAnsi="宋体" w:eastAsia="方正仿宋_GBK"/>
          <w:sz w:val="24"/>
          <w:szCs w:val="24"/>
          <w:highlight w:val="none"/>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.对甲方临时告知的需要乙方处理的事情，甲乙双方需签补充协议，若情况紧急，乙方应先采取积极措施，事后再补签协议。</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.甲方任何时候收回土地时，乙方都应保证该土地内无新增乱搭乱建、乱到弃土、乱砍伐树木等行为。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.乙方在管护该土地时，在该土地范围内发生的任何危害行为，乙方都应首先展开积极措施予以处理。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.甲方向第三方移交土地时，乙方应到场配合交地。</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.该地块的安全管理事宜由乙方负责</w:t>
      </w:r>
      <w:r>
        <w:rPr>
          <w:rFonts w:ascii="方正仿宋_GBK" w:hAnsi="宋体" w:eastAsia="方正仿宋_GBK"/>
          <w:sz w:val="24"/>
          <w:szCs w:val="24"/>
        </w:rPr>
        <w:t>。</w:t>
      </w:r>
      <w:r>
        <w:rPr>
          <w:rFonts w:hint="eastAsia" w:ascii="方正仿宋_GBK" w:hAnsi="宋体" w:eastAsia="方正仿宋_GBK"/>
          <w:sz w:val="24"/>
          <w:szCs w:val="24"/>
        </w:rPr>
        <w:t>若管护人员发生工伤、经济补偿、劳动争议、人身及财产安全事故</w:t>
      </w:r>
      <w:r>
        <w:rPr>
          <w:rFonts w:ascii="方正仿宋_GBK" w:hAnsi="宋体" w:eastAsia="方正仿宋_GBK"/>
          <w:sz w:val="24"/>
          <w:szCs w:val="24"/>
        </w:rPr>
        <w:t>，或若其他人员在管护范围内发生安全事故</w:t>
      </w:r>
      <w:r>
        <w:rPr>
          <w:rFonts w:hint="eastAsia" w:ascii="方正仿宋_GBK" w:hAnsi="宋体" w:eastAsia="方正仿宋_GBK"/>
          <w:sz w:val="24"/>
          <w:szCs w:val="24"/>
        </w:rPr>
        <w:t>等，由乙方承担全部经济损失和法律责任。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w:t>
      </w:r>
      <w:r>
        <w:rPr>
          <w:rFonts w:hint="eastAsia" w:ascii="方正仿宋_GBK" w:hAnsi="宋体" w:eastAsia="方正仿宋_GBK"/>
          <w:sz w:val="24"/>
          <w:szCs w:val="24"/>
          <w:lang w:eastAsia="zh-CN"/>
        </w:rPr>
        <w:t>六</w:t>
      </w:r>
      <w:r>
        <w:rPr>
          <w:rFonts w:hint="eastAsia" w:ascii="方正仿宋_GBK" w:hAnsi="宋体" w:eastAsia="方正仿宋_GBK"/>
          <w:sz w:val="24"/>
          <w:szCs w:val="24"/>
        </w:rPr>
        <w:t>条  违约责任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（一）若甲方未能按合同约定向乙方支付管护服务费用的，按应付管护服务费用金额每日千分之一计算向乙方支付违约金。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乙方未按合同第四条第（二）款1-13项的约定履行义务，每发生一次，乙方应当按管护服务费总额的千分之一向甲方支付违约金，发现三次或以上的甲方有权解除合同并有权要求乙方按管护土地的管护服务费用总额的百分之二十支付违约金</w:t>
      </w:r>
      <w:r>
        <w:rPr>
          <w:rFonts w:ascii="宋体" w:hAnsi="宋体" w:cs="宋体"/>
          <w:color w:val="000000"/>
          <w:sz w:val="32"/>
          <w:szCs w:val="32"/>
        </w:rPr>
        <w:t>。</w:t>
      </w:r>
      <w:r>
        <w:rPr>
          <w:rFonts w:hint="eastAsia" w:ascii="方正仿宋_GBK" w:hAnsi="宋体" w:eastAsia="方正仿宋_GBK"/>
          <w:sz w:val="24"/>
          <w:szCs w:val="24"/>
        </w:rPr>
        <w:t>如因乙方原因，导致甲方不能按时按照向乙方交地前的土地的状态向第三方移交土地的，每延迟一天移交土地，乙方须按管护服务费用总额的千分之一向甲方支付违约金。如甲方受到的实际损失超出乙方应当支付的违约金的，甲方有权要求乙方进行赔偿。</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（三）乙方未依约履责，导致委托土地出现被侵占、已有建筑被破坏等不利情况的，甲方因此而产生的整改费用、向第三方承担的违约责任或赔偿责任等，甲方有权向乙方追偿或要求乙方承担。</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第</w:t>
      </w:r>
      <w:r>
        <w:rPr>
          <w:rFonts w:hint="eastAsia" w:ascii="方正仿宋_GBK" w:hAnsi="宋体" w:eastAsia="方正仿宋_GBK"/>
          <w:sz w:val="24"/>
          <w:szCs w:val="24"/>
          <w:lang w:eastAsia="zh-CN"/>
        </w:rPr>
        <w:t>七</w:t>
      </w:r>
      <w:r>
        <w:rPr>
          <w:rFonts w:hint="eastAsia" w:ascii="方正仿宋_GBK" w:hAnsi="宋体" w:eastAsia="方正仿宋_GBK"/>
          <w:sz w:val="24"/>
          <w:szCs w:val="24"/>
        </w:rPr>
        <w:t>条  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（一）本合同未尽事项，由甲、乙双方协商，签订补充协议，补充协议与本合同具备同等法律效力；</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（二）本合同履行中如有争议，双方应协商解决，若协商不成，提交甲方所在地人民法院提起诉讼；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（三）因发生不可抗力导致本合同无法履行时，由甲、乙双方协商解决；</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（四）本合同一式六份，甲、乙双方各执三份，经双方签字盖章后生效，具有同等法律效力。</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附件：  《管护区域示意图及地形图》</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甲方：（盖章）               乙方：（盖章）</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法定代表人：                法定代表人:</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经办人：                    经办人：</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联系电话：                  联系电话：</w:t>
      </w:r>
    </w:p>
    <w:p>
      <w:pPr>
        <w:snapToGrid w:val="0"/>
        <w:spacing w:line="400" w:lineRule="exact"/>
        <w:ind w:firstLine="480" w:firstLineChars="200"/>
        <w:rPr>
          <w:rFonts w:ascii="方正仿宋_GBK" w:hAnsi="宋体" w:eastAsia="方正仿宋_GBK"/>
          <w:sz w:val="24"/>
          <w:szCs w:val="24"/>
        </w:rPr>
      </w:pPr>
    </w:p>
    <w:p>
      <w:pPr>
        <w:widowControl/>
        <w:spacing w:line="560" w:lineRule="exact"/>
        <w:jc w:val="left"/>
        <w:rPr>
          <w:color w:val="7030A0"/>
        </w:rPr>
      </w:pPr>
    </w:p>
    <w:p>
      <w:pPr>
        <w:widowControl/>
        <w:spacing w:line="560" w:lineRule="exact"/>
        <w:jc w:val="left"/>
        <w:rPr>
          <w:color w:val="7030A0"/>
        </w:rPr>
      </w:pPr>
    </w:p>
    <w:p>
      <w:pPr>
        <w:widowControl/>
        <w:spacing w:line="560" w:lineRule="exact"/>
        <w:jc w:val="left"/>
        <w:rPr>
          <w:color w:val="7030A0"/>
        </w:rPr>
      </w:pPr>
    </w:p>
    <w:p>
      <w:pPr>
        <w:widowControl/>
        <w:spacing w:line="560" w:lineRule="exact"/>
        <w:jc w:val="left"/>
        <w:rPr>
          <w:color w:val="7030A0"/>
        </w:rPr>
      </w:pPr>
    </w:p>
    <w:p>
      <w:pPr>
        <w:spacing w:line="560" w:lineRule="exact"/>
        <w:rPr>
          <w:color w:val="7030A0"/>
        </w:rPr>
      </w:pPr>
    </w:p>
    <w:p>
      <w:pPr>
        <w:pStyle w:val="2"/>
      </w:pPr>
    </w:p>
    <w:p>
      <w:pPr>
        <w:pStyle w:val="2"/>
        <w:ind w:firstLine="0"/>
      </w:pPr>
    </w:p>
    <w:p>
      <w:pPr>
        <w:spacing w:line="560" w:lineRule="exact"/>
        <w:rPr>
          <w:color w:val="7030A0"/>
          <w:szCs w:val="28"/>
        </w:rPr>
      </w:pPr>
    </w:p>
    <w:p>
      <w:pPr>
        <w:pStyle w:val="3"/>
        <w:spacing w:before="0" w:after="0" w:line="360" w:lineRule="auto"/>
        <w:rPr>
          <w:rFonts w:ascii="方正小标宋_GBK" w:hAnsi="宋体" w:eastAsia="方正小标宋_GBK"/>
          <w:b w:val="0"/>
          <w:sz w:val="36"/>
          <w:szCs w:val="30"/>
        </w:rPr>
      </w:pPr>
    </w:p>
    <w:p>
      <w:pPr>
        <w:pStyle w:val="3"/>
        <w:spacing w:before="0" w:after="0" w:line="360" w:lineRule="auto"/>
        <w:jc w:val="center"/>
        <w:rPr>
          <w:rFonts w:ascii="方正小标宋_GBK" w:hAnsi="宋体" w:eastAsia="方正小标宋_GBK"/>
          <w:b w:val="0"/>
          <w:sz w:val="36"/>
          <w:szCs w:val="30"/>
        </w:rPr>
      </w:pPr>
      <w:r>
        <w:rPr>
          <w:rFonts w:hint="eastAsia" w:ascii="方正小标宋_GBK" w:hAnsi="宋体" w:eastAsia="方正小标宋_GBK"/>
          <w:b w:val="0"/>
          <w:sz w:val="36"/>
          <w:szCs w:val="30"/>
        </w:rPr>
        <w:t xml:space="preserve">第七篇  </w:t>
      </w:r>
      <w:bookmarkEnd w:id="55"/>
      <w:r>
        <w:rPr>
          <w:rFonts w:hint="eastAsia" w:ascii="方正小标宋_GBK" w:hAnsi="宋体" w:eastAsia="方正小标宋_GBK"/>
          <w:b w:val="0"/>
          <w:sz w:val="36"/>
          <w:szCs w:val="30"/>
        </w:rPr>
        <w:t>响应文件编制要求</w:t>
      </w:r>
      <w:bookmarkEnd w:id="56"/>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4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服务响应偏离表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pPr>
        <w:snapToGrid w:val="0"/>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sz w:val="24"/>
          <w:szCs w:val="24"/>
        </w:rPr>
        <w:t>（一）营业执照（副本）或事业单位法人证书（副本）复印件或个体工商户营业执照</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（五）上一年度财务状况报告（表）复印件，本年度新成立的公司提供提交响应文件截止时间前一个月的财务状况报告（表）复印件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（六）书面声明（格式）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（七）税务登记证（副本）复印件和社会保险缴纳证明材料</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（八）信用中国网站及中国政府采购网查询结果（查询时间为本项目采购公告发布之日起至递交响应文件截止时间前）</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1.信用中国网站（</w:t>
      </w:r>
      <w:r>
        <w:fldChar w:fldCharType="begin"/>
      </w:r>
      <w:r>
        <w:instrText xml:space="preserve"> HYPERLINK "http://www.creditchina.gov.cn" </w:instrText>
      </w:r>
      <w:r>
        <w:fldChar w:fldCharType="separate"/>
      </w:r>
      <w:r>
        <w:rPr>
          <w:rFonts w:hint="eastAsia"/>
          <w:sz w:val="24"/>
          <w:szCs w:val="24"/>
        </w:rPr>
        <w:t>www.creditchina.gov.cn</w:t>
      </w:r>
      <w:r>
        <w:rPr>
          <w:rFonts w:hint="eastAsia"/>
          <w:sz w:val="24"/>
          <w:szCs w:val="24"/>
        </w:rPr>
        <w:fldChar w:fldCharType="end"/>
      </w:r>
      <w:r>
        <w:rPr>
          <w:rFonts w:hint="eastAsia" w:ascii="方正仿宋_GBK" w:hAnsi="宋体" w:eastAsia="方正仿宋_GBK"/>
          <w:sz w:val="24"/>
          <w:szCs w:val="24"/>
        </w:rPr>
        <w:t>）查询结果（提供查询结果网页打印件并加盖供应商公章）</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1.1“信用信息”查询结果；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1.2“失信被执行人”查询结果；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1.3“重大税收违法案件当事人名单”查询结果；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1.4“政府行政许可与行政处罚”查询结果。</w:t>
      </w:r>
    </w:p>
    <w:p>
      <w:pPr>
        <w:snapToGrid w:val="0"/>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 中国政府采购网（</w:t>
      </w:r>
      <w:r>
        <w:fldChar w:fldCharType="begin"/>
      </w:r>
      <w:r>
        <w:instrText xml:space="preserve"> HYPERLINK "http://www.ccgp.gov.cn" </w:instrText>
      </w:r>
      <w:r>
        <w:fldChar w:fldCharType="separate"/>
      </w:r>
      <w:r>
        <w:rPr>
          <w:rFonts w:hint="eastAsia" w:ascii="方正仿宋_GBK" w:hAnsi="宋体" w:eastAsia="方正仿宋_GBK"/>
          <w:sz w:val="24"/>
          <w:szCs w:val="24"/>
        </w:rPr>
        <w:t>www.ccgp.gov.cn</w:t>
      </w:r>
      <w:r>
        <w:rPr>
          <w:rFonts w:hint="eastAsia" w:ascii="方正仿宋_GBK" w:hAnsi="宋体" w:eastAsia="方正仿宋_GBK"/>
          <w:sz w:val="24"/>
          <w:szCs w:val="24"/>
        </w:rPr>
        <w:fldChar w:fldCharType="end"/>
      </w:r>
      <w:r>
        <w:rPr>
          <w:rFonts w:hint="eastAsia" w:ascii="方正仿宋_GBK" w:hAnsi="宋体" w:eastAsia="方正仿宋_GBK"/>
          <w:sz w:val="24"/>
          <w:szCs w:val="24"/>
        </w:rPr>
        <w:t>）（提供查询结果网页打印件并加盖供应商公章）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“政府采购严重违法失信行为记录名单”查询结果。</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说明：供应商按“三证合一”登记制度办理营业执照的，组织机构代码证和税务登记证以供应商所提供的法人营业执照（副本）复印件为准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五、其他应提供的资料</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（一）联合体共同联合协议（如果有）</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1、保证金缴纳情况证明文件（如有）</w:t>
      </w:r>
    </w:p>
    <w:p>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2、其他与项目有关的资料</w:t>
      </w: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pPr>
    </w:p>
    <w:p>
      <w:pPr>
        <w:snapToGrid w:val="0"/>
        <w:spacing w:line="360" w:lineRule="auto"/>
        <w:rPr>
          <w:rFonts w:hint="eastAsia" w:ascii="宋体" w:hAnsi="宋体" w:eastAsia="宋体"/>
          <w:sz w:val="24"/>
          <w:szCs w:val="24"/>
          <w:bdr w:val="single" w:color="auto" w:sz="4" w:space="0"/>
          <w:lang w:eastAsia="zh-CN"/>
        </w:rPr>
        <w:sectPr>
          <w:footerReference r:id="rId8"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sz w:val="24"/>
          <w:szCs w:val="24"/>
        </w:rPr>
      </w:pPr>
      <w:bookmarkStart w:id="57" w:name="_Toc342913419"/>
      <w:bookmarkStart w:id="58" w:name="_Toc313888360"/>
      <w:bookmarkStart w:id="59" w:name="_Toc313008356"/>
      <w:bookmarkStart w:id="60" w:name="_Toc466546937"/>
      <w:bookmarkStart w:id="61" w:name="_Toc12789073"/>
      <w:bookmarkStart w:id="62" w:name="_Toc283382454"/>
      <w:r>
        <w:rPr>
          <w:rFonts w:hint="eastAsia" w:ascii="方正仿宋_GBK" w:hAnsi="宋体" w:eastAsia="方正仿宋_GBK"/>
          <w:sz w:val="24"/>
          <w:szCs w:val="24"/>
        </w:rPr>
        <w:t>一、经济部分</w:t>
      </w:r>
      <w:bookmarkEnd w:id="57"/>
      <w:bookmarkEnd w:id="58"/>
      <w:bookmarkEnd w:id="59"/>
      <w:bookmarkEnd w:id="60"/>
    </w:p>
    <w:bookmarkEnd w:id="61"/>
    <w:bookmarkEnd w:id="62"/>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竞争性磋商报价函</w:t>
      </w:r>
    </w:p>
    <w:p>
      <w:pPr>
        <w:tabs>
          <w:tab w:val="left" w:pos="6300"/>
        </w:tabs>
        <w:snapToGrid w:val="0"/>
        <w:spacing w:line="480" w:lineRule="exact"/>
        <w:rPr>
          <w:rFonts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我方收到____________________________（项目名称）及_____________（项目号）的竞争性磋商文件，经详细研究，决定参加该项目的磋商。</w:t>
      </w:r>
    </w:p>
    <w:p>
      <w:pPr>
        <w:tabs>
          <w:tab w:val="left" w:pos="6300"/>
        </w:tabs>
        <w:snapToGrid w:val="0"/>
        <w:spacing w:line="480" w:lineRule="exact"/>
        <w:ind w:left="956" w:leftChars="170" w:hanging="480" w:hangingChars="200"/>
        <w:rPr>
          <w:rFonts w:ascii="方正仿宋_GBK" w:hAnsi="宋体" w:eastAsia="方正仿宋_GBK"/>
          <w:sz w:val="24"/>
          <w:szCs w:val="24"/>
        </w:rPr>
      </w:pPr>
      <w:r>
        <w:rPr>
          <w:rFonts w:hint="eastAsia" w:ascii="方正仿宋_GBK" w:hAnsi="宋体" w:eastAsia="方正仿宋_GBK"/>
          <w:sz w:val="24"/>
          <w:szCs w:val="24"/>
        </w:rPr>
        <w:t>1、愿意按照竞争性磋商文件中的一切要求，提供本项目的技术服务，初始报价单价为      元/亩/月，总价为人民币元（大写:  ）。以我公司最后报价为准。</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2、我方现提交的响应文件为：响应文件正本份，副本份。</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3、我方承诺：本次磋商的有效期为90天。</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4、我方完全理解和接受贵方竞争性磋商文件的一切规定和要求及评审办法。</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5、在整个竞争性磋商过程中，我方若有违规行为，接受按照《中华人民共和国政府采购法》及其实施条例等规定给予惩罚。</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我方理解，最低报价不是成交的唯一条件。</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我方同意按竞争性磋商文件规定，交纳竞争性磋商文件要求的投标保证金（如有）。如果我方成为成交供应商，保证在接到成交通知书后，向采购代理机构和交易中心交纳竞争性磋商文件规定的采购代理服务费和交易服务费。</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                                                供应商（公章）：</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jc w:val="center"/>
        <w:rPr>
          <w:rFonts w:ascii="方正仿宋_GBK" w:eastAsia="方正仿宋_GBK"/>
          <w:b/>
          <w:szCs w:val="28"/>
        </w:rPr>
      </w:pPr>
      <w:r>
        <w:rPr>
          <w:rFonts w:hint="eastAsia" w:ascii="方正仿宋_GBK" w:eastAsia="方正仿宋_GBK"/>
          <w:b/>
          <w:szCs w:val="28"/>
        </w:rPr>
        <w:t>明细报价表</w:t>
      </w:r>
    </w:p>
    <w:p>
      <w:pPr>
        <w:spacing w:line="360" w:lineRule="auto"/>
        <w:rPr>
          <w:rFonts w:ascii="方正仿宋_GBK" w:hAnsi="宋体" w:eastAsia="方正仿宋_GBK"/>
          <w:sz w:val="24"/>
          <w:szCs w:val="24"/>
        </w:rPr>
      </w:pPr>
      <w:r>
        <w:rPr>
          <w:rFonts w:hint="eastAsia" w:ascii="方正仿宋_GBK" w:hAnsi="宋体" w:eastAsia="方正仿宋_GBK"/>
          <w:sz w:val="24"/>
          <w:szCs w:val="24"/>
        </w:rPr>
        <w:t>项目编号：</w:t>
      </w:r>
    </w:p>
    <w:p>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69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40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344"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695" w:type="dxa"/>
            <w:vAlign w:val="center"/>
          </w:tcPr>
          <w:p>
            <w:pPr>
              <w:jc w:val="center"/>
              <w:rPr>
                <w:rFonts w:ascii="方正仿宋_GBK" w:hAnsi="宋体" w:eastAsia="方正仿宋_GBK"/>
                <w:sz w:val="21"/>
                <w:szCs w:val="21"/>
              </w:rPr>
            </w:pP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695" w:type="dxa"/>
            <w:vAlign w:val="center"/>
          </w:tcPr>
          <w:p>
            <w:pPr>
              <w:jc w:val="center"/>
              <w:rPr>
                <w:rFonts w:hint="eastAsia" w:ascii="方正仿宋_GBK" w:hAnsi="宋体" w:eastAsia="方正仿宋_GBK"/>
                <w:sz w:val="21"/>
                <w:szCs w:val="21"/>
                <w:lang w:eastAsia="zh-CN"/>
              </w:rPr>
            </w:pPr>
            <w:r>
              <w:rPr>
                <w:rFonts w:hint="eastAsia" w:ascii="方正仿宋_GBK" w:hAnsi="宋体" w:eastAsia="方正仿宋_GBK"/>
                <w:sz w:val="21"/>
                <w:szCs w:val="21"/>
                <w:lang w:eastAsia="zh-CN"/>
              </w:rPr>
              <w:t>采购单价</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695" w:type="dxa"/>
            <w:vAlign w:val="center"/>
          </w:tcPr>
          <w:p>
            <w:pPr>
              <w:jc w:val="center"/>
              <w:rPr>
                <w:rFonts w:hint="eastAsia" w:ascii="方正仿宋_GBK" w:hAnsi="宋体" w:eastAsia="方正仿宋_GBK"/>
                <w:sz w:val="21"/>
                <w:szCs w:val="21"/>
                <w:lang w:eastAsia="zh-CN"/>
              </w:rPr>
            </w:pPr>
            <w:r>
              <w:rPr>
                <w:rFonts w:hint="eastAsia" w:ascii="方正仿宋_GBK" w:hAnsi="宋体" w:eastAsia="方正仿宋_GBK"/>
                <w:sz w:val="21"/>
                <w:szCs w:val="21"/>
                <w:lang w:eastAsia="zh-CN"/>
              </w:rPr>
              <w:t>预算总价</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其他费用</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3404" w:type="dxa"/>
          </w:tcPr>
          <w:p>
            <w:pPr>
              <w:jc w:val="center"/>
              <w:rPr>
                <w:rFonts w:ascii="方正仿宋_GBK" w:hAnsi="宋体" w:eastAsia="方正仿宋_GBK"/>
                <w:sz w:val="21"/>
                <w:szCs w:val="21"/>
              </w:rPr>
            </w:pPr>
          </w:p>
        </w:tc>
        <w:tc>
          <w:tcPr>
            <w:tcW w:w="1344"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pPr>
              <w:jc w:val="center"/>
              <w:rPr>
                <w:rFonts w:ascii="方正仿宋_GBK" w:hAnsi="宋体" w:eastAsia="方正仿宋_GBK"/>
                <w:sz w:val="21"/>
                <w:szCs w:val="21"/>
              </w:rPr>
            </w:pPr>
          </w:p>
        </w:tc>
        <w:tc>
          <w:tcPr>
            <w:tcW w:w="1344"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8"/>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69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7436"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63" w:name="OLE_LINK2"/>
      <w:bookmarkStart w:id="64" w:name="OLE_LINK1"/>
      <w:r>
        <w:rPr>
          <w:rFonts w:hint="eastAsia" w:ascii="方正仿宋_GBK" w:hAnsi="宋体" w:eastAsia="方正仿宋_GBK"/>
          <w:sz w:val="24"/>
          <w:szCs w:val="28"/>
        </w:rPr>
        <w:t>，并逐页签字或盖章。</w:t>
      </w:r>
      <w:bookmarkEnd w:id="63"/>
      <w:bookmarkEnd w:id="64"/>
    </w:p>
    <w:p>
      <w:pPr>
        <w:snapToGrid w:val="0"/>
        <w:spacing w:line="500" w:lineRule="exact"/>
        <w:rPr>
          <w:rFonts w:ascii="方正仿宋_GBK" w:hAnsi="宋体" w:eastAsia="方正仿宋_GBK"/>
          <w:color w:val="FF0000"/>
          <w:sz w:val="24"/>
          <w:szCs w:val="28"/>
        </w:rPr>
      </w:pPr>
      <w:r>
        <w:rPr>
          <w:rFonts w:hint="eastAsia" w:ascii="方正仿宋_GBK" w:hAnsi="宋体" w:eastAsia="方正仿宋_GBK"/>
          <w:sz w:val="24"/>
          <w:szCs w:val="28"/>
        </w:rPr>
        <w:t xml:space="preserve">        3、该表可根据项目实际情况调整。</w:t>
      </w:r>
    </w:p>
    <w:p>
      <w:pPr>
        <w:pStyle w:val="15"/>
        <w:spacing w:line="360" w:lineRule="auto"/>
        <w:rPr>
          <w:rFonts w:ascii="方正仿宋_GBK" w:hAnsi="宋体" w:eastAsia="方正仿宋_GBK"/>
          <w:sz w:val="24"/>
          <w:szCs w:val="24"/>
        </w:rPr>
      </w:pPr>
    </w:p>
    <w:p>
      <w:pPr>
        <w:pStyle w:val="15"/>
        <w:spacing w:line="360" w:lineRule="auto"/>
        <w:rPr>
          <w:rFonts w:ascii="方正仿宋_GBK" w:hAnsi="宋体" w:eastAsia="方正仿宋_GBK"/>
          <w:sz w:val="24"/>
          <w:szCs w:val="24"/>
        </w:rPr>
      </w:pPr>
    </w:p>
    <w:p/>
    <w:p/>
    <w:p>
      <w:pPr>
        <w:spacing w:line="360" w:lineRule="auto"/>
      </w:pPr>
      <w:r>
        <w:rPr>
          <w:rFonts w:hint="eastAsia" w:ascii="方正仿宋_GBK" w:hAnsi="宋体" w:eastAsia="方正仿宋_GBK"/>
          <w:sz w:val="24"/>
          <w:szCs w:val="24"/>
        </w:rPr>
        <w:t xml:space="preserve">                                                   供应商名称（公章）：</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headerReference r:id="rId9"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sz w:val="24"/>
          <w:szCs w:val="24"/>
        </w:rPr>
      </w:pPr>
      <w:bookmarkStart w:id="65" w:name="_Toc466546938"/>
      <w:bookmarkStart w:id="66" w:name="_Toc313888361"/>
      <w:bookmarkStart w:id="67" w:name="_Toc313008357"/>
      <w:bookmarkStart w:id="68" w:name="_Toc342913420"/>
    </w:p>
    <w:p>
      <w:pPr>
        <w:pStyle w:val="4"/>
        <w:spacing w:before="0" w:after="0" w:line="360" w:lineRule="auto"/>
        <w:rPr>
          <w:rFonts w:ascii="方正仿宋_GBK" w:hAnsi="宋体" w:eastAsia="方正仿宋_GBK"/>
          <w:sz w:val="24"/>
          <w:szCs w:val="24"/>
        </w:rPr>
      </w:pPr>
      <w:r>
        <w:rPr>
          <w:rFonts w:hint="eastAsia" w:ascii="方正仿宋_GBK" w:hAnsi="宋体" w:eastAsia="方正仿宋_GBK"/>
          <w:sz w:val="24"/>
          <w:szCs w:val="24"/>
        </w:rPr>
        <w:t>二、服务部分</w:t>
      </w:r>
      <w:bookmarkEnd w:id="65"/>
      <w:bookmarkEnd w:id="66"/>
      <w:bookmarkEnd w:id="67"/>
      <w:bookmarkEnd w:id="68"/>
    </w:p>
    <w:p>
      <w:pPr>
        <w:tabs>
          <w:tab w:val="left" w:pos="6300"/>
        </w:tabs>
        <w:snapToGrid w:val="0"/>
        <w:spacing w:line="500" w:lineRule="exact"/>
        <w:ind w:firstLine="360" w:firstLineChars="150"/>
        <w:rPr>
          <w:rFonts w:ascii="方正仿宋_GBK" w:hAnsi="宋体" w:eastAsia="方正仿宋_GBK"/>
          <w:szCs w:val="24"/>
        </w:rPr>
      </w:pPr>
      <w:r>
        <w:rPr>
          <w:rFonts w:hint="eastAsia" w:ascii="方正仿宋_GBK" w:hAnsi="宋体" w:eastAsia="方正仿宋_GBK"/>
          <w:sz w:val="24"/>
          <w:szCs w:val="24"/>
        </w:rPr>
        <w:t>服务响应偏离表</w:t>
      </w:r>
    </w:p>
    <w:p>
      <w:pPr>
        <w:pStyle w:val="10"/>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法人授权代表：</w:t>
      </w:r>
    </w:p>
    <w:p>
      <w:pPr>
        <w:spacing w:line="500" w:lineRule="exact"/>
        <w:rPr>
          <w:rFonts w:ascii="方正仿宋_GBK" w:hAnsi="宋体" w:eastAsia="方正仿宋_GBK"/>
          <w:sz w:val="24"/>
          <w:szCs w:val="28"/>
        </w:rPr>
      </w:pP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、本表即为对本项目“第二篇  采购服务需求”中所列技术要求进行比较和响应；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szCs w:val="24"/>
        </w:rPr>
      </w:pPr>
    </w:p>
    <w:p>
      <w:pPr>
        <w:pStyle w:val="4"/>
        <w:spacing w:before="0" w:after="0" w:line="360" w:lineRule="auto"/>
        <w:rPr>
          <w:rFonts w:ascii="方正仿宋_GBK" w:hAnsi="宋体" w:eastAsia="方正仿宋_GBK"/>
          <w:sz w:val="24"/>
          <w:szCs w:val="24"/>
        </w:rPr>
      </w:pPr>
      <w:r>
        <w:rPr>
          <w:rFonts w:ascii="方正仿宋_GBK" w:eastAsia="方正仿宋_GBK"/>
          <w:b w:val="0"/>
        </w:rPr>
        <w:br w:type="page"/>
      </w:r>
      <w:bookmarkStart w:id="69" w:name="_Toc313888362"/>
      <w:bookmarkStart w:id="70" w:name="_Toc342913421"/>
      <w:bookmarkStart w:id="71" w:name="_Toc466546939"/>
      <w:bookmarkStart w:id="72" w:name="_Toc313008358"/>
      <w:r>
        <w:rPr>
          <w:rFonts w:hint="eastAsia" w:ascii="方正仿宋_GBK" w:hAnsi="宋体" w:eastAsia="方正仿宋_GBK"/>
          <w:sz w:val="24"/>
          <w:szCs w:val="24"/>
        </w:rPr>
        <w:t>三、商务部分</w:t>
      </w:r>
      <w:bookmarkEnd w:id="69"/>
      <w:bookmarkEnd w:id="70"/>
      <w:bookmarkEnd w:id="71"/>
      <w:bookmarkEnd w:id="72"/>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bookmarkStart w:id="73" w:name="_Toc283382459"/>
      <w:r>
        <w:rPr>
          <w:rFonts w:hint="eastAsia" w:ascii="方正仿宋_GBK" w:hAnsi="宋体" w:eastAsia="方正仿宋_GBK"/>
          <w:sz w:val="24"/>
          <w:szCs w:val="24"/>
        </w:rPr>
        <w:t>商务响应偏离表</w:t>
      </w:r>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商务响应偏离表（本表可自行设计格式）</w:t>
      </w:r>
    </w:p>
    <w:p>
      <w:pPr>
        <w:snapToGrid w:val="0"/>
        <w:spacing w:line="360" w:lineRule="auto"/>
        <w:ind w:firstLine="465"/>
        <w:rPr>
          <w:rFonts w:ascii="方正仿宋_GBK" w:hAnsi="宋体" w:eastAsia="方正仿宋_GBK"/>
          <w:sz w:val="24"/>
          <w:szCs w:val="24"/>
        </w:rPr>
      </w:pPr>
      <w:r>
        <w:rPr>
          <w:rFonts w:hint="eastAsia" w:ascii="方正仿宋_GBK" w:hAnsi="宋体" w:eastAsia="方正仿宋_GBK"/>
          <w:sz w:val="24"/>
          <w:szCs w:val="24"/>
        </w:rPr>
        <w:t>对于竞争性磋商文件的商务要求，如有任何偏离请如实填写下表：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磋商项目需求</w:t>
            </w: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法人授权代表：</w:t>
      </w:r>
    </w:p>
    <w:p>
      <w:pPr>
        <w:spacing w:line="500" w:lineRule="exact"/>
        <w:rPr>
          <w:rFonts w:ascii="方正仿宋_GBK" w:hAnsi="宋体" w:eastAsia="方正仿宋_GBK"/>
          <w:sz w:val="24"/>
          <w:szCs w:val="28"/>
        </w:rPr>
      </w:pP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采购商务需求”中所列服务要求进行比较和响应；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spacing w:line="360" w:lineRule="auto"/>
        <w:ind w:firstLine="560" w:firstLineChars="200"/>
        <w:rPr>
          <w:rFonts w:ascii="方正仿宋_GBK" w:hAnsi="宋体" w:eastAsia="方正仿宋_GBK"/>
          <w:sz w:val="24"/>
          <w:szCs w:val="24"/>
        </w:rPr>
      </w:pPr>
      <w:r>
        <w:br w:type="page"/>
      </w:r>
      <w:r>
        <w:rPr>
          <w:rFonts w:hint="eastAsia" w:ascii="方正仿宋_GBK" w:hAnsi="宋体" w:eastAsia="方正仿宋_GBK"/>
          <w:sz w:val="24"/>
          <w:szCs w:val="24"/>
        </w:rPr>
        <w:t>（二）其它优惠承诺（格式自定）</w:t>
      </w:r>
    </w:p>
    <w:p>
      <w:pPr>
        <w:pStyle w:val="4"/>
        <w:spacing w:before="0" w:after="0" w:line="360" w:lineRule="auto"/>
        <w:rPr>
          <w:rFonts w:ascii="方正仿宋_GBK" w:hAnsi="宋体" w:eastAsia="方正仿宋_GBK"/>
          <w:sz w:val="24"/>
          <w:szCs w:val="24"/>
        </w:rPr>
      </w:pPr>
      <w:r>
        <w:rPr>
          <w:rFonts w:ascii="方正仿宋_GBK" w:hAnsi="宋体" w:eastAsia="方正仿宋_GBK"/>
          <w:sz w:val="24"/>
          <w:szCs w:val="24"/>
        </w:rPr>
        <w:br w:type="page"/>
      </w:r>
      <w:bookmarkEnd w:id="73"/>
      <w:bookmarkStart w:id="74" w:name="_Toc466546940"/>
      <w:bookmarkStart w:id="75" w:name="_Toc313008359"/>
      <w:bookmarkStart w:id="76" w:name="_Toc342913422"/>
      <w:bookmarkStart w:id="77" w:name="_Toc313888363"/>
    </w:p>
    <w:p>
      <w:pPr>
        <w:pStyle w:val="4"/>
        <w:spacing w:before="0" w:after="0" w:line="360" w:lineRule="auto"/>
        <w:rPr>
          <w:rFonts w:ascii="方正仿宋_GBK" w:hAnsi="宋体" w:eastAsia="方正仿宋_GBK"/>
          <w:sz w:val="24"/>
          <w:szCs w:val="24"/>
        </w:rPr>
      </w:pPr>
    </w:p>
    <w:p>
      <w:pPr>
        <w:pStyle w:val="4"/>
        <w:spacing w:before="0" w:after="0" w:line="360" w:lineRule="auto"/>
        <w:rPr>
          <w:sz w:val="28"/>
          <w:szCs w:val="28"/>
        </w:rPr>
      </w:pPr>
      <w:r>
        <w:rPr>
          <w:rFonts w:hint="eastAsia" w:ascii="方正仿宋_GBK" w:hAnsi="宋体" w:eastAsia="方正仿宋_GBK"/>
          <w:sz w:val="28"/>
          <w:szCs w:val="28"/>
        </w:rPr>
        <w:t>四、资格条件及其他</w:t>
      </w:r>
      <w:bookmarkEnd w:id="74"/>
      <w:bookmarkEnd w:id="75"/>
      <w:bookmarkEnd w:id="76"/>
      <w:bookmarkEnd w:id="77"/>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（一）营业执照（副本）或事业单位法人证书（副本）复印件或个体工商户营业执照</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tabs>
          <w:tab w:val="left" w:pos="6300"/>
        </w:tabs>
        <w:snapToGrid w:val="0"/>
        <w:spacing w:line="500" w:lineRule="exact"/>
        <w:rPr>
          <w:rFonts w:ascii="方正仿宋_GBK" w:hAnsi="宋体" w:eastAsia="方正仿宋_GBK"/>
        </w:rPr>
      </w:pPr>
    </w:p>
    <w:p>
      <w:pPr>
        <w:widowControl/>
        <w:ind w:firstLine="560" w:firstLineChars="200"/>
        <w:jc w:val="left"/>
        <w:rPr>
          <w:rFonts w:ascii="方正仿宋_GBK" w:hAnsi="宋体" w:eastAsia="方正仿宋_GBK"/>
        </w:rPr>
      </w:pPr>
      <w:r>
        <w:rPr>
          <w:rFonts w:ascii="方正仿宋_GBK" w:hAnsi="宋体" w:eastAsia="方正仿宋_GBK"/>
        </w:rPr>
        <w:br w:type="page"/>
      </w:r>
    </w:p>
    <w:p>
      <w:pPr>
        <w:widowControl/>
        <w:ind w:firstLine="560" w:firstLineChars="200"/>
        <w:jc w:val="left"/>
        <w:rPr>
          <w:rFonts w:ascii="方正仿宋_GBK" w:hAnsi="宋体" w:eastAsia="方正仿宋_GBK"/>
        </w:rPr>
      </w:pPr>
    </w:p>
    <w:p>
      <w:pPr>
        <w:widowControl/>
        <w:ind w:firstLine="560" w:firstLineChars="200"/>
        <w:jc w:val="left"/>
        <w:rPr>
          <w:rFonts w:ascii="方正仿宋_GBK" w:hAnsi="宋体" w:eastAsia="方正仿宋_GBK"/>
        </w:rPr>
      </w:pPr>
    </w:p>
    <w:p>
      <w:pPr>
        <w:widowControl/>
        <w:ind w:firstLine="560" w:firstLineChars="200"/>
        <w:jc w:val="center"/>
        <w:rPr>
          <w:rFonts w:ascii="方正仿宋_GBK" w:hAnsi="宋体" w:eastAsia="方正仿宋_GBK"/>
          <w:color w:val="FF0000"/>
        </w:rPr>
      </w:pPr>
      <w:r>
        <w:rPr>
          <w:rFonts w:hint="eastAsia" w:ascii="方正仿宋_GBK" w:hAnsi="宋体" w:eastAsia="方正仿宋_GBK"/>
        </w:rPr>
        <w:t>（三）法定代表人身份证明书（格式）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jc w:val="center"/>
      </w:pPr>
      <w:r>
        <w:br w:type="column"/>
      </w:r>
    </w:p>
    <w:p>
      <w:pPr>
        <w:tabs>
          <w:tab w:val="left" w:pos="6300"/>
        </w:tabs>
        <w:snapToGrid w:val="0"/>
        <w:spacing w:line="500" w:lineRule="exact"/>
        <w:ind w:firstLine="570"/>
        <w:jc w:val="center"/>
        <w:rPr>
          <w:rFonts w:ascii="方正仿宋_GBK" w:hAnsi="宋体" w:eastAsia="方正仿宋_GBK"/>
        </w:rPr>
      </w:pPr>
      <w:r>
        <w:rPr>
          <w:rFonts w:hint="eastAsia" w:ascii="方正仿宋_GBK" w:hAnsi="宋体" w:eastAsia="方正仿宋_GBK"/>
        </w:rPr>
        <w:t>（四）法定代表人授权委托书（格式）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right"/>
        <w:rPr>
          <w:rFonts w:ascii="方正仿宋_GBK" w:hAnsi="宋体" w:eastAsia="方正仿宋_GBK"/>
          <w:sz w:val="24"/>
        </w:rPr>
      </w:pPr>
    </w:p>
    <w:p>
      <w:pPr>
        <w:tabs>
          <w:tab w:val="left" w:pos="6300"/>
        </w:tabs>
        <w:snapToGrid w:val="0"/>
        <w:spacing w:line="500" w:lineRule="exact"/>
        <w:ind w:right="480"/>
        <w:jc w:val="left"/>
        <w:rPr>
          <w:rFonts w:ascii="方正仿宋_GBK" w:hAnsi="宋体" w:eastAsia="方正仿宋_GBK"/>
          <w:sz w:val="24"/>
        </w:rPr>
      </w:pPr>
      <w:r>
        <w:rPr>
          <w:rFonts w:hint="eastAsia" w:ascii="方正仿宋_GBK" w:hAnsi="宋体" w:eastAsia="方正仿宋_GBK"/>
          <w:sz w:val="24"/>
        </w:rPr>
        <w:t>注：若为联合体参与磋商的，法定代表人授权委托书由联合体主办方</w:t>
      </w:r>
      <w:r>
        <w:rPr>
          <w:rFonts w:hint="eastAsia" w:ascii="方正仿宋_GBK" w:hAnsi="宋体" w:eastAsia="方正仿宋_GBK" w:cs="宋体"/>
          <w:kern w:val="0"/>
          <w:sz w:val="24"/>
          <w:szCs w:val="24"/>
        </w:rPr>
        <w:t>（主体）</w:t>
      </w:r>
      <w:r>
        <w:rPr>
          <w:rFonts w:hint="eastAsia" w:ascii="方正仿宋_GBK" w:hAnsi="宋体" w:eastAsia="方正仿宋_GBK"/>
          <w:sz w:val="24"/>
        </w:rPr>
        <w:t>出具。</w:t>
      </w:r>
    </w:p>
    <w:p>
      <w:pPr>
        <w:tabs>
          <w:tab w:val="left" w:pos="6300"/>
        </w:tabs>
        <w:snapToGrid w:val="0"/>
        <w:spacing w:line="500" w:lineRule="exact"/>
        <w:ind w:firstLine="570"/>
        <w:rPr>
          <w:rFonts w:ascii="方正仿宋_GBK" w:hAnsi="宋体" w:eastAsia="方正仿宋_GBK"/>
        </w:rPr>
      </w:pPr>
      <w:r>
        <w:rPr>
          <w:rFonts w:ascii="宋体" w:hAnsi="宋体"/>
        </w:rPr>
        <w:br w:type="column"/>
      </w:r>
      <w:r>
        <w:rPr>
          <w:rFonts w:hint="eastAsia" w:ascii="方正仿宋_GBK" w:hAnsi="宋体" w:eastAsia="方正仿宋_GBK"/>
        </w:rPr>
        <w:t>（五）上一年度财务状况报告（表）复印件，本年度新成立的公司提供递交响应文件截止时间前一个月的财务状况报告（表）复印件（新成立公司不足一个月的除外）</w:t>
      </w:r>
    </w:p>
    <w:p>
      <w:pPr>
        <w:widowControl/>
        <w:jc w:val="left"/>
        <w:rPr>
          <w:rFonts w:ascii="方正仿宋_GBK" w:hAnsi="宋体" w:eastAsia="方正仿宋_GBK"/>
        </w:rPr>
      </w:pPr>
      <w:r>
        <w:rPr>
          <w:rFonts w:ascii="方正仿宋_GBK" w:hAnsi="宋体" w:eastAsia="方正仿宋_GBK"/>
        </w:rPr>
        <w:br w:type="page"/>
      </w:r>
    </w:p>
    <w:p>
      <w:pPr>
        <w:tabs>
          <w:tab w:val="left" w:pos="6300"/>
        </w:tabs>
        <w:snapToGrid w:val="0"/>
        <w:spacing w:line="500" w:lineRule="exact"/>
        <w:ind w:firstLine="3220" w:firstLineChars="1150"/>
        <w:rPr>
          <w:rFonts w:ascii="方正仿宋_GBK" w:hAnsi="宋体" w:eastAsia="方正仿宋_GBK"/>
        </w:rPr>
      </w:pPr>
    </w:p>
    <w:p>
      <w:pPr>
        <w:tabs>
          <w:tab w:val="left" w:pos="6300"/>
        </w:tabs>
        <w:snapToGrid w:val="0"/>
        <w:spacing w:line="500" w:lineRule="exact"/>
        <w:ind w:firstLine="3220" w:firstLineChars="1150"/>
        <w:rPr>
          <w:rFonts w:ascii="方正仿宋_GBK" w:hAnsi="宋体" w:eastAsia="方正仿宋_GBK"/>
          <w:sz w:val="24"/>
        </w:rPr>
      </w:pPr>
      <w:r>
        <w:rPr>
          <w:rFonts w:hint="eastAsia" w:ascii="方正仿宋_GBK" w:hAnsi="宋体" w:eastAsia="方正仿宋_GBK"/>
        </w:rPr>
        <w:t>（六）书面声明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60" w:firstLineChars="200"/>
        <w:rPr>
          <w:rFonts w:ascii="方正仿宋_GBK" w:hAnsi="宋体" w:eastAsia="方正仿宋_GBK"/>
        </w:rPr>
      </w:pPr>
      <w:r>
        <w:rPr>
          <w:rFonts w:ascii="宋体" w:hAnsi="宋体"/>
        </w:rPr>
        <w:br w:type="page"/>
      </w:r>
      <w:r>
        <w:rPr>
          <w:rFonts w:hint="eastAsia" w:ascii="方正仿宋_GBK" w:hAnsi="宋体" w:eastAsia="方正仿宋_GBK"/>
        </w:rPr>
        <w:t>（七）税务登记证（副本）复印件和社会保险缴纳证明材料</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rPr>
        <w:t>（八）</w:t>
      </w:r>
      <w:r>
        <w:rPr>
          <w:rFonts w:hint="eastAsia" w:ascii="方正仿宋_GBK" w:hAnsi="宋体" w:eastAsia="方正仿宋_GBK"/>
          <w:szCs w:val="28"/>
        </w:rPr>
        <w:t>信用中国网站及中国政府采购网查询结果（查询时间为本项目采购公告发布之日起至递交响应文件截止时间前）</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 信用中国网站（</w:t>
      </w:r>
      <w:r>
        <w:fldChar w:fldCharType="begin"/>
      </w:r>
      <w:r>
        <w:instrText xml:space="preserve"> HYPERLINK "http://www.creditchina.gov.cn" </w:instrText>
      </w:r>
      <w:r>
        <w:fldChar w:fldCharType="separate"/>
      </w:r>
      <w:r>
        <w:rPr>
          <w:rStyle w:val="19"/>
          <w:rFonts w:hint="eastAsia" w:ascii="方正仿宋_GBK" w:hAnsi="宋体" w:eastAsia="方正仿宋_GBK"/>
          <w:szCs w:val="28"/>
        </w:rPr>
        <w:t>www.creditchina.gov.cn</w:t>
      </w:r>
      <w:r>
        <w:rPr>
          <w:rStyle w:val="19"/>
          <w:rFonts w:hint="eastAsia" w:ascii="方正仿宋_GBK" w:hAnsi="宋体" w:eastAsia="方正仿宋_GBK"/>
          <w:szCs w:val="28"/>
        </w:rPr>
        <w:fldChar w:fldCharType="end"/>
      </w:r>
      <w:r>
        <w:rPr>
          <w:rFonts w:hint="eastAsia" w:ascii="方正仿宋_GBK" w:hAnsi="宋体" w:eastAsia="方正仿宋_GBK"/>
          <w:szCs w:val="28"/>
        </w:rPr>
        <w:t>）查询结果（提供查询结果网页打印件并加盖供应商公章）</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1.1“信用信息”查询结果；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1.2“失信被执行人”查询结果；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1.3“重大税收违法案件当事人名单”查询结果；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1.4“政府行政许可与行政处罚”查询结果。</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2. 中国政府采购网（</w:t>
      </w:r>
      <w:r>
        <w:fldChar w:fldCharType="begin"/>
      </w:r>
      <w:r>
        <w:instrText xml:space="preserve"> HYPERLINK "http://www.ccgp.gov.cn" </w:instrText>
      </w:r>
      <w:r>
        <w:fldChar w:fldCharType="separate"/>
      </w:r>
      <w:r>
        <w:rPr>
          <w:rStyle w:val="19"/>
          <w:rFonts w:hint="eastAsia" w:ascii="方正仿宋_GBK" w:hAnsi="宋体" w:eastAsia="方正仿宋_GBK"/>
          <w:szCs w:val="28"/>
        </w:rPr>
        <w:t>www.ccgp.gov.cn</w:t>
      </w:r>
      <w:r>
        <w:rPr>
          <w:rStyle w:val="19"/>
          <w:rFonts w:hint="eastAsia" w:ascii="方正仿宋_GBK" w:hAnsi="宋体" w:eastAsia="方正仿宋_GBK"/>
          <w:szCs w:val="28"/>
        </w:rPr>
        <w:fldChar w:fldCharType="end"/>
      </w:r>
      <w:r>
        <w:rPr>
          <w:rFonts w:hint="eastAsia" w:ascii="方正仿宋_GBK" w:hAnsi="宋体" w:eastAsia="方正仿宋_GBK"/>
          <w:szCs w:val="28"/>
        </w:rPr>
        <w:t>）（提供查询结果网页打印件并加盖供应商公章）</w:t>
      </w:r>
    </w:p>
    <w:p>
      <w:pPr>
        <w:tabs>
          <w:tab w:val="left" w:pos="6300"/>
        </w:tabs>
        <w:snapToGrid w:val="0"/>
        <w:spacing w:line="360" w:lineRule="auto"/>
        <w:ind w:firstLine="560" w:firstLineChars="200"/>
        <w:rPr>
          <w:rFonts w:ascii="方正仿宋_GBK" w:hAnsi="宋体" w:eastAsia="方正仿宋_GBK"/>
        </w:rPr>
      </w:pPr>
      <w:r>
        <w:rPr>
          <w:rFonts w:hint="eastAsia" w:ascii="方正仿宋_GBK" w:hAnsi="宋体" w:eastAsia="方正仿宋_GBK"/>
          <w:szCs w:val="28"/>
        </w:rPr>
        <w:t>“政府采购严重违法失信行为记录名单”查询结果。</w:t>
      </w:r>
    </w:p>
    <w:p>
      <w:pPr>
        <w:tabs>
          <w:tab w:val="left" w:pos="6300"/>
        </w:tabs>
        <w:snapToGrid w:val="0"/>
        <w:spacing w:line="360" w:lineRule="auto"/>
        <w:ind w:firstLine="560" w:firstLineChars="200"/>
        <w:rPr>
          <w:rFonts w:ascii="方正仿宋_GBK" w:hAnsi="宋体" w:eastAsia="方正仿宋_GBK"/>
        </w:rPr>
      </w:pPr>
      <w:r>
        <w:rPr>
          <w:rFonts w:hint="eastAsia" w:ascii="方正仿宋_GBK" w:hAnsi="宋体" w:eastAsia="方正仿宋_GBK"/>
        </w:rPr>
        <w:t>（九）特定资格条件证书或证明文件</w:t>
      </w:r>
    </w:p>
    <w:p>
      <w:pPr>
        <w:tabs>
          <w:tab w:val="left" w:pos="6300"/>
        </w:tabs>
        <w:snapToGrid w:val="0"/>
        <w:spacing w:line="360" w:lineRule="auto"/>
        <w:ind w:firstLine="562" w:firstLineChars="200"/>
        <w:rPr>
          <w:rFonts w:ascii="方正仿宋_GBK" w:hAnsi="宋体" w:eastAsia="方正仿宋_GBK"/>
          <w:b/>
        </w:rPr>
      </w:pPr>
      <w:r>
        <w:rPr>
          <w:rFonts w:hint="eastAsia" w:ascii="方正仿宋_GBK" w:hAnsi="宋体" w:eastAsia="方正仿宋_GBK"/>
          <w:b/>
        </w:rPr>
        <w:t>说明：供应商按“三证合一”登记制度办理营业执照的，组织机构代码证和税务登记证以供应商所提供的营业执照（副本）复印件为准。</w:t>
      </w:r>
    </w:p>
    <w:p>
      <w:pPr>
        <w:pStyle w:val="4"/>
        <w:spacing w:before="0" w:after="0" w:line="360" w:lineRule="auto"/>
        <w:ind w:firstLine="562" w:firstLineChars="200"/>
        <w:rPr>
          <w:rFonts w:ascii="方正仿宋_GBK" w:hAnsi="宋体" w:eastAsia="方正仿宋_GBK"/>
          <w:sz w:val="28"/>
          <w:szCs w:val="28"/>
        </w:rPr>
      </w:pPr>
      <w:bookmarkStart w:id="78" w:name="_Toc14422"/>
      <w:bookmarkStart w:id="79" w:name="_Toc466546941"/>
      <w:r>
        <w:rPr>
          <w:rFonts w:hint="eastAsia" w:ascii="方正仿宋_GBK" w:hAnsi="宋体" w:eastAsia="方正仿宋_GBK"/>
          <w:sz w:val="28"/>
          <w:szCs w:val="28"/>
        </w:rPr>
        <w:t>五、</w:t>
      </w:r>
      <w:r>
        <w:rPr>
          <w:rFonts w:hint="eastAsia" w:ascii="方正仿宋_GBK" w:eastAsia="方正仿宋_GBK"/>
          <w:sz w:val="28"/>
          <w:szCs w:val="28"/>
        </w:rPr>
        <w:t>其他应提供的资料</w:t>
      </w:r>
      <w:bookmarkEnd w:id="78"/>
      <w:bookmarkEnd w:id="79"/>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（一）联合体共同联合协议（如果有）</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（二）其他资料</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1、投标保证金缴纳情况证明文件（如有）</w:t>
      </w: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2、其他与项目有关的资料（自附）：供应商总体情况介绍、其他与本项目有关的资料等。</w:t>
      </w:r>
    </w:p>
    <w:p>
      <w:pPr>
        <w:spacing w:line="360" w:lineRule="auto"/>
        <w:ind w:firstLine="482" w:firstLineChars="200"/>
        <w:jc w:val="center"/>
        <w:rPr>
          <w:rFonts w:ascii="方正仿宋_GBK" w:hAnsi="宋体" w:eastAsia="方正仿宋_GBK"/>
          <w:b/>
        </w:rPr>
      </w:pPr>
      <w:r>
        <w:rPr>
          <w:rFonts w:hint="eastAsia" w:ascii="方正仿宋_GBK" w:hAnsi="宋体" w:eastAsia="方正仿宋_GBK"/>
          <w:b/>
          <w:sz w:val="24"/>
          <w:szCs w:val="24"/>
        </w:rPr>
        <w:t>（结束）</w:t>
      </w:r>
    </w:p>
    <w:bookmarkEnd w:id="3"/>
    <w:bookmarkEnd w:id="4"/>
    <w:bookmarkEnd w:id="5"/>
    <w:bookmarkEnd w:id="6"/>
    <w:bookmarkEnd w:id="7"/>
    <w:bookmarkEnd w:id="8"/>
    <w:bookmarkEnd w:id="9"/>
    <w:bookmarkEnd w:id="10"/>
    <w:bookmarkEnd w:id="11"/>
    <w:p>
      <w:pPr>
        <w:widowControl/>
        <w:jc w:val="left"/>
        <w:rPr>
          <w:rFonts w:ascii="宋体" w:hAnsi="宋体" w:cs="宋体"/>
          <w:b/>
          <w:sz w:val="24"/>
          <w:szCs w:val="24"/>
        </w:rPr>
      </w:pPr>
    </w:p>
    <w:sectPr>
      <w:footerReference r:id="rId10" w:type="default"/>
      <w:pgSz w:w="11907" w:h="16840"/>
      <w:pgMar w:top="1134" w:right="1191" w:bottom="1134" w:left="1304" w:header="851" w:footer="992" w:gutter="0"/>
      <w:pgNumType w:fmt="numberInDash" w:start="2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fldChar w:fldCharType="begin"/>
    </w:r>
    <w:r>
      <w:rPr>
        <w:lang w:val="zh-CN"/>
      </w:rPr>
      <w:instrText xml:space="preserve"> PAGE   \* MERGEFORMAT </w:instrText>
    </w:r>
    <w:r>
      <w:rPr>
        <w:lang w:val="zh-CN"/>
      </w:rPr>
      <w:fldChar w:fldCharType="separate"/>
    </w:r>
    <w:r>
      <w:rPr>
        <w:lang w:val="zh-CN"/>
      </w:rPr>
      <w:t>-</w:t>
    </w:r>
    <w:r>
      <w:t xml:space="preserve"> 3 -</w:t>
    </w:r>
    <w:r>
      <w:fldChar w:fldCharType="end"/>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r>
      <w:rPr>
        <w:rStyle w:val="18"/>
      </w:rPr>
      <w:t>- 16 -</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p>
  <w:p>
    <w:pPr>
      <w:pStyle w:val="1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fldChar w:fldCharType="begin"/>
    </w:r>
    <w:r>
      <w:rPr>
        <w:lang w:val="zh-CN"/>
      </w:rPr>
      <w:instrText xml:space="preserve">PAGE   \* MERGEFORMAT</w:instrText>
    </w:r>
    <w:r>
      <w:rPr>
        <w:lang w:val="zh-CN"/>
      </w:rPr>
      <w:fldChar w:fldCharType="separate"/>
    </w:r>
    <w:r>
      <w:rPr>
        <w:lang w:val="zh-CN"/>
      </w:rPr>
      <w:t>-</w:t>
    </w:r>
    <w:r>
      <w:t xml:space="preserve"> 5 -</w:t>
    </w:r>
    <w:r>
      <w:fldChar w:fldCharType="end"/>
    </w:r>
  </w:p>
  <w:p>
    <w:pPr>
      <w:pStyle w:val="13"/>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740501"/>
    </w:sdtPr>
    <w:sdtContent>
      <w:p>
        <w:pPr>
          <w:pStyle w:val="13"/>
          <w:jc w:val="center"/>
        </w:pPr>
        <w:r>
          <w:rPr>
            <w:lang w:val="zh-CN"/>
          </w:rPr>
          <w:fldChar w:fldCharType="begin"/>
        </w:r>
        <w:r>
          <w:rPr>
            <w:lang w:val="zh-CN"/>
          </w:rPr>
          <w:instrText xml:space="preserve">PAGE   \* MERGEFORMAT</w:instrText>
        </w:r>
        <w:r>
          <w:rPr>
            <w:lang w:val="zh-CN"/>
          </w:rPr>
          <w:fldChar w:fldCharType="separate"/>
        </w:r>
        <w:r>
          <w:rPr>
            <w:lang w:val="zh-CN"/>
          </w:rPr>
          <w:t>-</w:t>
        </w:r>
        <w:r>
          <w:t xml:space="preserve"> 29 -</w:t>
        </w:r>
        <w:r>
          <w:fldChar w:fldCharType="end"/>
        </w:r>
      </w:p>
      <w:p>
        <w:pPr>
          <w:pStyle w:val="13"/>
          <w:jc w:val="center"/>
        </w:pPr>
      </w:p>
    </w:sdtContent>
  </w:sdt>
  <w:p>
    <w:pPr>
      <w:pStyle w:val="13"/>
      <w:jc w:val="center"/>
      <w:rPr>
        <w:rFonts w:ascii="宋体" w:hAnsi="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8485"/>
        <w:tab w:val="clear" w:pos="4153"/>
      </w:tabs>
      <w:jc w:val="both"/>
      <w:rPr>
        <w:rFonts w:ascii="方正仿宋_GBK" w:eastAsia="方正仿宋_GBK"/>
        <w:sz w:val="21"/>
        <w:szCs w:val="21"/>
      </w:rPr>
    </w:pPr>
    <w:r>
      <w:rPr>
        <w:rFonts w:hint="eastAsia" w:ascii="方正仿宋_GBK" w:eastAsia="方正仿宋_GBK"/>
        <w:sz w:val="21"/>
        <w:szCs w:val="21"/>
      </w:rPr>
      <w:t>重庆经开区开发建设有限公司</w:t>
    </w:r>
    <w:r>
      <w:rPr>
        <w:rFonts w:hint="eastAsia" w:ascii="方正仿宋_GBK" w:eastAsia="方正仿宋_GBK"/>
        <w:sz w:val="21"/>
        <w:szCs w:val="21"/>
      </w:rPr>
      <w:tab/>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方正仿宋_GBK" w:eastAsia="方正仿宋_GBK"/>
        <w:sz w:val="21"/>
        <w:szCs w:val="21"/>
      </w:rPr>
    </w:pPr>
    <w:r>
      <w:rPr>
        <w:rFonts w:hint="eastAsia" w:ascii="方正仿宋_GBK" w:eastAsia="方正仿宋_GBK"/>
        <w:sz w:val="21"/>
        <w:szCs w:val="21"/>
      </w:rPr>
      <w:t>重庆广阳岛生态城投资发展有限公司</w:t>
    </w:r>
  </w:p>
  <w:p>
    <w:pPr>
      <w:pStyle w:val="14"/>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E0309"/>
    <w:multiLevelType w:val="singleLevel"/>
    <w:tmpl w:val="B95E030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F79"/>
    <w:rsid w:val="000042CD"/>
    <w:rsid w:val="00013F79"/>
    <w:rsid w:val="0001456D"/>
    <w:rsid w:val="00015938"/>
    <w:rsid w:val="00020818"/>
    <w:rsid w:val="000658C7"/>
    <w:rsid w:val="000848FA"/>
    <w:rsid w:val="0008772F"/>
    <w:rsid w:val="000B47CE"/>
    <w:rsid w:val="000B5113"/>
    <w:rsid w:val="000E0DB5"/>
    <w:rsid w:val="000F5299"/>
    <w:rsid w:val="00103E8F"/>
    <w:rsid w:val="001148DB"/>
    <w:rsid w:val="00133F39"/>
    <w:rsid w:val="00176173"/>
    <w:rsid w:val="00182250"/>
    <w:rsid w:val="00191EFF"/>
    <w:rsid w:val="001A02AC"/>
    <w:rsid w:val="001B2230"/>
    <w:rsid w:val="00203C80"/>
    <w:rsid w:val="002209B7"/>
    <w:rsid w:val="002537BD"/>
    <w:rsid w:val="00256998"/>
    <w:rsid w:val="002A39EB"/>
    <w:rsid w:val="002B1C8D"/>
    <w:rsid w:val="002F3839"/>
    <w:rsid w:val="002F6082"/>
    <w:rsid w:val="003103A9"/>
    <w:rsid w:val="003A73A6"/>
    <w:rsid w:val="003B2184"/>
    <w:rsid w:val="003C20C5"/>
    <w:rsid w:val="003D12C8"/>
    <w:rsid w:val="003F7E34"/>
    <w:rsid w:val="00405FAA"/>
    <w:rsid w:val="0041460F"/>
    <w:rsid w:val="0042286D"/>
    <w:rsid w:val="004277BE"/>
    <w:rsid w:val="00496EC9"/>
    <w:rsid w:val="004D4F76"/>
    <w:rsid w:val="004D6321"/>
    <w:rsid w:val="004F12D9"/>
    <w:rsid w:val="0051209D"/>
    <w:rsid w:val="005165E1"/>
    <w:rsid w:val="0052445B"/>
    <w:rsid w:val="00555C42"/>
    <w:rsid w:val="00571DEC"/>
    <w:rsid w:val="0057314F"/>
    <w:rsid w:val="005753ED"/>
    <w:rsid w:val="00583E53"/>
    <w:rsid w:val="005C13ED"/>
    <w:rsid w:val="005E5AEA"/>
    <w:rsid w:val="005E5E66"/>
    <w:rsid w:val="005F13B9"/>
    <w:rsid w:val="00602EC7"/>
    <w:rsid w:val="00603562"/>
    <w:rsid w:val="00606AAF"/>
    <w:rsid w:val="00626F94"/>
    <w:rsid w:val="006412B7"/>
    <w:rsid w:val="0065680E"/>
    <w:rsid w:val="00661B1B"/>
    <w:rsid w:val="00677565"/>
    <w:rsid w:val="006949D5"/>
    <w:rsid w:val="006A5445"/>
    <w:rsid w:val="006B36D9"/>
    <w:rsid w:val="006B62DE"/>
    <w:rsid w:val="006C7706"/>
    <w:rsid w:val="006D606D"/>
    <w:rsid w:val="00700A33"/>
    <w:rsid w:val="007A4B32"/>
    <w:rsid w:val="007B033A"/>
    <w:rsid w:val="007D2861"/>
    <w:rsid w:val="00810045"/>
    <w:rsid w:val="0081096B"/>
    <w:rsid w:val="00816AF3"/>
    <w:rsid w:val="008638B1"/>
    <w:rsid w:val="00863BE3"/>
    <w:rsid w:val="008669B8"/>
    <w:rsid w:val="0087563C"/>
    <w:rsid w:val="00880098"/>
    <w:rsid w:val="00893583"/>
    <w:rsid w:val="00897333"/>
    <w:rsid w:val="008D06DB"/>
    <w:rsid w:val="008E3237"/>
    <w:rsid w:val="00911581"/>
    <w:rsid w:val="00984A7B"/>
    <w:rsid w:val="00987863"/>
    <w:rsid w:val="009A5342"/>
    <w:rsid w:val="009B31FE"/>
    <w:rsid w:val="009D76C2"/>
    <w:rsid w:val="009E5E45"/>
    <w:rsid w:val="009F228C"/>
    <w:rsid w:val="00A0201E"/>
    <w:rsid w:val="00A40365"/>
    <w:rsid w:val="00AC206A"/>
    <w:rsid w:val="00AD4175"/>
    <w:rsid w:val="00AF3656"/>
    <w:rsid w:val="00B04B4A"/>
    <w:rsid w:val="00B37357"/>
    <w:rsid w:val="00B45E41"/>
    <w:rsid w:val="00B51A5A"/>
    <w:rsid w:val="00B6659F"/>
    <w:rsid w:val="00B90EA9"/>
    <w:rsid w:val="00BC670B"/>
    <w:rsid w:val="00BF638A"/>
    <w:rsid w:val="00BF7AE4"/>
    <w:rsid w:val="00C30C38"/>
    <w:rsid w:val="00C31851"/>
    <w:rsid w:val="00C965DF"/>
    <w:rsid w:val="00CD3697"/>
    <w:rsid w:val="00CE4D4B"/>
    <w:rsid w:val="00D0375C"/>
    <w:rsid w:val="00D07F35"/>
    <w:rsid w:val="00D205DF"/>
    <w:rsid w:val="00D95B4E"/>
    <w:rsid w:val="00DA0FF2"/>
    <w:rsid w:val="00DB2008"/>
    <w:rsid w:val="00DD3A3A"/>
    <w:rsid w:val="00E00E83"/>
    <w:rsid w:val="00E063AA"/>
    <w:rsid w:val="00E07D7D"/>
    <w:rsid w:val="00E21F2A"/>
    <w:rsid w:val="00E22B66"/>
    <w:rsid w:val="00E27142"/>
    <w:rsid w:val="00E70BF1"/>
    <w:rsid w:val="00F02C43"/>
    <w:rsid w:val="00F31D4F"/>
    <w:rsid w:val="00F3450B"/>
    <w:rsid w:val="00F525A8"/>
    <w:rsid w:val="00F85445"/>
    <w:rsid w:val="00F86F41"/>
    <w:rsid w:val="00F94934"/>
    <w:rsid w:val="00FA4DFD"/>
    <w:rsid w:val="00FB1A72"/>
    <w:rsid w:val="03AF66F2"/>
    <w:rsid w:val="05B3588D"/>
    <w:rsid w:val="063C1618"/>
    <w:rsid w:val="06E048C2"/>
    <w:rsid w:val="06F83E4E"/>
    <w:rsid w:val="07A6580E"/>
    <w:rsid w:val="089B379C"/>
    <w:rsid w:val="08E44776"/>
    <w:rsid w:val="0ACC2E23"/>
    <w:rsid w:val="0C1B1282"/>
    <w:rsid w:val="0CB919B7"/>
    <w:rsid w:val="0CD43E6E"/>
    <w:rsid w:val="0E77509A"/>
    <w:rsid w:val="12CF765B"/>
    <w:rsid w:val="15087522"/>
    <w:rsid w:val="15C451CB"/>
    <w:rsid w:val="17384BC6"/>
    <w:rsid w:val="17BC2A53"/>
    <w:rsid w:val="187044E1"/>
    <w:rsid w:val="18BD13FD"/>
    <w:rsid w:val="1ADB77E6"/>
    <w:rsid w:val="1B68143A"/>
    <w:rsid w:val="1BAE3AB9"/>
    <w:rsid w:val="1C834C25"/>
    <w:rsid w:val="1CC42BC9"/>
    <w:rsid w:val="1E6664E3"/>
    <w:rsid w:val="1FE7317B"/>
    <w:rsid w:val="21321193"/>
    <w:rsid w:val="219C21EE"/>
    <w:rsid w:val="23292257"/>
    <w:rsid w:val="242B03CE"/>
    <w:rsid w:val="244F77E3"/>
    <w:rsid w:val="24587891"/>
    <w:rsid w:val="24BC28D0"/>
    <w:rsid w:val="262E6A95"/>
    <w:rsid w:val="27952F03"/>
    <w:rsid w:val="27F73989"/>
    <w:rsid w:val="28FD3BFE"/>
    <w:rsid w:val="2DB732EA"/>
    <w:rsid w:val="2DEF47A2"/>
    <w:rsid w:val="2ED51536"/>
    <w:rsid w:val="30D169D7"/>
    <w:rsid w:val="30D8786E"/>
    <w:rsid w:val="31603FB7"/>
    <w:rsid w:val="321361FB"/>
    <w:rsid w:val="32B04982"/>
    <w:rsid w:val="32B80D83"/>
    <w:rsid w:val="335330CA"/>
    <w:rsid w:val="33FA6ED9"/>
    <w:rsid w:val="34AA6F78"/>
    <w:rsid w:val="35E60C2F"/>
    <w:rsid w:val="363F2E44"/>
    <w:rsid w:val="36451867"/>
    <w:rsid w:val="370A584F"/>
    <w:rsid w:val="37501C7B"/>
    <w:rsid w:val="3A480840"/>
    <w:rsid w:val="3AD14221"/>
    <w:rsid w:val="3B5048CB"/>
    <w:rsid w:val="3B552DE9"/>
    <w:rsid w:val="3BEA4454"/>
    <w:rsid w:val="3EAD3981"/>
    <w:rsid w:val="406012EC"/>
    <w:rsid w:val="43815B49"/>
    <w:rsid w:val="43884DDC"/>
    <w:rsid w:val="43CC7388"/>
    <w:rsid w:val="44FB2992"/>
    <w:rsid w:val="47AD49F1"/>
    <w:rsid w:val="47D81EC9"/>
    <w:rsid w:val="48272457"/>
    <w:rsid w:val="489D7B5A"/>
    <w:rsid w:val="48D14E49"/>
    <w:rsid w:val="4A1542DA"/>
    <w:rsid w:val="4B9D33A7"/>
    <w:rsid w:val="4C6C622E"/>
    <w:rsid w:val="4CB1565F"/>
    <w:rsid w:val="4FC61270"/>
    <w:rsid w:val="4FEA308D"/>
    <w:rsid w:val="507D7B41"/>
    <w:rsid w:val="50964821"/>
    <w:rsid w:val="511C0786"/>
    <w:rsid w:val="513A6E4D"/>
    <w:rsid w:val="518C5B5F"/>
    <w:rsid w:val="523853DE"/>
    <w:rsid w:val="5286642A"/>
    <w:rsid w:val="538440B1"/>
    <w:rsid w:val="55386115"/>
    <w:rsid w:val="573670FE"/>
    <w:rsid w:val="573B5272"/>
    <w:rsid w:val="59542FF4"/>
    <w:rsid w:val="5AC37B55"/>
    <w:rsid w:val="5C3D4D2E"/>
    <w:rsid w:val="5F5A1F89"/>
    <w:rsid w:val="6040380F"/>
    <w:rsid w:val="60E361B2"/>
    <w:rsid w:val="61A24140"/>
    <w:rsid w:val="61F92E6B"/>
    <w:rsid w:val="631B6812"/>
    <w:rsid w:val="63BB2C22"/>
    <w:rsid w:val="64242FA7"/>
    <w:rsid w:val="658F08F2"/>
    <w:rsid w:val="66365881"/>
    <w:rsid w:val="68205DCD"/>
    <w:rsid w:val="68420820"/>
    <w:rsid w:val="68A169D8"/>
    <w:rsid w:val="68C251EB"/>
    <w:rsid w:val="6C090D34"/>
    <w:rsid w:val="6EA444F4"/>
    <w:rsid w:val="6EB65513"/>
    <w:rsid w:val="6EC515C6"/>
    <w:rsid w:val="6F2903B6"/>
    <w:rsid w:val="6F523C3C"/>
    <w:rsid w:val="703D553E"/>
    <w:rsid w:val="70484EE6"/>
    <w:rsid w:val="70AB61C6"/>
    <w:rsid w:val="715121C1"/>
    <w:rsid w:val="72A8616E"/>
    <w:rsid w:val="731732C3"/>
    <w:rsid w:val="7334793A"/>
    <w:rsid w:val="734235DE"/>
    <w:rsid w:val="74D30CF9"/>
    <w:rsid w:val="75A723B5"/>
    <w:rsid w:val="7779776A"/>
    <w:rsid w:val="78A564AE"/>
    <w:rsid w:val="7AB84E29"/>
    <w:rsid w:val="7BDF1D6C"/>
    <w:rsid w:val="7CC60699"/>
    <w:rsid w:val="7CCB27F0"/>
    <w:rsid w:val="7DBE440D"/>
    <w:rsid w:val="7DC662B5"/>
    <w:rsid w:val="7DDA7A98"/>
    <w:rsid w:val="7FDB63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0"/>
    <w:pPr>
      <w:keepNext/>
      <w:keepLines/>
      <w:spacing w:before="260" w:after="260" w:line="412"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99"/>
    <w:pPr>
      <w:spacing w:line="360" w:lineRule="auto"/>
      <w:ind w:firstLine="420"/>
    </w:pPr>
    <w:rPr>
      <w:rFonts w:ascii="宋体" w:hAnsi="宋体"/>
      <w:sz w:val="24"/>
    </w:rPr>
  </w:style>
  <w:style w:type="paragraph" w:styleId="5">
    <w:name w:val="annotation text"/>
    <w:basedOn w:val="1"/>
    <w:link w:val="33"/>
    <w:unhideWhenUsed/>
    <w:qFormat/>
    <w:uiPriority w:val="0"/>
    <w:pPr>
      <w:jc w:val="left"/>
    </w:pPr>
  </w:style>
  <w:style w:type="paragraph" w:styleId="6">
    <w:name w:val="Body Text"/>
    <w:basedOn w:val="1"/>
    <w:next w:val="7"/>
    <w:qFormat/>
    <w:uiPriority w:val="0"/>
    <w:rPr>
      <w:rFonts w:ascii="仿宋_GB2312" w:eastAsia="仿宋_GB2312"/>
      <w:sz w:val="32"/>
    </w:rPr>
  </w:style>
  <w:style w:type="paragraph" w:customStyle="1" w:styleId="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8">
    <w:name w:val="Body Text Indent"/>
    <w:basedOn w:val="1"/>
    <w:link w:val="22"/>
    <w:unhideWhenUsed/>
    <w:qFormat/>
    <w:uiPriority w:val="0"/>
    <w:pPr>
      <w:spacing w:line="700" w:lineRule="exact"/>
      <w:ind w:left="960"/>
    </w:pPr>
    <w:rPr>
      <w:sz w:val="44"/>
    </w:rPr>
  </w:style>
  <w:style w:type="paragraph" w:styleId="9">
    <w:name w:val="Plain Text"/>
    <w:basedOn w:val="1"/>
    <w:link w:val="31"/>
    <w:semiHidden/>
    <w:unhideWhenUsed/>
    <w:qFormat/>
    <w:uiPriority w:val="99"/>
    <w:rPr>
      <w:rFonts w:ascii="宋体" w:hAnsi="Courier New" w:cs="Courier New"/>
      <w:sz w:val="21"/>
      <w:szCs w:val="21"/>
    </w:rPr>
  </w:style>
  <w:style w:type="paragraph" w:styleId="10">
    <w:name w:val="Date"/>
    <w:basedOn w:val="1"/>
    <w:next w:val="1"/>
    <w:link w:val="28"/>
    <w:qFormat/>
    <w:uiPriority w:val="0"/>
    <w:rPr>
      <w:rFonts w:asciiTheme="minorHAnsi" w:hAnsiTheme="minorHAnsi" w:eastAsiaTheme="minorEastAsia" w:cstheme="minorBidi"/>
      <w:szCs w:val="22"/>
    </w:rPr>
  </w:style>
  <w:style w:type="paragraph" w:styleId="11">
    <w:name w:val="Body Text Indent 2"/>
    <w:basedOn w:val="1"/>
    <w:link w:val="27"/>
    <w:unhideWhenUsed/>
    <w:qFormat/>
    <w:uiPriority w:val="99"/>
    <w:pPr>
      <w:spacing w:after="120" w:line="480" w:lineRule="auto"/>
      <w:ind w:left="420" w:leftChars="200"/>
    </w:pPr>
  </w:style>
  <w:style w:type="paragraph" w:styleId="12">
    <w:name w:val="Balloon Text"/>
    <w:basedOn w:val="1"/>
    <w:link w:val="32"/>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0"/>
    <w:pPr>
      <w:spacing w:line="180" w:lineRule="auto"/>
      <w:jc w:val="center"/>
    </w:pPr>
    <w:rPr>
      <w:sz w:val="30"/>
    </w:r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basedOn w:val="17"/>
    <w:semiHidden/>
    <w:unhideWhenUsed/>
    <w:qFormat/>
    <w:uiPriority w:val="99"/>
    <w:rPr>
      <w:sz w:val="21"/>
      <w:szCs w:val="21"/>
    </w:rPr>
  </w:style>
  <w:style w:type="character" w:customStyle="1" w:styleId="21">
    <w:name w:val="标题 3 Char"/>
    <w:basedOn w:val="17"/>
    <w:link w:val="4"/>
    <w:qFormat/>
    <w:uiPriority w:val="0"/>
    <w:rPr>
      <w:rFonts w:ascii="Times New Roman" w:hAnsi="Times New Roman" w:eastAsia="宋体" w:cs="Times New Roman"/>
      <w:b/>
      <w:sz w:val="32"/>
      <w:szCs w:val="20"/>
    </w:rPr>
  </w:style>
  <w:style w:type="character" w:customStyle="1" w:styleId="22">
    <w:name w:val="正文文本缩进 Char"/>
    <w:basedOn w:val="17"/>
    <w:link w:val="8"/>
    <w:qFormat/>
    <w:uiPriority w:val="0"/>
    <w:rPr>
      <w:rFonts w:ascii="Times New Roman" w:hAnsi="Times New Roman" w:eastAsia="宋体" w:cs="Times New Roman"/>
      <w:sz w:val="44"/>
      <w:szCs w:val="20"/>
    </w:rPr>
  </w:style>
  <w:style w:type="paragraph" w:customStyle="1" w:styleId="23">
    <w:name w:val="图例"/>
    <w:basedOn w:val="1"/>
    <w:qFormat/>
    <w:uiPriority w:val="0"/>
    <w:pPr>
      <w:spacing w:before="120" w:after="120" w:line="360" w:lineRule="auto"/>
      <w:jc w:val="center"/>
    </w:pPr>
    <w:rPr>
      <w:rFonts w:eastAsia="仿宋_GB2312"/>
      <w:b/>
      <w:sz w:val="24"/>
    </w:rPr>
  </w:style>
  <w:style w:type="character" w:customStyle="1" w:styleId="24">
    <w:name w:val="页眉 Char"/>
    <w:basedOn w:val="17"/>
    <w:link w:val="14"/>
    <w:qFormat/>
    <w:uiPriority w:val="99"/>
    <w:rPr>
      <w:rFonts w:ascii="Times New Roman" w:hAnsi="Times New Roman" w:eastAsia="宋体" w:cs="Times New Roman"/>
      <w:sz w:val="18"/>
      <w:szCs w:val="18"/>
    </w:rPr>
  </w:style>
  <w:style w:type="character" w:customStyle="1" w:styleId="25">
    <w:name w:val="页脚 Char"/>
    <w:basedOn w:val="17"/>
    <w:link w:val="13"/>
    <w:qFormat/>
    <w:uiPriority w:val="99"/>
    <w:rPr>
      <w:rFonts w:ascii="Times New Roman" w:hAnsi="Times New Roman" w:eastAsia="宋体" w:cs="Times New Roman"/>
      <w:sz w:val="18"/>
      <w:szCs w:val="18"/>
    </w:rPr>
  </w:style>
  <w:style w:type="character" w:customStyle="1" w:styleId="26">
    <w:name w:val="标题 2 Char"/>
    <w:basedOn w:val="17"/>
    <w:link w:val="3"/>
    <w:semiHidden/>
    <w:qFormat/>
    <w:uiPriority w:val="9"/>
    <w:rPr>
      <w:rFonts w:asciiTheme="majorHAnsi" w:hAnsiTheme="majorHAnsi" w:eastAsiaTheme="majorEastAsia" w:cstheme="majorBidi"/>
      <w:b/>
      <w:bCs/>
      <w:sz w:val="32"/>
      <w:szCs w:val="32"/>
    </w:rPr>
  </w:style>
  <w:style w:type="character" w:customStyle="1" w:styleId="27">
    <w:name w:val="正文文本缩进 2 Char"/>
    <w:basedOn w:val="17"/>
    <w:link w:val="11"/>
    <w:qFormat/>
    <w:uiPriority w:val="99"/>
    <w:rPr>
      <w:rFonts w:ascii="Times New Roman" w:hAnsi="Times New Roman" w:eastAsia="宋体" w:cs="Times New Roman"/>
      <w:sz w:val="28"/>
      <w:szCs w:val="20"/>
    </w:rPr>
  </w:style>
  <w:style w:type="character" w:customStyle="1" w:styleId="28">
    <w:name w:val="日期 Char"/>
    <w:link w:val="10"/>
    <w:qFormat/>
    <w:uiPriority w:val="0"/>
    <w:rPr>
      <w:sz w:val="28"/>
    </w:rPr>
  </w:style>
  <w:style w:type="character" w:customStyle="1" w:styleId="29">
    <w:name w:val="日期 Char1"/>
    <w:basedOn w:val="17"/>
    <w:semiHidden/>
    <w:qFormat/>
    <w:uiPriority w:val="99"/>
    <w:rPr>
      <w:rFonts w:ascii="Times New Roman" w:hAnsi="Times New Roman" w:eastAsia="宋体" w:cs="Times New Roman"/>
      <w:sz w:val="28"/>
      <w:szCs w:val="20"/>
    </w:rPr>
  </w:style>
  <w:style w:type="paragraph" w:customStyle="1" w:styleId="30">
    <w:name w:val="1"/>
    <w:basedOn w:val="1"/>
    <w:next w:val="9"/>
    <w:qFormat/>
    <w:uiPriority w:val="0"/>
    <w:rPr>
      <w:rFonts w:ascii="宋体" w:hAnsi="Courier New"/>
      <w:sz w:val="21"/>
    </w:rPr>
  </w:style>
  <w:style w:type="character" w:customStyle="1" w:styleId="31">
    <w:name w:val="纯文本 Char"/>
    <w:basedOn w:val="17"/>
    <w:link w:val="9"/>
    <w:semiHidden/>
    <w:qFormat/>
    <w:uiPriority w:val="99"/>
    <w:rPr>
      <w:rFonts w:ascii="宋体" w:hAnsi="Courier New" w:eastAsia="宋体" w:cs="Courier New"/>
      <w:szCs w:val="21"/>
    </w:rPr>
  </w:style>
  <w:style w:type="character" w:customStyle="1" w:styleId="32">
    <w:name w:val="批注框文本 Char"/>
    <w:basedOn w:val="17"/>
    <w:link w:val="12"/>
    <w:semiHidden/>
    <w:qFormat/>
    <w:uiPriority w:val="99"/>
    <w:rPr>
      <w:kern w:val="2"/>
      <w:sz w:val="18"/>
      <w:szCs w:val="18"/>
    </w:rPr>
  </w:style>
  <w:style w:type="character" w:customStyle="1" w:styleId="33">
    <w:name w:val="批注文字 Char"/>
    <w:link w:val="5"/>
    <w:qFormat/>
    <w:uiPriority w:val="0"/>
    <w:rPr>
      <w:rFonts w:ascii="Times New Roman" w:hAnsi="Times New Roman" w:eastAsia="宋体" w:cs="Times New Roman"/>
      <w:kern w:val="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Company>
  <Pages>29</Pages>
  <Words>11950</Words>
  <Characters>12336</Characters>
  <Lines>110</Lines>
  <Paragraphs>31</Paragraphs>
  <TotalTime>42</TotalTime>
  <ScaleCrop>false</ScaleCrop>
  <LinksUpToDate>false</LinksUpToDate>
  <CharactersWithSpaces>13086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2021-01-06T02:06:00Z</dcterms:created>
  <dc:creator>User</dc:creator>
  <cp:lastModifiedBy>蔺宝宝</cp:lastModifiedBy>
  <cp:lastPrinted>2022-04-07T09:50:02Z</cp:lastPrinted>
  <dcterms:modified xsi:type="dcterms:W3CDTF">2022-04-07T09:50:05Z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1132496957_cloud</vt:lpwstr>
  </property>
  <property fmtid="{D5CDD505-2E9C-101B-9397-08002B2CF9AE}" pid="4" name="ICV">
    <vt:lpwstr>B5AEC8A7D9694A689383C30F5DA61A84</vt:lpwstr>
  </property>
</Properties>
</file>