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迎龙创新港大科园片区维修维护项目</w:t>
      </w:r>
      <w:r>
        <w:rPr>
          <w:rFonts w:hint="eastAsia" w:ascii="宋体" w:hAnsi="宋体"/>
          <w:color w:val="0000FF"/>
          <w:kern w:val="0"/>
          <w:sz w:val="32"/>
          <w:szCs w:val="32"/>
          <w:highlight w:val="none"/>
          <w:u w:val="single"/>
          <w:lang w:val="en-US" w:eastAsia="zh-CN"/>
        </w:rPr>
        <w:t>施工</w:t>
      </w:r>
      <w:r>
        <w:rPr>
          <w:rFonts w:hint="eastAsia" w:ascii="宋体" w:hAnsi="宋体"/>
          <w:kern w:val="0"/>
          <w:sz w:val="32"/>
          <w:szCs w:val="32"/>
          <w:highlight w:val="none"/>
          <w:u w:val="single"/>
        </w:rPr>
        <w:t>（项目名称）</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13180"/>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w:t>
      </w:r>
      <w:r>
        <w:rPr>
          <w:rFonts w:hint="eastAsia" w:ascii="宋体" w:hAnsi="宋体"/>
          <w:b/>
          <w:w w:val="99"/>
          <w:kern w:val="0"/>
          <w:sz w:val="28"/>
          <w:szCs w:val="28"/>
          <w:highlight w:val="none"/>
          <w:lang w:val="en-US" w:eastAsia="zh-CN"/>
        </w:rPr>
        <w:t>新汇商实业</w:t>
      </w:r>
      <w:r>
        <w:rPr>
          <w:rFonts w:hint="eastAsia" w:ascii="宋体" w:hAnsi="宋体"/>
          <w:b/>
          <w:w w:val="99"/>
          <w:kern w:val="0"/>
          <w:sz w:val="28"/>
          <w:szCs w:val="28"/>
          <w:highlight w:val="none"/>
        </w:rPr>
        <w:t>有限公司</w:t>
      </w:r>
      <w:r>
        <w:rPr>
          <w:rFonts w:ascii="宋体" w:hAnsi="宋体"/>
          <w:b/>
          <w:w w:val="99"/>
          <w:kern w:val="0"/>
          <w:sz w:val="28"/>
          <w:szCs w:val="28"/>
          <w:highlight w:val="none"/>
        </w:rPr>
        <w:t>（盖单位法人章）</w:t>
      </w:r>
      <w:bookmarkEnd w:id="1"/>
    </w:p>
    <w:p>
      <w:pPr>
        <w:autoSpaceDE w:val="0"/>
        <w:autoSpaceDN w:val="0"/>
        <w:adjustRightInd w:val="0"/>
        <w:snapToGrid w:val="0"/>
        <w:spacing w:line="360" w:lineRule="auto"/>
        <w:jc w:val="center"/>
        <w:rPr>
          <w:rFonts w:ascii="宋体" w:hAnsi="宋体"/>
          <w:b/>
          <w:kern w:val="0"/>
          <w:sz w:val="20"/>
          <w:szCs w:val="20"/>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2" w:name="_Toc13210649"/>
      <w:bookmarkStart w:id="3" w:name="_Toc536796736"/>
      <w:bookmarkStart w:id="4" w:name="_Toc536797277"/>
      <w:bookmarkStart w:id="5" w:name="_Toc509218549"/>
      <w:bookmarkStart w:id="6" w:name="_Toc536621766"/>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5</w:t>
      </w:r>
      <w:r>
        <w:rPr>
          <w:rFonts w:ascii="宋体" w:hAnsi="宋体"/>
          <w:b/>
          <w:spacing w:val="8"/>
          <w:kern w:val="0"/>
          <w:sz w:val="28"/>
          <w:szCs w:val="28"/>
          <w:highlight w:val="none"/>
        </w:rPr>
        <w:t>月</w:t>
      </w:r>
      <w:bookmarkEnd w:id="2"/>
      <w:bookmarkEnd w:id="3"/>
      <w:bookmarkEnd w:id="4"/>
      <w:bookmarkEnd w:id="5"/>
      <w:bookmarkEnd w:id="6"/>
    </w:p>
    <w:p>
      <w:pPr>
        <w:pStyle w:val="3"/>
        <w:spacing w:line="360" w:lineRule="auto"/>
        <w:jc w:val="center"/>
        <w:outlineLvl w:val="9"/>
        <w:rPr>
          <w:rFonts w:ascii="宋体" w:hAnsi="宋体"/>
          <w:w w:val="99"/>
          <w:kern w:val="0"/>
          <w:sz w:val="24"/>
          <w:highlight w:val="none"/>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highlight w:val="none"/>
          <w:lang w:val="zh-CN"/>
        </w:rPr>
      </w:pPr>
      <w:bookmarkStart w:id="7" w:name="_Toc28843"/>
      <w:bookmarkStart w:id="8"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7"/>
      <w:bookmarkEnd w:id="8"/>
    </w:p>
    <w:sdt>
      <w:sdtPr>
        <w:rPr>
          <w:rFonts w:ascii="宋体" w:hAnsi="宋体" w:eastAsia="宋体" w:cs="Times New Roman"/>
          <w:kern w:val="2"/>
          <w:sz w:val="21"/>
          <w:szCs w:val="24"/>
          <w:lang w:val="en-US" w:eastAsia="zh-CN" w:bidi="ar-SA"/>
        </w:rPr>
        <w:id w:val="14746035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9" w:name="_Toc509218691"/>
          <w:bookmarkStart w:id="10" w:name="_Toc287620666"/>
          <w:bookmarkStart w:id="11" w:name="_Toc224103298"/>
          <w:bookmarkStart w:id="12" w:name="_Toc287607727"/>
          <w:bookmarkStart w:id="13" w:name="_Toc12819"/>
          <w:bookmarkStart w:id="14" w:name="_Toc7997"/>
          <w:bookmarkStart w:id="15" w:name="_Toc430530415"/>
          <w:bookmarkStart w:id="16" w:name="_Toc277082535"/>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_Toc13180 </w:instrText>
          </w:r>
          <w:r>
            <w:rPr>
              <w:sz w:val="24"/>
              <w:szCs w:val="24"/>
            </w:rPr>
            <w:fldChar w:fldCharType="separate"/>
          </w:r>
          <w:r>
            <w:rPr>
              <w:rFonts w:hint="eastAsia" w:ascii="宋体" w:hAnsi="宋体"/>
              <w:kern w:val="0"/>
              <w:sz w:val="24"/>
              <w:szCs w:val="24"/>
              <w:highlight w:val="none"/>
              <w:lang w:val="en-US" w:eastAsia="zh-CN"/>
            </w:rPr>
            <w:t>竞争性比选</w:t>
          </w:r>
          <w:r>
            <w:rPr>
              <w:rFonts w:ascii="宋体" w:hAnsi="宋体"/>
              <w:kern w:val="0"/>
              <w:sz w:val="24"/>
              <w:szCs w:val="24"/>
              <w:highlight w:val="none"/>
            </w:rPr>
            <w:t>文件</w:t>
          </w:r>
          <w:r>
            <w:rPr>
              <w:sz w:val="24"/>
              <w:szCs w:val="24"/>
            </w:rPr>
            <w:tab/>
          </w:r>
          <w:r>
            <w:rPr>
              <w:sz w:val="24"/>
              <w:szCs w:val="24"/>
            </w:rPr>
            <w:fldChar w:fldCharType="begin"/>
          </w:r>
          <w:r>
            <w:rPr>
              <w:sz w:val="24"/>
              <w:szCs w:val="24"/>
            </w:rPr>
            <w:instrText xml:space="preserve"> PAGEREF _Toc13180 \h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_Toc21307 </w:instrText>
          </w:r>
          <w:r>
            <w:rPr>
              <w:sz w:val="24"/>
              <w:szCs w:val="24"/>
            </w:rPr>
            <w:fldChar w:fldCharType="separate"/>
          </w:r>
          <w:r>
            <w:rPr>
              <w:rFonts w:ascii="宋体" w:hAnsi="宋体"/>
              <w:snapToGrid w:val="0"/>
              <w:kern w:val="0"/>
              <w:sz w:val="24"/>
              <w:szCs w:val="24"/>
              <w:highlight w:val="none"/>
            </w:rPr>
            <w:t xml:space="preserve">第一章  </w:t>
          </w:r>
          <w:r>
            <w:rPr>
              <w:rFonts w:hint="eastAsia" w:ascii="宋体" w:hAnsi="宋体"/>
              <w:snapToGrid w:val="0"/>
              <w:kern w:val="0"/>
              <w:sz w:val="24"/>
              <w:szCs w:val="24"/>
              <w:highlight w:val="none"/>
              <w:lang w:eastAsia="zh-CN"/>
            </w:rPr>
            <w:t>比选公告</w:t>
          </w:r>
          <w:r>
            <w:rPr>
              <w:sz w:val="24"/>
              <w:szCs w:val="24"/>
            </w:rPr>
            <w:tab/>
          </w:r>
          <w:r>
            <w:rPr>
              <w:sz w:val="24"/>
              <w:szCs w:val="24"/>
            </w:rPr>
            <w:fldChar w:fldCharType="begin"/>
          </w:r>
          <w:r>
            <w:rPr>
              <w:sz w:val="24"/>
              <w:szCs w:val="24"/>
            </w:rPr>
            <w:instrText xml:space="preserve"> PAGEREF _Toc21307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_Toc22622 </w:instrText>
          </w:r>
          <w:r>
            <w:rPr>
              <w:sz w:val="24"/>
              <w:szCs w:val="24"/>
            </w:rPr>
            <w:fldChar w:fldCharType="separate"/>
          </w:r>
          <w:r>
            <w:rPr>
              <w:rFonts w:ascii="宋体" w:hAnsi="宋体"/>
              <w:snapToGrid w:val="0"/>
              <w:kern w:val="0"/>
              <w:sz w:val="24"/>
              <w:szCs w:val="24"/>
              <w:highlight w:val="none"/>
            </w:rPr>
            <w:t xml:space="preserve">第二章  </w:t>
          </w:r>
          <w:r>
            <w:rPr>
              <w:rFonts w:hint="eastAsia" w:ascii="宋体" w:hAnsi="宋体"/>
              <w:snapToGrid w:val="0"/>
              <w:kern w:val="0"/>
              <w:sz w:val="24"/>
              <w:szCs w:val="24"/>
              <w:highlight w:val="none"/>
              <w:lang w:eastAsia="zh-CN"/>
            </w:rPr>
            <w:t>竞选人</w:t>
          </w:r>
          <w:r>
            <w:rPr>
              <w:rFonts w:ascii="宋体" w:hAnsi="宋体"/>
              <w:snapToGrid w:val="0"/>
              <w:kern w:val="0"/>
              <w:sz w:val="24"/>
              <w:szCs w:val="24"/>
              <w:highlight w:val="none"/>
            </w:rPr>
            <w:t>须知</w:t>
          </w:r>
          <w:r>
            <w:rPr>
              <w:sz w:val="24"/>
              <w:szCs w:val="24"/>
            </w:rPr>
            <w:tab/>
          </w:r>
          <w:r>
            <w:rPr>
              <w:sz w:val="24"/>
              <w:szCs w:val="24"/>
            </w:rPr>
            <w:fldChar w:fldCharType="begin"/>
          </w:r>
          <w:r>
            <w:rPr>
              <w:sz w:val="24"/>
              <w:szCs w:val="24"/>
            </w:rPr>
            <w:instrText xml:space="preserve"> PAGEREF _Toc22622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_Toc4335 </w:instrText>
          </w:r>
          <w:r>
            <w:rPr>
              <w:sz w:val="24"/>
              <w:szCs w:val="24"/>
            </w:rPr>
            <w:fldChar w:fldCharType="separate"/>
          </w:r>
          <w:r>
            <w:rPr>
              <w:rFonts w:ascii="宋体" w:hAnsi="宋体"/>
              <w:sz w:val="24"/>
              <w:szCs w:val="24"/>
              <w:highlight w:val="none"/>
            </w:rPr>
            <w:t xml:space="preserve">第三章 </w:t>
          </w:r>
          <w:r>
            <w:rPr>
              <w:rFonts w:hint="eastAsia" w:ascii="宋体" w:hAnsi="宋体"/>
              <w:sz w:val="24"/>
              <w:szCs w:val="24"/>
              <w:highlight w:val="none"/>
            </w:rPr>
            <w:t xml:space="preserve"> </w:t>
          </w:r>
          <w:r>
            <w:rPr>
              <w:rFonts w:ascii="宋体" w:hAnsi="宋体"/>
              <w:sz w:val="24"/>
              <w:szCs w:val="24"/>
              <w:highlight w:val="none"/>
            </w:rPr>
            <w:t>评标办法（综合评估法）</w:t>
          </w:r>
          <w:r>
            <w:rPr>
              <w:sz w:val="24"/>
              <w:szCs w:val="24"/>
            </w:rPr>
            <w:tab/>
          </w:r>
          <w:r>
            <w:rPr>
              <w:sz w:val="24"/>
              <w:szCs w:val="24"/>
            </w:rPr>
            <w:fldChar w:fldCharType="begin"/>
          </w:r>
          <w:r>
            <w:rPr>
              <w:sz w:val="24"/>
              <w:szCs w:val="24"/>
            </w:rPr>
            <w:instrText xml:space="preserve"> PAGEREF _Toc4335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_Toc29884 </w:instrText>
          </w:r>
          <w:r>
            <w:rPr>
              <w:sz w:val="24"/>
              <w:szCs w:val="24"/>
            </w:rPr>
            <w:fldChar w:fldCharType="separate"/>
          </w:r>
          <w:r>
            <w:rPr>
              <w:rFonts w:ascii="宋体" w:hAnsi="宋体"/>
              <w:sz w:val="24"/>
              <w:szCs w:val="24"/>
              <w:highlight w:val="none"/>
              <w:lang w:eastAsia="zh-CN"/>
            </w:rPr>
            <w:t>附件A：综合评估法否决投标情况一览表</w:t>
          </w:r>
          <w:r>
            <w:rPr>
              <w:sz w:val="24"/>
              <w:szCs w:val="24"/>
            </w:rPr>
            <w:tab/>
          </w:r>
          <w:r>
            <w:rPr>
              <w:sz w:val="24"/>
              <w:szCs w:val="24"/>
            </w:rPr>
            <w:fldChar w:fldCharType="begin"/>
          </w:r>
          <w:r>
            <w:rPr>
              <w:sz w:val="24"/>
              <w:szCs w:val="24"/>
            </w:rPr>
            <w:instrText xml:space="preserve"> PAGEREF _Toc29884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_Toc12421 </w:instrText>
          </w:r>
          <w:r>
            <w:rPr>
              <w:sz w:val="24"/>
              <w:szCs w:val="24"/>
            </w:rPr>
            <w:fldChar w:fldCharType="separate"/>
          </w:r>
          <w:r>
            <w:rPr>
              <w:rFonts w:hint="eastAsia" w:ascii="宋体" w:hAnsi="宋体"/>
              <w:kern w:val="0"/>
              <w:sz w:val="24"/>
              <w:szCs w:val="24"/>
              <w:highlight w:val="none"/>
            </w:rPr>
            <w:t>第四章  合同条款及格式</w:t>
          </w:r>
          <w:r>
            <w:rPr>
              <w:sz w:val="24"/>
              <w:szCs w:val="24"/>
            </w:rPr>
            <w:tab/>
          </w:r>
          <w:r>
            <w:rPr>
              <w:sz w:val="24"/>
              <w:szCs w:val="24"/>
            </w:rPr>
            <w:fldChar w:fldCharType="begin"/>
          </w:r>
          <w:r>
            <w:rPr>
              <w:sz w:val="24"/>
              <w:szCs w:val="24"/>
            </w:rPr>
            <w:instrText xml:space="preserve"> PAGEREF _Toc12421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_Toc28155 </w:instrText>
          </w:r>
          <w:r>
            <w:rPr>
              <w:sz w:val="24"/>
              <w:szCs w:val="24"/>
            </w:rPr>
            <w:fldChar w:fldCharType="separate"/>
          </w:r>
          <w:r>
            <w:rPr>
              <w:rFonts w:ascii="宋体" w:hAnsi="宋体"/>
              <w:sz w:val="24"/>
              <w:szCs w:val="24"/>
              <w:highlight w:val="none"/>
            </w:rPr>
            <w:t>第</w:t>
          </w:r>
          <w:r>
            <w:rPr>
              <w:rFonts w:hint="eastAsia" w:ascii="宋体" w:hAnsi="宋体"/>
              <w:sz w:val="24"/>
              <w:szCs w:val="24"/>
              <w:highlight w:val="none"/>
              <w:lang w:val="en-US" w:eastAsia="zh-CN"/>
            </w:rPr>
            <w:t>五</w:t>
          </w:r>
          <w:r>
            <w:rPr>
              <w:rFonts w:ascii="宋体" w:hAnsi="宋体"/>
              <w:sz w:val="24"/>
              <w:szCs w:val="24"/>
              <w:highlight w:val="none"/>
            </w:rPr>
            <w:t>章</w:t>
          </w:r>
          <w:r>
            <w:rPr>
              <w:rFonts w:hint="eastAsia" w:ascii="宋体" w:hAnsi="宋体"/>
              <w:sz w:val="24"/>
              <w:szCs w:val="24"/>
              <w:highlight w:val="none"/>
            </w:rPr>
            <w:t xml:space="preserve">  </w:t>
          </w:r>
          <w:r>
            <w:rPr>
              <w:rFonts w:ascii="宋体" w:hAnsi="宋体"/>
              <w:sz w:val="24"/>
              <w:szCs w:val="24"/>
              <w:highlight w:val="none"/>
            </w:rPr>
            <w:t>技术标准和要求</w:t>
          </w:r>
          <w:r>
            <w:rPr>
              <w:sz w:val="24"/>
              <w:szCs w:val="24"/>
            </w:rPr>
            <w:tab/>
          </w:r>
          <w:r>
            <w:rPr>
              <w:sz w:val="24"/>
              <w:szCs w:val="24"/>
            </w:rPr>
            <w:fldChar w:fldCharType="begin"/>
          </w:r>
          <w:r>
            <w:rPr>
              <w:sz w:val="24"/>
              <w:szCs w:val="24"/>
            </w:rPr>
            <w:instrText xml:space="preserve"> PAGEREF _Toc28155 \h </w:instrText>
          </w:r>
          <w:r>
            <w:rPr>
              <w:sz w:val="24"/>
              <w:szCs w:val="24"/>
            </w:rPr>
            <w:fldChar w:fldCharType="separate"/>
          </w:r>
          <w:r>
            <w:rPr>
              <w:sz w:val="24"/>
              <w:szCs w:val="24"/>
            </w:rPr>
            <w:t>109</w:t>
          </w:r>
          <w:r>
            <w:rPr>
              <w:sz w:val="24"/>
              <w:szCs w:val="24"/>
            </w:rPr>
            <w:fldChar w:fldCharType="end"/>
          </w:r>
          <w:r>
            <w:rPr>
              <w:sz w:val="24"/>
              <w:szCs w:val="24"/>
            </w:rPr>
            <w:fldChar w:fldCharType="end"/>
          </w:r>
        </w:p>
        <w:p>
          <w:pPr>
            <w:pStyle w:val="315"/>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_Toc3098 </w:instrText>
          </w:r>
          <w:r>
            <w:rPr>
              <w:sz w:val="24"/>
              <w:szCs w:val="24"/>
            </w:rPr>
            <w:fldChar w:fldCharType="separate"/>
          </w:r>
          <w:r>
            <w:rPr>
              <w:rFonts w:hint="eastAsia" w:ascii="宋体" w:hAnsi="宋体"/>
              <w:sz w:val="24"/>
              <w:szCs w:val="24"/>
              <w:highlight w:val="none"/>
            </w:rPr>
            <w:t>第</w:t>
          </w:r>
          <w:r>
            <w:rPr>
              <w:rFonts w:hint="eastAsia" w:ascii="宋体" w:hAnsi="宋体"/>
              <w:sz w:val="24"/>
              <w:szCs w:val="24"/>
              <w:highlight w:val="none"/>
              <w:lang w:val="en-US" w:eastAsia="zh-CN"/>
            </w:rPr>
            <w:t>六</w:t>
          </w:r>
          <w:r>
            <w:rPr>
              <w:rFonts w:hint="eastAsia" w:ascii="宋体" w:hAnsi="宋体"/>
              <w:sz w:val="24"/>
              <w:szCs w:val="24"/>
              <w:highlight w:val="none"/>
            </w:rPr>
            <w:t xml:space="preserve">章  </w:t>
          </w:r>
          <w:r>
            <w:rPr>
              <w:rFonts w:hint="eastAsia" w:ascii="宋体" w:hAnsi="宋体"/>
              <w:sz w:val="24"/>
              <w:szCs w:val="24"/>
              <w:highlight w:val="none"/>
              <w:lang w:eastAsia="zh-CN"/>
            </w:rPr>
            <w:t>竞选文件</w:t>
          </w:r>
          <w:r>
            <w:rPr>
              <w:rFonts w:hint="eastAsia" w:ascii="宋体" w:hAnsi="宋体"/>
              <w:sz w:val="24"/>
              <w:szCs w:val="24"/>
              <w:highlight w:val="none"/>
            </w:rPr>
            <w:t>格式</w:t>
          </w:r>
          <w:r>
            <w:rPr>
              <w:sz w:val="24"/>
              <w:szCs w:val="24"/>
            </w:rPr>
            <w:tab/>
          </w:r>
          <w:r>
            <w:rPr>
              <w:sz w:val="24"/>
              <w:szCs w:val="24"/>
            </w:rPr>
            <w:fldChar w:fldCharType="begin"/>
          </w:r>
          <w:r>
            <w:rPr>
              <w:sz w:val="24"/>
              <w:szCs w:val="24"/>
            </w:rPr>
            <w:instrText xml:space="preserve"> PAGEREF _Toc3098 \h </w:instrText>
          </w:r>
          <w:r>
            <w:rPr>
              <w:sz w:val="24"/>
              <w:szCs w:val="24"/>
            </w:rPr>
            <w:fldChar w:fldCharType="separate"/>
          </w:r>
          <w:r>
            <w:rPr>
              <w:sz w:val="24"/>
              <w:szCs w:val="24"/>
            </w:rPr>
            <w:t>110</w:t>
          </w:r>
          <w:r>
            <w:rPr>
              <w:sz w:val="24"/>
              <w:szCs w:val="24"/>
            </w:rPr>
            <w:fldChar w:fldCharType="end"/>
          </w:r>
          <w:r>
            <w:rPr>
              <w:sz w:val="24"/>
              <w:szCs w:val="24"/>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napToGrid w:val="0"/>
              <w:kern w:val="0"/>
              <w:highlight w:val="none"/>
            </w:rPr>
            <w:sectPr>
              <w:footerReference r:id="rId5" w:type="default"/>
              <w:pgSz w:w="11906" w:h="16838"/>
              <w:pgMar w:top="1134" w:right="1418" w:bottom="1134" w:left="1418" w:header="851" w:footer="992" w:gutter="0"/>
              <w:cols w:space="720" w:num="1"/>
              <w:docGrid w:type="lines" w:linePitch="312" w:charSpace="0"/>
            </w:sectPr>
          </w:pPr>
          <w:r>
            <w:rPr>
              <w:sz w:val="24"/>
              <w:szCs w:val="24"/>
            </w:rPr>
            <w:fldChar w:fldCharType="end"/>
          </w:r>
          <w:bookmarkStart w:id="17" w:name="_Toc21307"/>
        </w:p>
      </w:sdtContent>
    </w:sdt>
    <w:p>
      <w:pPr>
        <w:pStyle w:val="3"/>
        <w:spacing w:line="360" w:lineRule="auto"/>
        <w:jc w:val="center"/>
        <w:rPr>
          <w:rFonts w:ascii="宋体" w:hAnsi="宋体"/>
          <w:snapToGrid w:val="0"/>
          <w:kern w:val="0"/>
          <w:highlight w:val="none"/>
        </w:rPr>
      </w:pPr>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9"/>
      <w:bookmarkEnd w:id="10"/>
      <w:bookmarkEnd w:id="11"/>
      <w:bookmarkEnd w:id="12"/>
      <w:bookmarkEnd w:id="13"/>
      <w:bookmarkEnd w:id="14"/>
      <w:bookmarkEnd w:id="15"/>
      <w:bookmarkEnd w:id="16"/>
      <w:bookmarkEnd w:id="17"/>
    </w:p>
    <w:p>
      <w:pPr>
        <w:pStyle w:val="4"/>
        <w:spacing w:before="100" w:after="100" w:line="460" w:lineRule="exact"/>
        <w:jc w:val="center"/>
        <w:rPr>
          <w:rFonts w:hint="eastAsia" w:ascii="宋体" w:hAnsi="宋体"/>
          <w:color w:val="0000FF"/>
          <w:kern w:val="0"/>
          <w:sz w:val="32"/>
          <w:szCs w:val="32"/>
          <w:highlight w:val="none"/>
          <w:u w:val="single"/>
          <w:lang w:val="en-US" w:eastAsia="zh-CN"/>
        </w:rPr>
      </w:pPr>
      <w:bookmarkStart w:id="18" w:name="_Toc430530416"/>
      <w:bookmarkStart w:id="19" w:name="_Toc200359238"/>
      <w:bookmarkStart w:id="20" w:name="_Toc27491"/>
      <w:bookmarkStart w:id="21" w:name="_Toc287607728"/>
      <w:bookmarkStart w:id="22" w:name="_Toc287620667"/>
      <w:bookmarkStart w:id="23" w:name="_Toc509218692"/>
      <w:bookmarkStart w:id="24" w:name="_Toc277082536"/>
      <w:bookmarkStart w:id="25" w:name="_Toc224103299"/>
      <w:bookmarkStart w:id="26" w:name="_Toc26523"/>
      <w:bookmarkStart w:id="27" w:name="_Toc200359427"/>
      <w:r>
        <w:rPr>
          <w:rFonts w:hint="eastAsia" w:ascii="宋体" w:hAnsi="宋体"/>
          <w:color w:val="0000FF"/>
          <w:kern w:val="0"/>
          <w:sz w:val="32"/>
          <w:szCs w:val="32"/>
          <w:highlight w:val="none"/>
          <w:u w:val="single"/>
          <w:lang w:eastAsia="zh-CN"/>
        </w:rPr>
        <w:t>迎龙创新港大科园片区维修维护项目施工</w:t>
      </w:r>
    </w:p>
    <w:p>
      <w:pPr>
        <w:pStyle w:val="4"/>
        <w:spacing w:before="100" w:after="100" w:line="460" w:lineRule="exact"/>
        <w:jc w:val="both"/>
        <w:rPr>
          <w:rFonts w:ascii="宋体" w:hAnsi="宋体"/>
          <w:snapToGrid w:val="0"/>
          <w:color w:val="auto"/>
          <w:sz w:val="28"/>
          <w:szCs w:val="28"/>
          <w:highlight w:val="none"/>
        </w:rPr>
      </w:pPr>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8"/>
      <w:bookmarkEnd w:id="19"/>
      <w:bookmarkEnd w:id="20"/>
      <w:bookmarkEnd w:id="21"/>
      <w:bookmarkEnd w:id="22"/>
      <w:bookmarkEnd w:id="23"/>
      <w:bookmarkEnd w:id="24"/>
      <w:bookmarkEnd w:id="25"/>
      <w:bookmarkEnd w:id="26"/>
      <w:bookmarkEnd w:id="27"/>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迎龙创新港大科园片区维修维护项目施工</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w:t>
      </w:r>
      <w:r>
        <w:rPr>
          <w:rFonts w:ascii="宋体" w:hAnsi="宋体" w:eastAsia="宋体" w:cs="宋体"/>
          <w:spacing w:val="-4"/>
          <w:sz w:val="21"/>
          <w:szCs w:val="21"/>
          <w:u w:val="single" w:color="auto"/>
        </w:rPr>
        <w:t>重庆</w:t>
      </w:r>
      <w:r>
        <w:rPr>
          <w:rFonts w:hint="eastAsia" w:ascii="宋体" w:hAnsi="宋体" w:cs="宋体"/>
          <w:spacing w:val="-4"/>
          <w:sz w:val="21"/>
          <w:szCs w:val="21"/>
          <w:u w:val="single" w:color="auto"/>
          <w:lang w:val="en-US" w:eastAsia="zh-CN"/>
        </w:rPr>
        <w:t>新汇商实业</w:t>
      </w:r>
      <w:r>
        <w:rPr>
          <w:rFonts w:ascii="宋体" w:hAnsi="宋体" w:eastAsia="宋体" w:cs="宋体"/>
          <w:spacing w:val="-4"/>
          <w:sz w:val="21"/>
          <w:szCs w:val="21"/>
          <w:u w:val="single" w:color="auto"/>
        </w:rPr>
        <w:t>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8" w:name="_Toc22556"/>
      <w:bookmarkStart w:id="29" w:name="_Toc200359428"/>
      <w:bookmarkStart w:id="30" w:name="_Toc200359239"/>
      <w:bookmarkStart w:id="31" w:name="_Toc430530417"/>
      <w:bookmarkStart w:id="32" w:name="_Toc287607729"/>
      <w:bookmarkStart w:id="33" w:name="_Toc509218693"/>
      <w:bookmarkStart w:id="34" w:name="_Toc224103300"/>
      <w:bookmarkStart w:id="35" w:name="_Toc287620668"/>
      <w:bookmarkStart w:id="36" w:name="_Toc16344"/>
      <w:bookmarkStart w:id="37" w:name="_Toc277082537"/>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8"/>
      <w:bookmarkEnd w:id="29"/>
      <w:bookmarkEnd w:id="30"/>
      <w:bookmarkEnd w:id="31"/>
      <w:bookmarkEnd w:id="32"/>
      <w:bookmarkEnd w:id="33"/>
      <w:bookmarkEnd w:id="34"/>
      <w:bookmarkEnd w:id="35"/>
      <w:bookmarkEnd w:id="36"/>
      <w:bookmarkEnd w:id="37"/>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2.1 建设地点：</w:t>
      </w:r>
      <w:r>
        <w:rPr>
          <w:rFonts w:hint="eastAsia" w:ascii="宋体" w:hAnsi="宋体"/>
          <w:snapToGrid w:val="0"/>
          <w:color w:val="auto"/>
          <w:kern w:val="0"/>
          <w:szCs w:val="21"/>
          <w:highlight w:val="none"/>
          <w:u w:val="single"/>
          <w:lang w:val="en-US" w:eastAsia="zh-CN"/>
        </w:rPr>
        <w:t>经开区</w:t>
      </w:r>
      <w:r>
        <w:rPr>
          <w:rFonts w:hint="eastAsia" w:ascii="宋体" w:hAnsi="宋体"/>
          <w:snapToGrid w:val="0"/>
          <w:color w:val="auto"/>
          <w:kern w:val="0"/>
          <w:szCs w:val="21"/>
          <w:highlight w:val="none"/>
          <w:u w:val="single"/>
        </w:rPr>
        <w:t>迎龙</w:t>
      </w:r>
      <w:r>
        <w:rPr>
          <w:rFonts w:hint="eastAsia" w:ascii="宋体" w:hAnsi="宋体"/>
          <w:snapToGrid w:val="0"/>
          <w:color w:val="auto"/>
          <w:kern w:val="0"/>
          <w:szCs w:val="21"/>
          <w:highlight w:val="none"/>
          <w:u w:val="single"/>
          <w:lang w:val="en-US" w:eastAsia="zh-CN"/>
        </w:rPr>
        <w:t>医药城</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rPr>
      </w:pPr>
      <w:r>
        <w:rPr>
          <w:rFonts w:hint="eastAsia" w:ascii="宋体" w:hAnsi="宋体"/>
          <w:snapToGrid w:val="0"/>
          <w:color w:val="0000FF"/>
          <w:kern w:val="0"/>
          <w:szCs w:val="21"/>
          <w:highlight w:val="none"/>
          <w:u w:val="single"/>
        </w:rPr>
        <w:t>2.2 项目概况与建设规模：</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迎龙创新港大科园片区共有1栋高层建筑、4栋多层建筑、3个车库，建筑面积约15万平方米。维修单位对园区所属建筑进行维修维护，合同为期一年。维修主要内容包括但不限于如下内容，具体以业主单位委托的维修项目为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1.外墙抹灰层或瓷砖鼓包脱落，恢复处理。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2.房屋外墙雨水管老化漏水，补漏或更换处理。屋面防水处理；雨儿墙防水处理。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3.主排水排污管道疏通及优化改造；雨污水沟、槽、井、窨井清理清掏清运； 4.屋面天沟清掏检查。厨房、卫生间主排污管道锈蚀老化漏水，补漏或更换处理；阳台主排水管锈蚀老化漏水，补漏或更换处理。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5.楼栋自来水主水管漏水，补漏或更换处理。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6.路面、堡坎、围墙修复。窨井盖、铸铁（塑钢、喷塑铁）栏杆等公共设施维护。</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7.因不可抗拒因素造成的房屋损坏等情况的恢复处理。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8.房屋分隔改变、功能调整及个性化需求等改造、装饰装修。</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9.上述范围的突发应急抢险。</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eastAsia="宋体"/>
          <w:i w:val="0"/>
          <w:iCs w:val="0"/>
          <w:caps w:val="0"/>
          <w:color w:val="0000FF"/>
          <w:spacing w:val="0"/>
          <w:sz w:val="21"/>
          <w:szCs w:val="21"/>
          <w:lang w:eastAsia="zh-CN"/>
        </w:rPr>
      </w:pPr>
      <w:r>
        <w:rPr>
          <w:rFonts w:hint="eastAsia" w:ascii="宋体" w:hAnsi="宋体"/>
          <w:snapToGrid w:val="0"/>
          <w:color w:val="0000FF"/>
          <w:kern w:val="0"/>
          <w:szCs w:val="21"/>
          <w:highlight w:val="none"/>
          <w:u w:val="single"/>
          <w:lang w:val="en-US" w:eastAsia="zh-CN"/>
        </w:rPr>
        <w:t xml:space="preserve"> 以上维修内容，具体实施内容以比选人工作指令为准。</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0000FF"/>
          <w:kern w:val="0"/>
          <w:szCs w:val="21"/>
          <w:highlight w:val="none"/>
          <w:u w:val="single"/>
          <w:lang w:val="en-US" w:eastAsia="zh-CN"/>
        </w:rPr>
        <w:t>30万</w:t>
      </w:r>
      <w:r>
        <w:rPr>
          <w:rFonts w:hint="eastAsia" w:ascii="宋体" w:hAnsi="宋体"/>
          <w:snapToGrid w:val="0"/>
          <w:color w:val="0000FF"/>
          <w:kern w:val="0"/>
          <w:szCs w:val="21"/>
          <w:highlight w:val="none"/>
          <w:u w:val="single"/>
        </w:rPr>
        <w:t>元</w:t>
      </w:r>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FF"/>
          <w:kern w:val="0"/>
          <w:szCs w:val="21"/>
          <w:highlight w:val="none"/>
          <w:u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0000FF"/>
          <w:kern w:val="0"/>
          <w:szCs w:val="21"/>
          <w:highlight w:val="none"/>
          <w:u w:val="single"/>
          <w:lang w:val="en-US" w:eastAsia="zh-CN"/>
        </w:rPr>
        <w:t>迎龙创新港大科园片区共有1栋高层建筑、4栋多层建筑、3个车库，建筑面积约15万平方米。</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2.5 工期要求：</w:t>
      </w:r>
      <w:r>
        <w:rPr>
          <w:rFonts w:hint="eastAsia" w:ascii="宋体" w:hAnsi="宋体"/>
          <w:snapToGrid w:val="0"/>
          <w:color w:val="0000FF"/>
          <w:kern w:val="0"/>
          <w:szCs w:val="21"/>
          <w:highlight w:val="none"/>
          <w:u w:val="single"/>
          <w:lang w:val="en-US" w:eastAsia="zh-CN"/>
        </w:rPr>
        <w:t>365日历天，</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1年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0000FF"/>
          <w:kern w:val="0"/>
          <w:szCs w:val="21"/>
          <w:highlight w:val="none"/>
          <w:u w:val="single"/>
          <w:lang w:val="en-US" w:eastAsia="zh-CN"/>
        </w:rPr>
        <w:t>具体实施内容以比选人工作指令为准。</w:t>
      </w:r>
    </w:p>
    <w:p>
      <w:pPr>
        <w:pStyle w:val="4"/>
        <w:spacing w:before="100" w:after="100" w:line="460" w:lineRule="exact"/>
        <w:rPr>
          <w:rFonts w:ascii="宋体" w:hAnsi="宋体"/>
          <w:snapToGrid w:val="0"/>
          <w:sz w:val="28"/>
          <w:szCs w:val="28"/>
          <w:highlight w:val="none"/>
        </w:rPr>
      </w:pPr>
      <w:bookmarkStart w:id="38" w:name="_Toc509218694"/>
      <w:bookmarkStart w:id="39" w:name="_Toc5240"/>
      <w:bookmarkStart w:id="40" w:name="_Toc224103301"/>
      <w:bookmarkStart w:id="41" w:name="_Toc430530418"/>
      <w:bookmarkStart w:id="42" w:name="_Toc277082538"/>
      <w:bookmarkStart w:id="43" w:name="_Toc287607730"/>
      <w:bookmarkStart w:id="44" w:name="_Toc200359240"/>
      <w:bookmarkStart w:id="45" w:name="_Toc287620669"/>
      <w:bookmarkStart w:id="46" w:name="_Toc19513"/>
      <w:bookmarkStart w:id="47" w:name="_Toc200359429"/>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8"/>
      <w:bookmarkEnd w:id="39"/>
      <w:bookmarkEnd w:id="40"/>
      <w:bookmarkEnd w:id="41"/>
      <w:bookmarkEnd w:id="42"/>
      <w:bookmarkEnd w:id="43"/>
      <w:bookmarkEnd w:id="44"/>
      <w:bookmarkEnd w:id="45"/>
      <w:bookmarkEnd w:id="46"/>
      <w:bookmarkEnd w:id="47"/>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pPr>
        <w:spacing w:line="360" w:lineRule="auto"/>
        <w:ind w:firstLine="315" w:firstLineChars="150"/>
        <w:rPr>
          <w:rFonts w:hint="eastAsia" w:ascii="宋体" w:hAnsi="宋体"/>
          <w:strike w:val="0"/>
          <w:dstrike w:val="0"/>
          <w:color w:val="auto"/>
          <w:szCs w:val="21"/>
          <w:highlight w:val="none"/>
          <w:u w:val="single"/>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具</w:t>
      </w:r>
      <w:r>
        <w:rPr>
          <w:rFonts w:hint="eastAsia" w:ascii="宋体" w:hAnsi="宋体"/>
          <w:snapToGrid w:val="0"/>
          <w:color w:val="auto"/>
          <w:kern w:val="0"/>
          <w:szCs w:val="21"/>
          <w:highlight w:val="none"/>
          <w:u w:val="single"/>
        </w:rPr>
        <w:t>备建设行政主管部门颁发的</w:t>
      </w:r>
      <w:r>
        <w:rPr>
          <w:rFonts w:hint="eastAsia" w:ascii="宋体" w:hAnsi="宋体"/>
          <w:snapToGrid w:val="0"/>
          <w:color w:val="auto"/>
          <w:kern w:val="0"/>
          <w:szCs w:val="21"/>
          <w:highlight w:val="none"/>
          <w:u w:val="single"/>
          <w:lang w:val="en-US" w:eastAsia="zh-CN"/>
        </w:rPr>
        <w:t>建筑工程施工总承包或市政公用工程</w:t>
      </w:r>
      <w:r>
        <w:rPr>
          <w:rFonts w:hint="eastAsia" w:ascii="宋体" w:hAnsi="宋体"/>
          <w:snapToGrid w:val="0"/>
          <w:color w:val="auto"/>
          <w:kern w:val="0"/>
          <w:szCs w:val="21"/>
          <w:highlight w:val="none"/>
          <w:u w:val="single"/>
        </w:rPr>
        <w:t>施工总承包三级及以上资质；</w:t>
      </w:r>
      <w:r>
        <w:rPr>
          <w:rFonts w:hint="eastAsia" w:asciiTheme="minorEastAsia" w:hAnsiTheme="minorEastAsia" w:eastAsiaTheme="minorEastAsia" w:cstheme="minorEastAsia"/>
          <w:sz w:val="21"/>
          <w:szCs w:val="21"/>
          <w:u w:val="single"/>
        </w:rPr>
        <w:t>202</w:t>
      </w:r>
      <w:r>
        <w:rPr>
          <w:rFonts w:hint="eastAsia" w:asciiTheme="minorEastAsia" w:hAnsiTheme="minorEastAsia" w:eastAsiaTheme="minorEastAsia" w:cstheme="minorEastAsia"/>
          <w:sz w:val="21"/>
          <w:szCs w:val="21"/>
          <w:u w:val="single"/>
          <w:lang w:val="en-US" w:eastAsia="zh-CN"/>
        </w:rPr>
        <w:t>0</w:t>
      </w:r>
      <w:r>
        <w:rPr>
          <w:rFonts w:hint="eastAsia" w:asciiTheme="minorEastAsia" w:hAnsiTheme="minorEastAsia" w:eastAsiaTheme="minorEastAsia" w:cstheme="minorEastAsia"/>
          <w:sz w:val="21"/>
          <w:szCs w:val="21"/>
          <w:u w:val="single"/>
        </w:rPr>
        <w:t>年1月1日至</w:t>
      </w:r>
      <w:r>
        <w:rPr>
          <w:rFonts w:hint="eastAsia" w:ascii="宋体" w:hAnsi="宋体"/>
          <w:strike w:val="0"/>
          <w:dstrike w:val="0"/>
          <w:color w:val="auto"/>
          <w:szCs w:val="21"/>
          <w:highlight w:val="none"/>
          <w:u w:val="single"/>
        </w:rPr>
        <w:t>投标截止日止（以竣工时间为准）</w:t>
      </w:r>
      <w:r>
        <w:rPr>
          <w:rFonts w:hint="eastAsia" w:ascii="宋体" w:hAnsi="宋体"/>
          <w:strike w:val="0"/>
          <w:dstrike w:val="0"/>
          <w:color w:val="auto"/>
          <w:szCs w:val="21"/>
          <w:highlight w:val="none"/>
          <w:u w:val="single"/>
          <w:lang w:val="en-US" w:eastAsia="zh-CN"/>
        </w:rPr>
        <w:t>完成</w:t>
      </w:r>
      <w:r>
        <w:rPr>
          <w:rFonts w:hint="eastAsia" w:ascii="宋体" w:hAnsi="宋体"/>
          <w:strike w:val="0"/>
          <w:dstrike w:val="0"/>
          <w:color w:val="auto"/>
          <w:szCs w:val="21"/>
          <w:highlight w:val="none"/>
          <w:u w:val="single"/>
        </w:rPr>
        <w:t>的</w:t>
      </w:r>
      <w:r>
        <w:rPr>
          <w:rFonts w:hint="eastAsia" w:ascii="宋体" w:hAnsi="宋体"/>
          <w:strike w:val="0"/>
          <w:dstrike w:val="0"/>
          <w:color w:val="auto"/>
          <w:szCs w:val="21"/>
          <w:highlight w:val="none"/>
          <w:u w:val="single"/>
          <w:lang w:val="en-US" w:eastAsia="zh-CN"/>
        </w:rPr>
        <w:t>3</w:t>
      </w:r>
      <w:r>
        <w:rPr>
          <w:rFonts w:hint="eastAsia" w:ascii="宋体" w:hAnsi="宋体"/>
          <w:strike w:val="0"/>
          <w:dstrike w:val="0"/>
          <w:color w:val="auto"/>
          <w:szCs w:val="21"/>
          <w:highlight w:val="none"/>
          <w:u w:val="single"/>
        </w:rPr>
        <w:t>个类似项目业绩。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还应在人员、设备、资金等方面具有相应的施工能力，详见招标文件第二章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pPr>
        <w:pStyle w:val="4"/>
        <w:spacing w:before="100" w:after="100" w:line="460" w:lineRule="exact"/>
        <w:rPr>
          <w:rFonts w:ascii="宋体" w:hAnsi="宋体"/>
          <w:snapToGrid w:val="0"/>
          <w:sz w:val="28"/>
          <w:szCs w:val="28"/>
          <w:highlight w:val="none"/>
        </w:rPr>
      </w:pPr>
      <w:bookmarkStart w:id="48" w:name="_Toc200359430"/>
      <w:bookmarkStart w:id="49" w:name="_Toc13751"/>
      <w:bookmarkStart w:id="50" w:name="_Toc200359241"/>
      <w:bookmarkStart w:id="51" w:name="_Toc430530419"/>
      <w:bookmarkStart w:id="52" w:name="_Toc277082539"/>
      <w:bookmarkStart w:id="53" w:name="_Toc10508"/>
      <w:bookmarkStart w:id="54" w:name="_Toc287620670"/>
      <w:bookmarkStart w:id="55" w:name="_Toc287607731"/>
      <w:bookmarkStart w:id="56" w:name="_Toc224103302"/>
      <w:bookmarkStart w:id="57" w:name="_Toc509218695"/>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8"/>
      <w:bookmarkEnd w:id="49"/>
      <w:bookmarkEnd w:id="50"/>
      <w:bookmarkEnd w:id="51"/>
      <w:bookmarkEnd w:id="52"/>
      <w:bookmarkEnd w:id="53"/>
      <w:bookmarkEnd w:id="54"/>
      <w:bookmarkEnd w:id="55"/>
      <w:bookmarkEnd w:id="56"/>
      <w:bookmarkEnd w:id="57"/>
    </w:p>
    <w:p>
      <w:pPr>
        <w:widowControl/>
        <w:spacing w:line="360" w:lineRule="auto"/>
        <w:ind w:firstLine="420" w:firstLineChars="200"/>
        <w:rPr>
          <w:rFonts w:cs="宋体" w:asciiTheme="minorEastAsia" w:hAnsiTheme="minorEastAsia" w:eastAsiaTheme="minorEastAsia"/>
          <w:kern w:val="0"/>
          <w:sz w:val="21"/>
          <w:szCs w:val="21"/>
        </w:rPr>
      </w:pPr>
      <w:bookmarkStart w:id="58" w:name="_Toc277082540"/>
      <w:bookmarkStart w:id="59" w:name="_Toc28449"/>
      <w:bookmarkStart w:id="60" w:name="_Toc3893"/>
      <w:bookmarkStart w:id="61" w:name="_Toc287607732"/>
      <w:bookmarkStart w:id="62" w:name="_Toc287620671"/>
      <w:bookmarkStart w:id="63" w:name="_Toc200359431"/>
      <w:bookmarkStart w:id="64" w:name="_Toc430530420"/>
      <w:bookmarkStart w:id="65" w:name="_Toc224103303"/>
      <w:bookmarkStart w:id="66" w:name="_Toc200359242"/>
      <w:bookmarkStart w:id="67" w:name="_Toc509218696"/>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8"/>
      <w:bookmarkEnd w:id="59"/>
      <w:bookmarkEnd w:id="60"/>
      <w:bookmarkEnd w:id="61"/>
      <w:bookmarkEnd w:id="62"/>
      <w:bookmarkEnd w:id="63"/>
      <w:bookmarkEnd w:id="64"/>
      <w:bookmarkEnd w:id="65"/>
      <w:bookmarkEnd w:id="66"/>
      <w:bookmarkEnd w:id="67"/>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5</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17</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pPr>
        <w:pStyle w:val="4"/>
        <w:spacing w:before="100" w:after="100" w:line="460" w:lineRule="exact"/>
        <w:rPr>
          <w:rFonts w:ascii="宋体" w:hAnsi="宋体"/>
          <w:snapToGrid w:val="0"/>
          <w:sz w:val="28"/>
          <w:szCs w:val="28"/>
          <w:highlight w:val="none"/>
        </w:rPr>
      </w:pPr>
      <w:bookmarkStart w:id="68" w:name="_Toc19071"/>
      <w:bookmarkStart w:id="69" w:name="_Toc430530421"/>
      <w:bookmarkStart w:id="70" w:name="_Toc277082541"/>
      <w:bookmarkStart w:id="71" w:name="_Toc509218697"/>
      <w:bookmarkStart w:id="72" w:name="_Toc8166"/>
      <w:bookmarkStart w:id="73" w:name="_Toc200359432"/>
      <w:bookmarkStart w:id="74" w:name="_Toc224103304"/>
      <w:bookmarkStart w:id="75" w:name="_Toc287620672"/>
      <w:bookmarkStart w:id="76" w:name="_Toc287607733"/>
      <w:bookmarkStart w:id="77" w:name="_Toc200359243"/>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8"/>
      <w:bookmarkEnd w:id="69"/>
      <w:bookmarkEnd w:id="70"/>
      <w:bookmarkEnd w:id="71"/>
      <w:bookmarkEnd w:id="72"/>
      <w:bookmarkEnd w:id="73"/>
      <w:bookmarkEnd w:id="74"/>
      <w:bookmarkEnd w:id="75"/>
      <w:bookmarkEnd w:id="76"/>
      <w:bookmarkEnd w:id="77"/>
    </w:p>
    <w:p>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pPr>
        <w:pStyle w:val="4"/>
        <w:spacing w:before="100" w:after="100" w:line="460" w:lineRule="exact"/>
        <w:rPr>
          <w:rFonts w:ascii="宋体" w:hAnsi="宋体"/>
          <w:snapToGrid w:val="0"/>
          <w:sz w:val="28"/>
          <w:szCs w:val="28"/>
          <w:highlight w:val="none"/>
        </w:rPr>
      </w:pPr>
      <w:bookmarkStart w:id="78" w:name="_Toc31352"/>
      <w:bookmarkStart w:id="79" w:name="_Toc14240"/>
      <w:bookmarkStart w:id="80" w:name="_Toc287620673"/>
      <w:bookmarkStart w:id="81" w:name="_Toc430530422"/>
      <w:bookmarkStart w:id="82" w:name="_Toc509218698"/>
      <w:bookmarkStart w:id="83" w:name="_Toc224103305"/>
      <w:bookmarkStart w:id="84" w:name="_Toc287607734"/>
      <w:bookmarkStart w:id="85" w:name="_Toc277082542"/>
      <w:bookmarkStart w:id="86" w:name="_Toc769"/>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7"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p>
    <w:p>
      <w:pPr>
        <w:spacing w:line="360" w:lineRule="auto"/>
        <w:ind w:firstLine="420" w:firstLineChars="200"/>
        <w:rPr>
          <w:rFonts w:cs="宋体" w:asciiTheme="minorEastAsia" w:hAnsiTheme="minorEastAsia" w:eastAsiaTheme="minorEastAsia"/>
          <w:kern w:val="0"/>
          <w:sz w:val="21"/>
          <w:szCs w:val="21"/>
        </w:rPr>
      </w:pPr>
      <w:bookmarkStart w:id="88" w:name="_Toc287607744"/>
      <w:bookmarkStart w:id="89" w:name="_Toc224103315"/>
      <w:bookmarkStart w:id="90" w:name="_Toc430530432"/>
      <w:bookmarkStart w:id="91" w:name="_Toc287620683"/>
      <w:bookmarkStart w:id="92" w:name="_Toc32148"/>
      <w:r>
        <w:rPr>
          <w:rFonts w:hint="eastAsia" w:cs="宋体" w:asciiTheme="minorEastAsia" w:hAnsiTheme="minorEastAsia" w:eastAsiaTheme="minorEastAsia"/>
          <w:kern w:val="0"/>
          <w:sz w:val="21"/>
          <w:szCs w:val="21"/>
        </w:rPr>
        <w:t>比选人：重庆新汇商实业有限公司</w:t>
      </w:r>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pPr>
        <w:pStyle w:val="18"/>
        <w:rPr>
          <w:rFonts w:ascii="宋体" w:hAnsi="宋体"/>
          <w:snapToGrid w:val="0"/>
          <w:color w:val="auto"/>
          <w:kern w:val="0"/>
          <w:szCs w:val="21"/>
          <w:highlight w:val="none"/>
          <w:u w:val="single"/>
        </w:rPr>
      </w:pPr>
      <w:r>
        <w:rPr>
          <w:rFonts w:hint="eastAsia"/>
          <w:lang w:val="en-US" w:eastAsia="zh-CN"/>
        </w:rPr>
        <w:t xml:space="preserve">    邮  箱：50417679@qq.com</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5</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 xml:space="preserve"> 10</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3"/>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3"/>
        <w:spacing w:line="360" w:lineRule="auto"/>
        <w:jc w:val="center"/>
        <w:rPr>
          <w:rFonts w:ascii="宋体" w:hAnsi="宋体"/>
          <w:bCs w:val="0"/>
          <w:snapToGrid w:val="0"/>
          <w:kern w:val="0"/>
          <w:highlight w:val="none"/>
        </w:rPr>
      </w:pPr>
      <w:bookmarkStart w:id="93" w:name="_Toc22622"/>
      <w:bookmarkStart w:id="94" w:name="_Toc5447"/>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8"/>
      <w:bookmarkEnd w:id="89"/>
      <w:bookmarkEnd w:id="90"/>
      <w:bookmarkEnd w:id="91"/>
      <w:bookmarkEnd w:id="92"/>
      <w:bookmarkEnd w:id="93"/>
      <w:bookmarkEnd w:id="94"/>
      <w:bookmarkStart w:id="95" w:name="_Toc287620684"/>
      <w:bookmarkStart w:id="96" w:name="_Toc277082551"/>
      <w:bookmarkStart w:id="97" w:name="_Toc224103316"/>
      <w:bookmarkStart w:id="98" w:name="_Toc287607745"/>
      <w:bookmarkStart w:id="99" w:name="_Toc430530433"/>
    </w:p>
    <w:p>
      <w:pPr>
        <w:pStyle w:val="4"/>
        <w:spacing w:before="100" w:after="100" w:line="360" w:lineRule="auto"/>
        <w:rPr>
          <w:rFonts w:ascii="宋体" w:hAnsi="宋体"/>
          <w:highlight w:val="none"/>
        </w:rPr>
      </w:pPr>
      <w:bookmarkStart w:id="100" w:name="_Toc31303"/>
      <w:bookmarkStart w:id="101" w:name="_Toc509218708"/>
      <w:bookmarkStart w:id="102" w:name="_Toc8005"/>
      <w:r>
        <w:rPr>
          <w:rFonts w:hint="eastAsia" w:ascii="宋体" w:hAnsi="宋体"/>
          <w:highlight w:val="none"/>
          <w:lang w:eastAsia="zh-CN"/>
        </w:rPr>
        <w:t>竞选人</w:t>
      </w:r>
      <w:r>
        <w:rPr>
          <w:rFonts w:hint="eastAsia" w:ascii="宋体" w:hAnsi="宋体"/>
          <w:highlight w:val="none"/>
        </w:rPr>
        <w:t>须知前附表</w:t>
      </w:r>
      <w:bookmarkEnd w:id="95"/>
      <w:bookmarkEnd w:id="96"/>
      <w:bookmarkEnd w:id="97"/>
      <w:bookmarkEnd w:id="98"/>
      <w:bookmarkEnd w:id="99"/>
      <w:bookmarkEnd w:id="100"/>
      <w:bookmarkEnd w:id="101"/>
      <w:bookmarkEnd w:id="102"/>
    </w:p>
    <w:p>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w:t>
            </w:r>
            <w:r>
              <w:rPr>
                <w:rFonts w:hint="eastAsia" w:ascii="宋体" w:hAnsi="宋体"/>
                <w:color w:val="auto"/>
                <w:kern w:val="0"/>
                <w:szCs w:val="21"/>
                <w:highlight w:val="none"/>
                <w:u w:val="none"/>
                <w:lang w:eastAsia="zh-CN"/>
              </w:rPr>
              <w:t>重庆新汇商实业有限公司</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pPr>
              <w:pStyle w:val="18"/>
            </w:pPr>
            <w:r>
              <w:rPr>
                <w:rFonts w:hint="eastAsia"/>
                <w:lang w:val="en-US" w:eastAsia="zh-CN"/>
              </w:rPr>
              <w:t xml:space="preserve">  邮  箱：50417679@qq.com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迎龙创新港大科园片区维修维护项目施工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lang w:val="en-US" w:eastAsia="zh-CN"/>
              </w:rPr>
              <w:t>经开区</w:t>
            </w:r>
            <w:r>
              <w:rPr>
                <w:rFonts w:hint="default" w:ascii="宋体" w:hAnsi="宋体" w:eastAsia="宋体"/>
                <w:color w:val="auto"/>
                <w:szCs w:val="21"/>
                <w:highlight w:val="none"/>
                <w:lang w:val="en-US" w:eastAsia="zh-CN"/>
              </w:rPr>
              <w:t>迎龙</w:t>
            </w:r>
            <w:r>
              <w:rPr>
                <w:rFonts w:hint="eastAsia" w:ascii="宋体" w:hAnsi="宋体"/>
                <w:color w:val="auto"/>
                <w:szCs w:val="21"/>
                <w:highlight w:val="none"/>
                <w:lang w:val="en-US" w:eastAsia="zh-CN"/>
              </w:rPr>
              <w:t>医药城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迎龙创新港大科园片区共有1栋高层建筑、4栋多层建筑、3个车库，建筑面积约15万平方米。维修单位对园区所属建筑进行维修维护，合同为期一年。维修主要内容包括但不限于如下内容，具体以业主单位委托的维修项目为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1.外墙抹灰层或瓷砖鼓包脱落，恢复处理。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2.房屋外墙雨水管老化漏水，补漏或更换处理。屋面防水处理；雨儿墙防水处理。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3.主排水排污管道疏通及优化改造；雨污水沟、槽、井、窨井清理清掏清运； 4.屋面天沟清掏检查。厨房、卫生间主排污管道锈蚀老化漏水，补漏或更换处理；阳台主排水管锈蚀老化漏水，补漏或更换处理。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5.楼栋自来水主水管漏水，补漏或更换处理。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6.路面、堡坎、围墙修复。窨井盖、铸铁（塑钢、喷塑铁）栏杆等公共设施维护。</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7.因不可抗拒因素造成的房屋损坏等情况的恢复处理。</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8.房屋分隔改变、功能调整及个性化需求等改造、装饰装修。</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0000FF"/>
                <w:kern w:val="0"/>
                <w:szCs w:val="21"/>
                <w:highlight w:val="none"/>
                <w:u w:val="single"/>
                <w:lang w:val="en-US" w:eastAsia="zh-CN"/>
              </w:rPr>
            </w:pPr>
            <w:r>
              <w:rPr>
                <w:rFonts w:hint="eastAsia" w:ascii="宋体" w:hAnsi="宋体"/>
                <w:snapToGrid w:val="0"/>
                <w:color w:val="0000FF"/>
                <w:kern w:val="0"/>
                <w:szCs w:val="21"/>
                <w:highlight w:val="none"/>
                <w:u w:val="single"/>
                <w:lang w:val="en-US" w:eastAsia="zh-CN"/>
              </w:rPr>
              <w:t>9.上述范围的突发应急抢险。</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i/>
                <w:snapToGrid w:val="0"/>
                <w:color w:val="auto"/>
                <w:kern w:val="0"/>
                <w:szCs w:val="21"/>
                <w:highlight w:val="none"/>
                <w:lang w:val="en-US"/>
              </w:rPr>
            </w:pPr>
            <w:r>
              <w:rPr>
                <w:rFonts w:hint="eastAsia" w:ascii="宋体" w:hAnsi="宋体"/>
                <w:snapToGrid w:val="0"/>
                <w:color w:val="0000FF"/>
                <w:kern w:val="0"/>
                <w:szCs w:val="21"/>
                <w:highlight w:val="none"/>
                <w:u w:val="single"/>
                <w:lang w:val="en-US" w:eastAsia="zh-CN"/>
              </w:rPr>
              <w:t xml:space="preserve"> 以上维修内容，具体实施内容以比选人工作指令为准。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color w:val="auto"/>
                <w:szCs w:val="21"/>
                <w:highlight w:val="none"/>
              </w:rPr>
            </w:pPr>
            <w:r>
              <w:rPr>
                <w:rFonts w:hint="eastAsia" w:ascii="宋体" w:hAnsi="宋体"/>
                <w:snapToGrid w:val="0"/>
                <w:color w:val="0000FF"/>
                <w:kern w:val="0"/>
                <w:szCs w:val="21"/>
                <w:highlight w:val="none"/>
                <w:u w:val="single"/>
                <w:lang w:val="en-US" w:eastAsia="zh-CN"/>
              </w:rPr>
              <w:t>迎龙创新港大科园片区共有1栋高层建筑、4栋多层建筑、3个车库，建筑面积约15万平方米。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0000FF"/>
                <w:kern w:val="0"/>
                <w:szCs w:val="21"/>
                <w:highlight w:val="none"/>
                <w:u w:val="single"/>
                <w:lang w:val="en-US" w:eastAsia="zh-CN"/>
              </w:rPr>
              <w:t>365日历天，</w:t>
            </w: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1年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6490" w:type="dxa"/>
            <w:vAlign w:val="center"/>
          </w:tcPr>
          <w:p>
            <w:pPr>
              <w:autoSpaceDE w:val="0"/>
              <w:autoSpaceDN w:val="0"/>
              <w:adjustRightInd w:val="0"/>
              <w:snapToGrid w:val="0"/>
              <w:spacing w:line="400" w:lineRule="exact"/>
              <w:rPr>
                <w:rFonts w:ascii="宋体" w:hAnsi="宋体"/>
                <w:szCs w:val="21"/>
                <w:highlight w:val="none"/>
              </w:rPr>
            </w:pPr>
            <w:bookmarkStart w:id="103"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4" w:name="一是"/>
            <w:bookmarkEnd w:id="104"/>
            <w:r>
              <w:rPr>
                <w:rFonts w:ascii="宋体" w:hAnsi="宋体"/>
                <w:szCs w:val="21"/>
                <w:highlight w:val="none"/>
              </w:rPr>
              <w:t>具备以下资格条件：</w:t>
            </w:r>
          </w:p>
          <w:bookmarkEnd w:id="103"/>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val="en-US" w:eastAsia="zh-CN"/>
              </w:rPr>
              <w:t>建筑工程施工总承包或市政公用工程</w:t>
            </w:r>
            <w:r>
              <w:rPr>
                <w:rFonts w:hint="eastAsia" w:ascii="宋体" w:hAnsi="宋体"/>
                <w:color w:val="auto"/>
                <w:szCs w:val="21"/>
                <w:highlight w:val="none"/>
              </w:rPr>
              <w:t>施工总承包三级及以上资质</w:t>
            </w:r>
            <w:r>
              <w:rPr>
                <w:rFonts w:ascii="宋体" w:hAnsi="宋体" w:eastAsia="宋体" w:cs="宋体"/>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(投标人须在投标文件资格审查部分提供有效的带二维码标识的资质证书复印件)。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）具备有效的营业执照。</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（3）具备建设行政主管部门颁发的有效的安全生产许可证，企业主要负责人、拟担任该项目项目经理具备相应的由建设行政主管部门颁发的有效的安全生产考核合格证书。</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(投标人须在投标文件资格审查部分提供有效的安全生产许可证及安全生产考核合格证书复印件)</w:t>
            </w:r>
          </w:p>
          <w:p>
            <w:pPr>
              <w:spacing w:line="360" w:lineRule="auto"/>
              <w:ind w:firstLine="316" w:firstLineChars="15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2.类似业绩</w:t>
            </w:r>
          </w:p>
          <w:p>
            <w:pPr>
              <w:autoSpaceDE w:val="0"/>
              <w:autoSpaceDN w:val="0"/>
              <w:adjustRightInd w:val="0"/>
              <w:snapToGrid w:val="0"/>
              <w:spacing w:line="400" w:lineRule="exact"/>
              <w:ind w:firstLine="420" w:firstLineChars="200"/>
              <w:rPr>
                <w:rFonts w:ascii="宋体" w:hAnsi="宋体"/>
                <w:strike w:val="0"/>
                <w:dstrike w:val="0"/>
                <w:color w:val="auto"/>
                <w:kern w:val="0"/>
                <w:szCs w:val="21"/>
                <w:highlight w:val="none"/>
              </w:rPr>
            </w:pPr>
            <w:r>
              <w:rPr>
                <w:rFonts w:hint="eastAsia" w:ascii="宋体" w:hAnsi="宋体"/>
                <w:strike w:val="0"/>
                <w:dstrike w:val="0"/>
                <w:color w:val="auto"/>
                <w:kern w:val="0"/>
                <w:szCs w:val="21"/>
                <w:highlight w:val="none"/>
                <w:lang w:val="en-US" w:eastAsia="zh-CN"/>
              </w:rPr>
              <w:t>2.1</w:t>
            </w:r>
            <w:r>
              <w:rPr>
                <w:rFonts w:hint="eastAsia" w:ascii="宋体" w:hAnsi="宋体"/>
                <w:strike w:val="0"/>
                <w:dstrike w:val="0"/>
                <w:color w:val="auto"/>
                <w:kern w:val="0"/>
                <w:szCs w:val="21"/>
                <w:highlight w:val="none"/>
              </w:rPr>
              <w:t>业绩时间要求：</w:t>
            </w:r>
          </w:p>
          <w:p>
            <w:pPr>
              <w:spacing w:line="360" w:lineRule="auto"/>
              <w:ind w:firstLine="315" w:firstLineChars="150"/>
              <w:rPr>
                <w:rFonts w:hint="eastAsia" w:ascii="宋体" w:hAnsi="宋体"/>
                <w:strike w:val="0"/>
                <w:dstrike w:val="0"/>
                <w:color w:val="auto"/>
                <w:szCs w:val="21"/>
                <w:highlight w:val="none"/>
              </w:rPr>
            </w:pP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年1月1日至</w:t>
            </w:r>
            <w:r>
              <w:rPr>
                <w:rFonts w:hint="eastAsia" w:ascii="宋体" w:hAnsi="宋体"/>
                <w:strike w:val="0"/>
                <w:dstrike w:val="0"/>
                <w:color w:val="auto"/>
                <w:szCs w:val="21"/>
                <w:highlight w:val="none"/>
              </w:rPr>
              <w:t>投标截止日止（以竣工时间为准）</w:t>
            </w:r>
            <w:r>
              <w:rPr>
                <w:rFonts w:hint="eastAsia" w:ascii="宋体" w:hAnsi="宋体"/>
                <w:strike w:val="0"/>
                <w:dstrike w:val="0"/>
                <w:color w:val="auto"/>
                <w:szCs w:val="21"/>
                <w:highlight w:val="none"/>
                <w:lang w:val="en-US" w:eastAsia="zh-CN"/>
              </w:rPr>
              <w:t>完成</w:t>
            </w:r>
            <w:r>
              <w:rPr>
                <w:rFonts w:hint="eastAsia" w:ascii="宋体" w:hAnsi="宋体"/>
                <w:strike w:val="0"/>
                <w:dstrike w:val="0"/>
                <w:color w:val="auto"/>
                <w:szCs w:val="21"/>
                <w:highlight w:val="none"/>
              </w:rPr>
              <w:t>的</w:t>
            </w:r>
            <w:r>
              <w:rPr>
                <w:rFonts w:hint="eastAsia" w:ascii="宋体" w:hAnsi="宋体"/>
                <w:strike w:val="0"/>
                <w:dstrike w:val="0"/>
                <w:color w:val="auto"/>
                <w:szCs w:val="21"/>
                <w:highlight w:val="none"/>
                <w:lang w:val="en-US" w:eastAsia="zh-CN"/>
              </w:rPr>
              <w:t>3</w:t>
            </w:r>
            <w:r>
              <w:rPr>
                <w:rFonts w:hint="eastAsia" w:ascii="宋体" w:hAnsi="宋体"/>
                <w:strike w:val="0"/>
                <w:dstrike w:val="0"/>
                <w:color w:val="auto"/>
                <w:szCs w:val="21"/>
                <w:highlight w:val="none"/>
              </w:rPr>
              <w:t>个类似项目业绩。</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lang w:val="en-US" w:eastAsia="zh-CN"/>
              </w:rPr>
              <w:t>2</w:t>
            </w:r>
            <w:r>
              <w:rPr>
                <w:rFonts w:hint="eastAsia" w:ascii="宋体" w:hAnsi="宋体"/>
                <w:strike w:val="0"/>
                <w:dstrike w:val="0"/>
                <w:color w:val="auto"/>
                <w:szCs w:val="21"/>
                <w:highlight w:val="none"/>
              </w:rPr>
              <w:t>.2业绩规模要求：</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u w:val="single"/>
              </w:rPr>
            </w:pPr>
            <w:r>
              <w:rPr>
                <w:rFonts w:hint="eastAsia" w:ascii="宋体" w:hAnsi="宋体"/>
                <w:strike w:val="0"/>
                <w:dstrike w:val="0"/>
                <w:color w:val="auto"/>
                <w:szCs w:val="21"/>
                <w:highlight w:val="none"/>
              </w:rPr>
              <w:t>工程类别：</w:t>
            </w:r>
            <w:r>
              <w:rPr>
                <w:rFonts w:hint="eastAsia" w:ascii="宋体" w:hAnsi="宋体"/>
                <w:strike w:val="0"/>
                <w:dstrike w:val="0"/>
                <w:color w:val="auto"/>
                <w:szCs w:val="21"/>
                <w:highlight w:val="none"/>
                <w:u w:val="single"/>
                <w:lang w:val="en-US" w:eastAsia="zh-CN"/>
              </w:rPr>
              <w:t>建筑工程或维修维护项目</w:t>
            </w:r>
            <w:r>
              <w:rPr>
                <w:rFonts w:hint="eastAsia" w:ascii="宋体" w:hAnsi="宋体"/>
                <w:strike w:val="0"/>
                <w:dstrike w:val="0"/>
                <w:color w:val="auto"/>
                <w:szCs w:val="21"/>
                <w:highlight w:val="none"/>
                <w:u w:val="single"/>
              </w:rPr>
              <w:t xml:space="preserve"> </w:t>
            </w:r>
          </w:p>
          <w:p>
            <w:pPr>
              <w:autoSpaceDE w:val="0"/>
              <w:autoSpaceDN w:val="0"/>
              <w:adjustRightInd w:val="0"/>
              <w:snapToGrid w:val="0"/>
              <w:spacing w:line="400" w:lineRule="exact"/>
              <w:ind w:firstLine="420" w:firstLineChars="200"/>
              <w:rPr>
                <w:rFonts w:ascii="宋体" w:hAnsi="宋体"/>
                <w:strike w:val="0"/>
                <w:dstrike w:val="0"/>
                <w:color w:val="auto"/>
                <w:szCs w:val="21"/>
                <w:highlight w:val="none"/>
              </w:rPr>
            </w:pPr>
            <w:r>
              <w:rPr>
                <w:rFonts w:hint="eastAsia" w:ascii="宋体" w:hAnsi="宋体"/>
                <w:strike w:val="0"/>
                <w:dstrike w:val="0"/>
                <w:color w:val="auto"/>
                <w:szCs w:val="21"/>
                <w:highlight w:val="none"/>
              </w:rPr>
              <w:t>若同时设置了工程造价和工程规模要求，则只须满足其中之一:</w:t>
            </w:r>
          </w:p>
          <w:p>
            <w:pPr>
              <w:autoSpaceDE w:val="0"/>
              <w:autoSpaceDN w:val="0"/>
              <w:adjustRightInd w:val="0"/>
              <w:snapToGrid w:val="0"/>
              <w:spacing w:line="400" w:lineRule="exact"/>
              <w:ind w:firstLine="420" w:firstLineChars="200"/>
              <w:rPr>
                <w:rFonts w:hint="eastAsia"/>
              </w:rPr>
            </w:pPr>
            <w:r>
              <w:rPr>
                <w:rFonts w:hint="eastAsia" w:ascii="宋体" w:hAnsi="宋体"/>
                <w:strike w:val="0"/>
                <w:dstrike w:val="0"/>
                <w:color w:val="auto"/>
                <w:szCs w:val="21"/>
                <w:highlight w:val="none"/>
                <w:lang w:eastAsia="zh-CN"/>
              </w:rPr>
              <w:t>☑</w:t>
            </w:r>
            <w:r>
              <w:rPr>
                <w:rFonts w:hint="eastAsia" w:ascii="宋体" w:hAnsi="宋体"/>
                <w:strike w:val="0"/>
                <w:dstrike w:val="0"/>
                <w:color w:val="auto"/>
                <w:szCs w:val="21"/>
                <w:highlight w:val="none"/>
              </w:rPr>
              <w:t>工程造价：</w:t>
            </w:r>
            <w:r>
              <w:rPr>
                <w:rFonts w:hint="eastAsia" w:ascii="宋体" w:hAnsi="宋体"/>
                <w:strike w:val="0"/>
                <w:dstrike w:val="0"/>
                <w:color w:val="auto"/>
                <w:szCs w:val="21"/>
                <w:highlight w:val="none"/>
                <w:u w:val="single"/>
              </w:rPr>
              <w:t xml:space="preserve"> 合同金额</w:t>
            </w:r>
            <w:r>
              <w:rPr>
                <w:rFonts w:hint="eastAsia" w:ascii="宋体" w:hAnsi="宋体"/>
                <w:strike w:val="0"/>
                <w:dstrike w:val="0"/>
                <w:color w:val="auto"/>
                <w:szCs w:val="21"/>
                <w:highlight w:val="none"/>
                <w:u w:val="single"/>
                <w:lang w:val="en-US" w:eastAsia="zh-CN"/>
              </w:rPr>
              <w:t>20</w:t>
            </w:r>
            <w:r>
              <w:rPr>
                <w:rFonts w:hint="eastAsia" w:ascii="宋体" w:hAnsi="宋体"/>
                <w:strike w:val="0"/>
                <w:dstrike w:val="0"/>
                <w:color w:val="auto"/>
                <w:szCs w:val="21"/>
                <w:highlight w:val="none"/>
                <w:u w:val="single"/>
              </w:rPr>
              <w:t xml:space="preserve">万元及以上 </w:t>
            </w:r>
          </w:p>
          <w:p>
            <w:pPr>
              <w:spacing w:line="360" w:lineRule="auto"/>
              <w:ind w:firstLine="315" w:firstLineChars="1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投标人须在投标文件资格审查部分提供业绩合同复印件</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若上述资料无法体现工程规模的，还须提供业主证明。</w:t>
            </w:r>
            <w:r>
              <w:rPr>
                <w:rFonts w:hint="eastAsia" w:asciiTheme="minorEastAsia" w:hAnsiTheme="minorEastAsia" w:eastAsiaTheme="minorEastAsia" w:cstheme="minorEastAsia"/>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.投标截止日投标资格情况</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.项目经理资格要求</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拟派的项目经理必须已在投标人本单位注册并应具有</w:t>
            </w:r>
            <w:r>
              <w:rPr>
                <w:rFonts w:hint="eastAsia" w:asciiTheme="minorEastAsia" w:hAnsiTheme="minorEastAsia" w:eastAsiaTheme="minorEastAsia" w:cstheme="minorEastAsia"/>
                <w:sz w:val="21"/>
                <w:szCs w:val="21"/>
                <w:u w:val="single"/>
                <w:lang w:val="en-US" w:eastAsia="zh-CN"/>
              </w:rPr>
              <w:t>建筑工程或</w:t>
            </w:r>
            <w:r>
              <w:rPr>
                <w:rFonts w:hint="eastAsia" w:eastAsiaTheme="minorEastAsia"/>
                <w:color w:val="auto"/>
                <w:szCs w:val="21"/>
                <w:highlight w:val="none"/>
                <w:u w:val="single"/>
                <w:lang w:val="en-US" w:eastAsia="zh-CN"/>
              </w:rPr>
              <w:t>市政公用工程</w:t>
            </w:r>
            <w:r>
              <w:rPr>
                <w:rFonts w:hint="eastAsia"/>
                <w:color w:val="auto"/>
                <w:szCs w:val="21"/>
                <w:highlight w:val="none"/>
                <w:u w:val="single"/>
              </w:rPr>
              <w:t xml:space="preserve">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Theme="minorEastAsia" w:hAnsiTheme="minorEastAsia" w:eastAsiaTheme="minorEastAsia" w:cstheme="minorEastAsia"/>
                <w:sz w:val="21"/>
                <w:szCs w:val="21"/>
              </w:rPr>
              <w:t>，应为投标人本单位人员，</w:t>
            </w:r>
            <w:r>
              <w:rPr>
                <w:rFonts w:hint="eastAsia" w:asciiTheme="minorEastAsia" w:hAnsiTheme="minorEastAsia" w:eastAsiaTheme="minorEastAsia" w:cstheme="minorEastAsia"/>
                <w:b/>
                <w:bCs/>
                <w:sz w:val="21"/>
                <w:szCs w:val="21"/>
              </w:rPr>
              <w:t>并做出项目经理到岗履职的承诺</w:t>
            </w:r>
            <w:r>
              <w:rPr>
                <w:rFonts w:hint="eastAsia" w:asciiTheme="minorEastAsia" w:hAnsiTheme="minorEastAsia" w:eastAsiaTheme="minorEastAsia" w:cstheme="minorEastAsia"/>
                <w:sz w:val="21"/>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比选保证金不予退还，给比选人造成损失的，投标人依法承担违约赔偿责任），否则由评标委员会作否决投标处理。</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拟派项目经理中标后不得随意更换。</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同时，投标人须在投标文件资格审查部分提供拟派项目经理</w:t>
            </w:r>
            <w:r>
              <w:rPr>
                <w:rFonts w:hint="eastAsia" w:asciiTheme="minorEastAsia" w:hAnsiTheme="minorEastAsia" w:eastAsiaTheme="minorEastAsia" w:cstheme="minorEastAsia"/>
                <w:b/>
                <w:bCs/>
                <w:sz w:val="21"/>
                <w:szCs w:val="21"/>
                <w:lang w:val="en-US" w:eastAsia="zh-CN"/>
              </w:rPr>
              <w:t>注册证书</w:t>
            </w:r>
            <w:r>
              <w:rPr>
                <w:rFonts w:hint="eastAsia" w:asciiTheme="minorEastAsia" w:hAnsiTheme="minorEastAsia" w:eastAsiaTheme="minorEastAsia" w:cstheme="minorEastAsia"/>
                <w:b/>
                <w:bCs/>
                <w:sz w:val="21"/>
                <w:szCs w:val="21"/>
              </w:rPr>
              <w:t>、身份证、投标人本单位为其缴纳的养老保险证明材料复印件，拟派项目经理到岗履职和未被禁标的承诺原件。</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eastAsiaTheme="minorEastAsia" w:cstheme="minorEastAsia"/>
                <w:b/>
                <w:bCs/>
                <w:sz w:val="21"/>
                <w:szCs w:val="21"/>
              </w:rPr>
              <w:t>.其他人员要求</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）主要管理人员：</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hint="eastAsia" w:asciiTheme="minorEastAsia" w:hAnsiTheme="minorEastAsia" w:eastAsiaTheme="minorEastAsia" w:cstheme="minorEastAsia"/>
                <w:b/>
                <w:bCs/>
                <w:sz w:val="21"/>
                <w:szCs w:val="21"/>
              </w:rPr>
              <w:t>投标人须在投标文件中附承诺函（格式自拟）。</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）委托代理人：</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（1）以上1～4条，有一条不满足，则投标文件由评标委员会作否决投标处理。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月的连续养老保险。</w:t>
            </w:r>
          </w:p>
          <w:p>
            <w:pPr>
              <w:spacing w:line="400" w:lineRule="exact"/>
              <w:ind w:firstLine="420" w:firstLineChars="200"/>
              <w:rPr>
                <w:rFonts w:ascii="宋体" w:hAnsi="宋体"/>
                <w:bCs/>
                <w:snapToGrid w:val="0"/>
                <w:kern w:val="0"/>
                <w:szCs w:val="21"/>
                <w:highlight w:val="none"/>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5</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15</w:t>
            </w:r>
            <w:r>
              <w:rPr>
                <w:rFonts w:hint="eastAsia" w:asciiTheme="minorEastAsia" w:hAnsiTheme="minorEastAsia" w:eastAsiaTheme="minorEastAsia" w:cstheme="minorEastAsia"/>
                <w:snapToGrid w:val="0"/>
                <w:kern w:val="0"/>
                <w:sz w:val="21"/>
                <w:szCs w:val="21"/>
              </w:rPr>
              <w:t>日 12:00  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spacing w:line="360" w:lineRule="auto"/>
              <w:ind w:firstLine="420" w:firstLineChars="200"/>
              <w:rPr>
                <w:rFonts w:hint="default" w:asciiTheme="minorEastAsia" w:hAnsiTheme="minorEastAsia" w:eastAsiaTheme="minorEastAsia" w:cstheme="minorEastAsia"/>
                <w:snapToGrid w:val="0"/>
                <w:color w:val="0000FF"/>
                <w:kern w:val="0"/>
                <w:sz w:val="21"/>
                <w:szCs w:val="21"/>
                <w:lang w:val="en-US" w:eastAsia="zh-CN"/>
              </w:rPr>
            </w:pPr>
            <w:r>
              <w:rPr>
                <w:rFonts w:hint="eastAsia" w:asciiTheme="minorEastAsia" w:hAnsiTheme="minorEastAsia" w:eastAsiaTheme="minorEastAsia" w:cstheme="minorEastAsia"/>
                <w:snapToGrid w:val="0"/>
                <w:color w:val="0000FF"/>
                <w:kern w:val="0"/>
                <w:sz w:val="21"/>
                <w:szCs w:val="21"/>
                <w:lang w:val="en-US" w:eastAsia="zh-CN"/>
              </w:rPr>
              <w:t>固定费率报价，费率最高限价为80%。</w:t>
            </w:r>
          </w:p>
          <w:p>
            <w:pPr>
              <w:spacing w:line="360" w:lineRule="auto"/>
              <w:ind w:firstLine="420" w:firstLineChars="200"/>
            </w:pPr>
            <w:r>
              <w:rPr>
                <w:rFonts w:hint="eastAsia" w:asciiTheme="minorEastAsia" w:hAnsiTheme="minorEastAsia" w:eastAsiaTheme="minorEastAsia" w:cstheme="minorEastAsia"/>
                <w:snapToGrid w:val="0"/>
                <w:color w:val="0000FF"/>
                <w:kern w:val="0"/>
                <w:sz w:val="21"/>
                <w:szCs w:val="21"/>
              </w:rPr>
              <w:t>报价原则：投标报价</w:t>
            </w:r>
            <w:r>
              <w:rPr>
                <w:rFonts w:hint="eastAsia" w:asciiTheme="minorEastAsia" w:hAnsiTheme="minorEastAsia" w:eastAsiaTheme="minorEastAsia" w:cstheme="minorEastAsia"/>
                <w:snapToGrid w:val="0"/>
                <w:color w:val="0000FF"/>
                <w:kern w:val="0"/>
                <w:sz w:val="21"/>
                <w:szCs w:val="21"/>
                <w:lang w:val="en-US" w:eastAsia="zh-CN"/>
              </w:rPr>
              <w:t>费率</w:t>
            </w:r>
            <w:r>
              <w:rPr>
                <w:rFonts w:hint="eastAsia" w:asciiTheme="minorEastAsia" w:hAnsiTheme="minorEastAsia" w:eastAsiaTheme="minorEastAsia" w:cstheme="minorEastAsia"/>
                <w:snapToGrid w:val="0"/>
                <w:color w:val="0000FF"/>
                <w:kern w:val="0"/>
                <w:sz w:val="21"/>
                <w:szCs w:val="21"/>
              </w:rPr>
              <w:t>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3.4</w:t>
            </w:r>
          </w:p>
        </w:tc>
        <w:tc>
          <w:tcPr>
            <w:tcW w:w="1644" w:type="dxa"/>
            <w:vAlign w:val="center"/>
          </w:tcPr>
          <w:p>
            <w:pPr>
              <w:snapToGrid w:val="0"/>
              <w:spacing w:line="400" w:lineRule="exact"/>
              <w:jc w:val="center"/>
              <w:rPr>
                <w:rFonts w:ascii="宋体" w:hAnsi="宋体" w:eastAsia="宋体" w:cs="Times New Roman"/>
                <w:color w:val="auto"/>
                <w:kern w:val="0"/>
                <w:sz w:val="21"/>
                <w:szCs w:val="21"/>
                <w:highlight w:val="none"/>
                <w:lang w:val="en-US" w:eastAsia="zh-CN" w:bidi="ar-SA"/>
              </w:rPr>
            </w:pPr>
            <w:r>
              <w:rPr>
                <w:rFonts w:ascii="宋体" w:hAnsi="宋体"/>
                <w:color w:val="auto"/>
                <w:kern w:val="0"/>
                <w:szCs w:val="21"/>
                <w:highlight w:val="none"/>
              </w:rPr>
              <w:t>投标保证金</w:t>
            </w:r>
          </w:p>
        </w:tc>
        <w:tc>
          <w:tcPr>
            <w:tcW w:w="6490" w:type="dxa"/>
            <w:vAlign w:val="center"/>
          </w:tcPr>
          <w:p>
            <w:pPr>
              <w:ind w:firstLine="420" w:firstLineChars="200"/>
              <w:rPr>
                <w:rFonts w:hint="eastAsia"/>
                <w:color w:val="auto"/>
                <w:highlight w:val="none"/>
              </w:rPr>
            </w:pPr>
            <w:r>
              <w:rPr>
                <w:rFonts w:hint="eastAsia"/>
                <w:color w:val="auto"/>
                <w:highlight w:val="none"/>
                <w:lang w:val="en-US" w:eastAsia="zh-CN"/>
              </w:rPr>
              <w:t>方式</w:t>
            </w:r>
            <w:r>
              <w:rPr>
                <w:rFonts w:hint="eastAsia"/>
                <w:color w:val="auto"/>
                <w:highlight w:val="none"/>
              </w:rPr>
              <w:t>一</w:t>
            </w:r>
            <w:r>
              <w:rPr>
                <w:rFonts w:hint="eastAsia"/>
                <w:color w:val="auto"/>
                <w:highlight w:val="none"/>
                <w:lang w:eastAsia="zh-CN"/>
              </w:rPr>
              <w:t>：</w:t>
            </w:r>
            <w:r>
              <w:rPr>
                <w:rFonts w:hint="eastAsia"/>
                <w:color w:val="auto"/>
                <w:highlight w:val="none"/>
              </w:rPr>
              <w:t>以转账形式交纳投标保证金</w:t>
            </w:r>
          </w:p>
          <w:p>
            <w:pPr>
              <w:ind w:firstLine="420" w:firstLineChars="200"/>
              <w:rPr>
                <w:rFonts w:hint="eastAsia"/>
                <w:color w:val="auto"/>
                <w:highlight w:val="none"/>
              </w:rPr>
            </w:pPr>
            <w:r>
              <w:rPr>
                <w:rFonts w:hint="eastAsia"/>
                <w:color w:val="auto"/>
                <w:highlight w:val="none"/>
              </w:rPr>
              <w:t>1、投标保证金交款形式及要求：投标人从企业的基本账户（开户行）在</w:t>
            </w:r>
            <w:r>
              <w:rPr>
                <w:rFonts w:hint="eastAsia"/>
                <w:color w:val="auto"/>
                <w:highlight w:val="none"/>
                <w:lang w:val="en-US" w:eastAsia="zh-CN"/>
              </w:rPr>
              <w:t>投标截止时间</w:t>
            </w:r>
            <w:r>
              <w:rPr>
                <w:rFonts w:hint="eastAsia"/>
                <w:color w:val="auto"/>
                <w:highlight w:val="none"/>
              </w:rPr>
              <w:t>前通过转账方式直接划付至下面指定的投标保证金账户。不满足上述要求的投标保证金无效。</w:t>
            </w:r>
          </w:p>
          <w:p>
            <w:pPr>
              <w:ind w:firstLine="420" w:firstLineChars="200"/>
              <w:rPr>
                <w:rFonts w:hint="eastAsia"/>
                <w:color w:val="auto"/>
                <w:highlight w:val="none"/>
              </w:rPr>
            </w:pPr>
            <w:r>
              <w:rPr>
                <w:rFonts w:hint="eastAsia"/>
                <w:color w:val="auto"/>
                <w:highlight w:val="none"/>
                <w:lang w:val="en-US" w:eastAsia="zh-CN"/>
              </w:rPr>
              <w:t>实际到账时间：以投标保证金账户显示的到账时间为准；</w:t>
            </w:r>
            <w:r>
              <w:rPr>
                <w:rFonts w:hint="eastAsia"/>
                <w:color w:val="auto"/>
                <w:highlight w:val="none"/>
              </w:rPr>
              <w:t>投标人自行考虑汇入时间风险，如同城汇入、异地汇入、跨行汇入的时间要求。</w:t>
            </w:r>
          </w:p>
          <w:p>
            <w:pPr>
              <w:ind w:firstLine="420" w:firstLineChars="200"/>
              <w:rPr>
                <w:rFonts w:hint="eastAsia"/>
                <w:color w:val="auto"/>
                <w:highlight w:val="none"/>
              </w:rPr>
            </w:pPr>
            <w:r>
              <w:rPr>
                <w:rFonts w:hint="eastAsia"/>
                <w:color w:val="auto"/>
                <w:highlight w:val="none"/>
              </w:rPr>
              <w:t>2、以转账形式提交投标保证金的金额：</w:t>
            </w:r>
            <w:r>
              <w:rPr>
                <w:rFonts w:hint="eastAsia"/>
                <w:color w:val="auto"/>
                <w:highlight w:val="none"/>
                <w:lang w:val="en-US" w:eastAsia="zh-CN"/>
              </w:rPr>
              <w:t>1</w:t>
            </w:r>
            <w:r>
              <w:rPr>
                <w:rFonts w:hint="eastAsia"/>
                <w:color w:val="auto"/>
                <w:highlight w:val="none"/>
              </w:rPr>
              <w:t>万元整（人民币）。</w:t>
            </w:r>
          </w:p>
          <w:p>
            <w:pPr>
              <w:ind w:firstLine="420" w:firstLineChars="200"/>
              <w:rPr>
                <w:rFonts w:hint="eastAsia"/>
                <w:color w:val="auto"/>
                <w:highlight w:val="none"/>
              </w:rPr>
            </w:pPr>
            <w:r>
              <w:rPr>
                <w:rFonts w:hint="eastAsia"/>
                <w:color w:val="auto"/>
                <w:highlight w:val="none"/>
              </w:rPr>
              <w:t>3、投标保证金账户及账号（任选其一）：</w:t>
            </w:r>
          </w:p>
          <w:p>
            <w:pPr>
              <w:ind w:firstLine="420" w:firstLineChars="200"/>
              <w:rPr>
                <w:rFonts w:hint="eastAsia"/>
                <w:color w:val="auto"/>
                <w:highlight w:val="none"/>
                <w:lang w:val="en-US" w:eastAsia="zh-CN"/>
              </w:rPr>
            </w:pPr>
            <w:r>
              <w:rPr>
                <w:rFonts w:hint="eastAsia"/>
                <w:color w:val="auto"/>
                <w:highlight w:val="none"/>
                <w:lang w:val="en-US" w:eastAsia="zh-CN"/>
              </w:rPr>
              <w:t xml:space="preserve">户  名：重庆新汇商实业有限公司     </w:t>
            </w:r>
          </w:p>
          <w:p>
            <w:pPr>
              <w:ind w:firstLine="420" w:firstLineChars="200"/>
              <w:rPr>
                <w:rFonts w:hint="eastAsia"/>
                <w:color w:val="auto"/>
                <w:highlight w:val="none"/>
                <w:lang w:val="en-US" w:eastAsia="zh-CN"/>
              </w:rPr>
            </w:pPr>
            <w:r>
              <w:rPr>
                <w:rFonts w:hint="eastAsia"/>
                <w:color w:val="auto"/>
                <w:highlight w:val="none"/>
                <w:lang w:val="en-US" w:eastAsia="zh-CN"/>
              </w:rPr>
              <w:t xml:space="preserve">开户行：招商银行南岸支行 </w:t>
            </w:r>
          </w:p>
          <w:p>
            <w:pPr>
              <w:ind w:firstLine="420" w:firstLineChars="200"/>
              <w:rPr>
                <w:rFonts w:hint="eastAsia"/>
                <w:color w:val="auto"/>
                <w:highlight w:val="none"/>
                <w:lang w:val="en-US" w:eastAsia="zh-CN"/>
              </w:rPr>
            </w:pPr>
            <w:r>
              <w:rPr>
                <w:rFonts w:hint="eastAsia"/>
                <w:color w:val="auto"/>
                <w:highlight w:val="none"/>
                <w:lang w:val="en-US" w:eastAsia="zh-CN"/>
              </w:rPr>
              <w:t>账  号：123905136510401</w:t>
            </w:r>
          </w:p>
          <w:p>
            <w:pPr>
              <w:ind w:firstLine="420" w:firstLineChars="200"/>
              <w:rPr>
                <w:rFonts w:hint="eastAsia"/>
                <w:color w:val="auto"/>
                <w:highlight w:val="none"/>
              </w:rPr>
            </w:pPr>
            <w:r>
              <w:rPr>
                <w:rFonts w:hint="eastAsia"/>
                <w:color w:val="auto"/>
                <w:highlight w:val="none"/>
              </w:rPr>
              <w:t>投标人须在投标文件资格审查部分“其他资料”中提供企业基本账户开户证明文件。</w:t>
            </w:r>
          </w:p>
          <w:p>
            <w:pPr>
              <w:ind w:firstLine="420" w:firstLineChars="200"/>
              <w:rPr>
                <w:rFonts w:hint="eastAsia"/>
                <w:color w:val="auto"/>
                <w:highlight w:val="none"/>
              </w:rPr>
            </w:pPr>
            <w:r>
              <w:rPr>
                <w:rFonts w:hint="eastAsia"/>
                <w:color w:val="auto"/>
                <w:highlight w:val="none"/>
              </w:rPr>
              <w:t>4、投标人必须在付款凭证备注栏中注明是</w:t>
            </w:r>
            <w:r>
              <w:rPr>
                <w:rFonts w:hint="eastAsia"/>
                <w:color w:val="auto"/>
                <w:highlight w:val="none"/>
                <w:lang w:val="en-US" w:eastAsia="zh-CN"/>
              </w:rPr>
              <w:t>“ XXX项目投标保证金”。</w:t>
            </w:r>
          </w:p>
          <w:p>
            <w:pPr>
              <w:ind w:firstLine="420" w:firstLineChars="200"/>
              <w:rPr>
                <w:rFonts w:hint="eastAsia"/>
                <w:color w:val="auto"/>
                <w:highlight w:val="none"/>
              </w:rPr>
            </w:pPr>
            <w:r>
              <w:rPr>
                <w:rFonts w:hint="eastAsia"/>
                <w:color w:val="auto"/>
                <w:highlight w:val="none"/>
              </w:rPr>
              <w:t>5、投标保证金有效期与投标有效期一致。</w:t>
            </w:r>
          </w:p>
          <w:p>
            <w:pPr>
              <w:ind w:firstLine="420" w:firstLineChars="200"/>
              <w:rPr>
                <w:rFonts w:hint="eastAsia"/>
                <w:color w:val="auto"/>
                <w:highlight w:val="none"/>
              </w:rPr>
            </w:pPr>
            <w:r>
              <w:rPr>
                <w:rFonts w:hint="eastAsia"/>
                <w:color w:val="auto"/>
                <w:highlight w:val="none"/>
              </w:rPr>
              <w:t>6、评标过程中由评标委员会根据投标人在投标文件中提供的企业基本账户开户证明文件核实其投标保证金是否由基本账户转入，未从基本账户转入的，由评标委员会作否决投标处理。</w:t>
            </w:r>
          </w:p>
          <w:p>
            <w:pPr>
              <w:ind w:firstLine="420" w:firstLineChars="200"/>
              <w:rPr>
                <w:rFonts w:hint="eastAsia"/>
                <w:color w:val="auto"/>
                <w:highlight w:val="none"/>
              </w:rPr>
            </w:pPr>
            <w:r>
              <w:rPr>
                <w:rFonts w:hint="eastAsia"/>
                <w:color w:val="auto"/>
                <w:highlight w:val="none"/>
              </w:rPr>
              <w:t>二、投标保证金的退还</w:t>
            </w:r>
          </w:p>
          <w:p>
            <w:pPr>
              <w:ind w:firstLine="420" w:firstLineChars="200"/>
              <w:rPr>
                <w:rFonts w:hint="eastAsia"/>
                <w:color w:val="auto"/>
                <w:highlight w:val="none"/>
              </w:rPr>
            </w:pPr>
            <w:r>
              <w:rPr>
                <w:rFonts w:hint="eastAsia"/>
                <w:color w:val="auto"/>
                <w:highlight w:val="none"/>
              </w:rPr>
              <w:t>招标人在中标通知书发出后</w:t>
            </w:r>
            <w:r>
              <w:rPr>
                <w:rFonts w:hint="eastAsia"/>
                <w:color w:val="auto"/>
                <w:highlight w:val="none"/>
                <w:lang w:val="en-US" w:eastAsia="zh-CN"/>
              </w:rPr>
              <w:t>15</w:t>
            </w:r>
            <w:r>
              <w:rPr>
                <w:rFonts w:hint="eastAsia"/>
                <w:color w:val="auto"/>
                <w:highlight w:val="none"/>
              </w:rPr>
              <w:t>个工作日内，退还向除中标人和中标候选人以外的投标人</w:t>
            </w:r>
            <w:r>
              <w:rPr>
                <w:rFonts w:hint="eastAsia"/>
                <w:color w:val="auto"/>
                <w:highlight w:val="none"/>
                <w:lang w:val="en-US" w:eastAsia="zh-CN"/>
              </w:rPr>
              <w:t>的</w:t>
            </w:r>
            <w:r>
              <w:rPr>
                <w:rFonts w:hint="eastAsia"/>
                <w:color w:val="auto"/>
                <w:highlight w:val="none"/>
              </w:rPr>
              <w:t>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pPr>
              <w:ind w:firstLine="420" w:firstLineChars="200"/>
              <w:rPr>
                <w:rFonts w:hint="eastAsia"/>
                <w:color w:val="auto"/>
                <w:highlight w:val="none"/>
              </w:rPr>
            </w:pPr>
            <w:r>
              <w:rPr>
                <w:rFonts w:hint="eastAsia"/>
                <w:color w:val="auto"/>
                <w:highlight w:val="none"/>
              </w:rPr>
              <w:t>招标人和中标人签订合同</w:t>
            </w:r>
            <w:r>
              <w:rPr>
                <w:rFonts w:hint="eastAsia"/>
                <w:color w:val="auto"/>
                <w:highlight w:val="none"/>
                <w:lang w:val="en-US" w:eastAsia="zh-CN"/>
              </w:rPr>
              <w:t>后</w:t>
            </w:r>
            <w:r>
              <w:rPr>
                <w:rFonts w:hint="eastAsia"/>
                <w:color w:val="auto"/>
                <w:highlight w:val="none"/>
                <w:lang w:eastAsia="zh-CN"/>
              </w:rPr>
              <w:t>，</w:t>
            </w:r>
            <w:r>
              <w:rPr>
                <w:rFonts w:hint="eastAsia"/>
                <w:color w:val="auto"/>
                <w:highlight w:val="none"/>
              </w:rPr>
              <w:t>当在合同生效后</w:t>
            </w:r>
            <w:r>
              <w:rPr>
                <w:rFonts w:hint="eastAsia"/>
                <w:color w:val="auto"/>
                <w:highlight w:val="none"/>
                <w:lang w:val="en-US" w:eastAsia="zh-CN"/>
              </w:rPr>
              <w:t>15</w:t>
            </w:r>
            <w:r>
              <w:rPr>
                <w:rFonts w:hint="eastAsia"/>
                <w:color w:val="auto"/>
                <w:highlight w:val="none"/>
              </w:rPr>
              <w:t>个工作日内</w:t>
            </w:r>
            <w:r>
              <w:rPr>
                <w:rFonts w:hint="eastAsia"/>
                <w:color w:val="auto"/>
                <w:highlight w:val="none"/>
                <w:lang w:eastAsia="zh-CN"/>
              </w:rPr>
              <w:t>，</w:t>
            </w:r>
            <w:r>
              <w:rPr>
                <w:rFonts w:hint="eastAsia"/>
                <w:color w:val="auto"/>
                <w:highlight w:val="none"/>
              </w:rPr>
              <w:t>向中标人和中标候选人退还投标保证金</w:t>
            </w:r>
            <w:r>
              <w:rPr>
                <w:rFonts w:hint="eastAsia"/>
                <w:color w:val="auto"/>
                <w:highlight w:val="none"/>
                <w:lang w:eastAsia="zh-CN"/>
              </w:rPr>
              <w:t>（</w:t>
            </w:r>
            <w:r>
              <w:rPr>
                <w:rFonts w:hint="eastAsia"/>
                <w:color w:val="auto"/>
                <w:highlight w:val="none"/>
                <w:lang w:val="en-US" w:eastAsia="zh-CN"/>
              </w:rPr>
              <w:t>不计息</w:t>
            </w:r>
            <w:r>
              <w:rPr>
                <w:rFonts w:hint="eastAsia"/>
                <w:color w:val="auto"/>
                <w:highlight w:val="none"/>
                <w:lang w:eastAsia="zh-CN"/>
              </w:rPr>
              <w:t>）</w:t>
            </w:r>
            <w:r>
              <w:rPr>
                <w:rFonts w:hint="eastAsia"/>
                <w:color w:val="auto"/>
                <w:highlight w:val="none"/>
              </w:rPr>
              <w:t>。</w:t>
            </w:r>
          </w:p>
          <w:p>
            <w:pPr>
              <w:snapToGrid w:val="0"/>
              <w:spacing w:line="400" w:lineRule="exact"/>
              <w:ind w:firstLine="420" w:firstLineChars="200"/>
              <w:rPr>
                <w:rFonts w:hint="eastAsia"/>
                <w:color w:val="auto"/>
                <w:highlight w:val="none"/>
                <w:lang w:val="en-US" w:eastAsia="zh-CN"/>
              </w:rPr>
            </w:pPr>
            <w:r>
              <w:rPr>
                <w:rFonts w:hint="eastAsia"/>
                <w:color w:val="auto"/>
                <w:highlight w:val="none"/>
                <w:lang w:val="en-US" w:eastAsia="zh-CN"/>
              </w:rPr>
              <w:t>方式二：</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一、</w:t>
            </w:r>
            <w:r>
              <w:rPr>
                <w:rFonts w:hint="eastAsia" w:ascii="宋体" w:hAnsi="宋体"/>
                <w:color w:val="auto"/>
                <w:kern w:val="0"/>
                <w:szCs w:val="21"/>
                <w:highlight w:val="none"/>
              </w:rPr>
              <w:t>以纸质投标保函形式交纳投标保证金</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（1）缴纳形式：</w:t>
            </w:r>
            <w:r>
              <w:rPr>
                <w:rFonts w:hint="eastAsia" w:ascii="宋体" w:hAnsi="宋体"/>
                <w:color w:val="auto"/>
                <w:kern w:val="0"/>
                <w:szCs w:val="21"/>
                <w:highlight w:val="none"/>
                <w:lang w:val="en-US" w:eastAsia="zh-CN"/>
              </w:rPr>
              <w:t>纸质投标保函</w:t>
            </w:r>
            <w:r>
              <w:rPr>
                <w:rFonts w:hint="eastAsia" w:ascii="宋体" w:hAnsi="宋体"/>
                <w:color w:val="auto"/>
                <w:kern w:val="0"/>
                <w:szCs w:val="21"/>
                <w:highlight w:val="none"/>
              </w:rPr>
              <w:t>包括银行保函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保证保险和担保保函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其示范文本详见第八章投标文件格式。投标人提交的纸质投标保函应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p>
          <w:p>
            <w:pPr>
              <w:snapToGrid w:val="0"/>
              <w:spacing w:line="400" w:lineRule="exact"/>
              <w:ind w:firstLine="420" w:firstLineChars="200"/>
              <w:rPr>
                <w:rFonts w:hint="eastAsia" w:ascii="宋体" w:hAnsi="宋体"/>
                <w:color w:val="auto"/>
                <w:kern w:val="0"/>
                <w:szCs w:val="21"/>
                <w:highlight w:val="none"/>
                <w:lang w:val="en-US" w:eastAsia="zh-CN"/>
              </w:rPr>
            </w:pPr>
            <w:r>
              <w:rPr>
                <w:rFonts w:ascii="宋体" w:hAnsi="宋体"/>
                <w:color w:val="auto"/>
                <w:kern w:val="0"/>
                <w:szCs w:val="21"/>
                <w:highlight w:val="none"/>
              </w:rPr>
              <w:t>（2）具体要求：</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lang w:eastAsia="zh-CN"/>
              </w:rPr>
              <w:t>保函应合法合规，符合招投标行政监督部门、行业主管部门和金融监管部门的相关规定，满足招标文件约定要求。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投标人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纸质投标</w:t>
            </w:r>
            <w:r>
              <w:rPr>
                <w:rFonts w:hint="eastAsia" w:ascii="宋体" w:hAnsi="宋体"/>
                <w:color w:val="auto"/>
                <w:kern w:val="0"/>
                <w:szCs w:val="21"/>
                <w:highlight w:val="none"/>
              </w:rPr>
              <w:t>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投标人对所提交的纸质投标保函的真实性、合法性、有效性负责。</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w:t>
            </w:r>
            <w:r>
              <w:rPr>
                <w:rFonts w:hint="eastAsia" w:ascii="宋体" w:hAnsi="宋体"/>
                <w:color w:val="auto"/>
                <w:kern w:val="0"/>
                <w:szCs w:val="21"/>
                <w:highlight w:val="none"/>
              </w:rPr>
              <w:t>须在投标文件投标保函部分</w:t>
            </w:r>
            <w:r>
              <w:rPr>
                <w:rFonts w:ascii="宋体" w:hAnsi="宋体"/>
                <w:color w:val="auto"/>
                <w:kern w:val="0"/>
                <w:szCs w:val="21"/>
                <w:highlight w:val="none"/>
              </w:rPr>
              <w:t>提供</w:t>
            </w:r>
            <w:r>
              <w:rPr>
                <w:rFonts w:hint="eastAsia" w:ascii="宋体" w:hAnsi="宋体"/>
                <w:color w:val="auto"/>
                <w:kern w:val="0"/>
                <w:szCs w:val="21"/>
                <w:highlight w:val="none"/>
                <w:lang w:val="en-US" w:eastAsia="zh-CN"/>
              </w:rPr>
              <w:t>纸质</w:t>
            </w:r>
            <w:r>
              <w:rPr>
                <w:rFonts w:ascii="宋体" w:hAnsi="宋体"/>
                <w:color w:val="auto"/>
                <w:kern w:val="0"/>
                <w:szCs w:val="21"/>
                <w:highlight w:val="none"/>
              </w:rPr>
              <w:t>投标保函</w:t>
            </w:r>
            <w:r>
              <w:rPr>
                <w:rFonts w:hint="eastAsia" w:ascii="宋体" w:hAnsi="宋体"/>
                <w:color w:val="auto"/>
                <w:kern w:val="0"/>
                <w:szCs w:val="21"/>
                <w:highlight w:val="none"/>
              </w:rPr>
              <w:t>复印件，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投标保函原件随其他要求提供的原件一并放入原件袋中，在递交投标文件时一次性递交</w:t>
            </w:r>
            <w:r>
              <w:rPr>
                <w:rFonts w:ascii="宋体" w:hAnsi="宋体"/>
                <w:color w:val="auto"/>
                <w:kern w:val="0"/>
                <w:szCs w:val="21"/>
                <w:highlight w:val="none"/>
              </w:rPr>
              <w:t>。</w:t>
            </w:r>
            <w:r>
              <w:rPr>
                <w:rFonts w:hint="eastAsia" w:ascii="宋体" w:hAnsi="宋体"/>
                <w:color w:val="auto"/>
                <w:kern w:val="0"/>
                <w:szCs w:val="21"/>
                <w:highlight w:val="none"/>
              </w:rPr>
              <w:t>退还原件袋时，</w:t>
            </w:r>
            <w:r>
              <w:rPr>
                <w:rFonts w:hint="eastAsia" w:ascii="宋体" w:hAnsi="宋体"/>
                <w:color w:val="auto"/>
                <w:kern w:val="0"/>
                <w:szCs w:val="21"/>
                <w:highlight w:val="none"/>
                <w:lang w:val="en-US" w:eastAsia="zh-CN"/>
              </w:rPr>
              <w:t>纸质</w:t>
            </w:r>
            <w:r>
              <w:rPr>
                <w:rFonts w:hint="eastAsia" w:ascii="宋体" w:hAnsi="宋体"/>
                <w:color w:val="auto"/>
                <w:kern w:val="0"/>
                <w:szCs w:val="21"/>
                <w:highlight w:val="none"/>
              </w:rPr>
              <w:t>投标保函原件不退还，由招标人保管。</w:t>
            </w:r>
          </w:p>
          <w:p>
            <w:pPr>
              <w:snapToGrid w:val="0"/>
              <w:spacing w:line="400" w:lineRule="exact"/>
              <w:ind w:firstLine="420" w:firstLineChars="200"/>
              <w:rPr>
                <w:color w:val="auto"/>
                <w:highlight w:val="none"/>
              </w:rPr>
            </w:pPr>
            <w:r>
              <w:rPr>
                <w:rFonts w:hint="eastAsia"/>
                <w:color w:val="auto"/>
                <w:highlight w:val="none"/>
              </w:rPr>
              <w:t>若投标截止时间延期，则纸质投标保函递交的截止时间和投标截止时间保持一致。</w:t>
            </w:r>
          </w:p>
          <w:p>
            <w:pPr>
              <w:snapToGrid w:val="0"/>
              <w:spacing w:line="400" w:lineRule="exact"/>
              <w:ind w:firstLine="420" w:firstLineChars="200"/>
              <w:rPr>
                <w:color w:val="auto"/>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napToGrid w:val="0"/>
              <w:spacing w:line="400" w:lineRule="exact"/>
              <w:ind w:firstLine="420" w:firstLineChars="200"/>
              <w:rPr>
                <w:color w:val="auto"/>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color w:val="auto"/>
                <w:highlight w:val="none"/>
              </w:rPr>
              <w:t>以纸质投标保函形式担保的</w:t>
            </w:r>
            <w:r>
              <w:rPr>
                <w:color w:val="auto"/>
                <w:highlight w:val="none"/>
              </w:rPr>
              <w:t>投标保证金的金额</w:t>
            </w:r>
            <w:r>
              <w:rPr>
                <w:rFonts w:ascii="宋体" w:hAnsi="宋体"/>
                <w:color w:val="auto"/>
                <w:kern w:val="0"/>
                <w:szCs w:val="21"/>
                <w:highlight w:val="none"/>
              </w:rPr>
              <w:t>：</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1</w:t>
            </w:r>
            <w:r>
              <w:rPr>
                <w:rFonts w:ascii="宋体" w:hAnsi="宋体"/>
                <w:color w:val="auto"/>
                <w:kern w:val="0"/>
                <w:szCs w:val="21"/>
                <w:highlight w:val="none"/>
                <w:u w:val="single"/>
              </w:rPr>
              <w:t xml:space="preserve">  </w:t>
            </w:r>
            <w:r>
              <w:rPr>
                <w:rFonts w:ascii="宋体" w:hAnsi="宋体"/>
                <w:color w:val="auto"/>
                <w:kern w:val="0"/>
                <w:szCs w:val="21"/>
                <w:highlight w:val="none"/>
              </w:rPr>
              <w:t>万元整（人民币）</w:t>
            </w:r>
            <w:r>
              <w:rPr>
                <w:rFonts w:hint="eastAsia"/>
                <w:color w:val="auto"/>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color w:val="auto"/>
                <w:highlight w:val="none"/>
              </w:rPr>
              <w:t>在</w:t>
            </w:r>
            <w:r>
              <w:rPr>
                <w:rFonts w:hint="eastAsia" w:ascii="宋体" w:hAnsi="宋体"/>
                <w:color w:val="auto"/>
                <w:kern w:val="0"/>
                <w:szCs w:val="21"/>
                <w:highlight w:val="none"/>
              </w:rPr>
              <w:t>纸质投标保函</w:t>
            </w:r>
            <w:r>
              <w:rPr>
                <w:rFonts w:hint="eastAsia" w:ascii="宋体" w:hAnsi="宋体"/>
                <w:color w:val="auto"/>
                <w:kern w:val="0"/>
                <w:szCs w:val="21"/>
                <w:highlight w:val="none"/>
                <w:lang w:val="en-US" w:eastAsia="zh-CN"/>
              </w:rPr>
              <w:t>中注明</w:t>
            </w:r>
            <w:r>
              <w:rPr>
                <w:rFonts w:hint="eastAsia" w:ascii="宋体" w:hAnsi="宋体"/>
                <w:color w:val="auto"/>
                <w:kern w:val="0"/>
                <w:szCs w:val="21"/>
                <w:highlight w:val="none"/>
              </w:rPr>
              <w:t>在重庆市辖区范围内的核验</w:t>
            </w:r>
            <w:r>
              <w:rPr>
                <w:rFonts w:hint="eastAsia" w:ascii="宋体" w:hAnsi="宋体"/>
                <w:color w:val="auto"/>
                <w:kern w:val="0"/>
                <w:szCs w:val="21"/>
                <w:highlight w:val="none"/>
                <w:lang w:val="en-US" w:eastAsia="zh-CN"/>
              </w:rPr>
              <w:t>地址和核验方式，并</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w:t>
            </w:r>
            <w:r>
              <w:rPr>
                <w:rFonts w:hint="eastAsia" w:ascii="宋体" w:hAnsi="宋体"/>
                <w:color w:val="auto"/>
                <w:kern w:val="0"/>
                <w:szCs w:val="21"/>
                <w:highlight w:val="none"/>
                <w:lang w:val="en-US" w:eastAsia="zh-CN"/>
              </w:rPr>
              <w:t>开立人</w:t>
            </w:r>
            <w:r>
              <w:rPr>
                <w:rFonts w:hint="eastAsia" w:ascii="宋体" w:hAnsi="宋体"/>
                <w:color w:val="auto"/>
                <w:kern w:val="0"/>
                <w:szCs w:val="21"/>
                <w:highlight w:val="none"/>
              </w:rPr>
              <w:t>在渝</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总部或者分支机构</w:t>
            </w:r>
            <w:r>
              <w:rPr>
                <w:rFonts w:hint="eastAsia" w:ascii="宋体" w:hAnsi="宋体"/>
                <w:color w:val="auto"/>
                <w:kern w:val="0"/>
                <w:szCs w:val="21"/>
                <w:highlight w:val="none"/>
                <w:lang w:val="en-US" w:eastAsia="zh-CN"/>
              </w:rPr>
              <w:t>进行</w:t>
            </w:r>
            <w:r>
              <w:rPr>
                <w:rFonts w:hint="eastAsia" w:ascii="宋体" w:hAnsi="宋体"/>
                <w:color w:val="auto"/>
                <w:kern w:val="0"/>
                <w:szCs w:val="21"/>
                <w:highlight w:val="none"/>
              </w:rPr>
              <w:t>核验。</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投标人递交的纸质投标保函原件应与投标文件中提供的纸质投标保函</w:t>
            </w:r>
            <w:r>
              <w:rPr>
                <w:rFonts w:hint="eastAsia" w:ascii="宋体" w:hAnsi="宋体"/>
                <w:color w:val="auto"/>
                <w:kern w:val="0"/>
                <w:szCs w:val="21"/>
                <w:highlight w:val="none"/>
                <w:lang w:val="en-US" w:eastAsia="zh-CN"/>
              </w:rPr>
              <w:t>复印件</w:t>
            </w:r>
            <w:r>
              <w:rPr>
                <w:rFonts w:hint="eastAsia" w:ascii="宋体" w:hAnsi="宋体"/>
                <w:color w:val="auto"/>
                <w:kern w:val="0"/>
                <w:szCs w:val="21"/>
                <w:highlight w:val="none"/>
              </w:rPr>
              <w:t>一致，否则由评标委员会作否决投标处理。</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w:t>
            </w:r>
            <w:r>
              <w:rPr>
                <w:rFonts w:hint="eastAsia" w:ascii="宋体" w:hAnsi="宋体"/>
                <w:color w:val="auto"/>
                <w:kern w:val="0"/>
                <w:szCs w:val="21"/>
                <w:highlight w:val="none"/>
                <w:lang w:val="en-US" w:eastAsia="zh-CN"/>
              </w:rPr>
              <w:t>递交</w:t>
            </w:r>
            <w:r>
              <w:rPr>
                <w:rFonts w:hint="eastAsia" w:ascii="宋体" w:hAnsi="宋体"/>
                <w:color w:val="auto"/>
                <w:kern w:val="0"/>
                <w:szCs w:val="21"/>
                <w:highlight w:val="none"/>
              </w:rPr>
              <w:t>的纸质投标保函</w:t>
            </w:r>
            <w:r>
              <w:rPr>
                <w:rFonts w:hint="eastAsia" w:ascii="宋体" w:hAnsi="宋体"/>
                <w:color w:val="auto"/>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color w:val="auto"/>
                <w:kern w:val="0"/>
                <w:szCs w:val="21"/>
                <w:highlight w:val="none"/>
              </w:rPr>
              <w:t>，对</w:t>
            </w:r>
            <w:r>
              <w:rPr>
                <w:rFonts w:hint="eastAsia" w:ascii="宋体" w:hAnsi="宋体"/>
                <w:color w:val="auto"/>
                <w:szCs w:val="21"/>
                <w:highlight w:val="none"/>
              </w:rPr>
              <w:t>已取得中标候选人资格或中标资格的投标人，</w:t>
            </w:r>
            <w:r>
              <w:rPr>
                <w:rFonts w:hint="eastAsia" w:ascii="宋体" w:hAnsi="宋体"/>
                <w:color w:val="auto"/>
                <w:szCs w:val="21"/>
                <w:highlight w:val="none"/>
                <w:lang w:val="en-US" w:eastAsia="zh-CN"/>
              </w:rPr>
              <w:t>按相关规定</w:t>
            </w:r>
            <w:r>
              <w:rPr>
                <w:rFonts w:hint="eastAsia" w:ascii="宋体" w:hAnsi="宋体"/>
                <w:color w:val="auto"/>
                <w:szCs w:val="21"/>
                <w:highlight w:val="none"/>
              </w:rPr>
              <w:t>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w:t>
            </w:r>
            <w:r>
              <w:rPr>
                <w:rFonts w:hint="eastAsia" w:ascii="宋体" w:hAnsi="宋体"/>
                <w:color w:val="auto"/>
                <w:kern w:val="0"/>
                <w:szCs w:val="21"/>
                <w:highlight w:val="none"/>
                <w:lang w:val="en-US" w:eastAsia="zh-CN"/>
              </w:rPr>
              <w:t>投标人提交的纸质投标</w:t>
            </w:r>
            <w:r>
              <w:rPr>
                <w:rFonts w:hint="eastAsia" w:ascii="宋体" w:hAnsi="宋体"/>
                <w:color w:val="auto"/>
                <w:szCs w:val="21"/>
                <w:highlight w:val="none"/>
              </w:rPr>
              <w:t>保函涉及弄虚作假或其他违法违规</w:t>
            </w:r>
            <w:r>
              <w:rPr>
                <w:rFonts w:hint="eastAsia" w:ascii="宋体" w:hAnsi="宋体"/>
                <w:color w:val="auto"/>
                <w:szCs w:val="21"/>
                <w:highlight w:val="none"/>
                <w:lang w:val="en-US" w:eastAsia="zh-CN"/>
              </w:rPr>
              <w:t>情形</w:t>
            </w:r>
            <w:r>
              <w:rPr>
                <w:rFonts w:hint="eastAsia" w:ascii="宋体" w:hAnsi="宋体"/>
                <w:color w:val="auto"/>
                <w:szCs w:val="21"/>
                <w:highlight w:val="none"/>
              </w:rPr>
              <w:t>的，移送相关部门处理</w:t>
            </w:r>
            <w:r>
              <w:rPr>
                <w:rFonts w:ascii="宋体" w:hAnsi="宋体"/>
                <w:color w:val="auto"/>
                <w:kern w:val="0"/>
                <w:szCs w:val="21"/>
                <w:highlight w:val="none"/>
              </w:rPr>
              <w:t>。</w:t>
            </w:r>
          </w:p>
          <w:p>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6. 若投标人为联合体，则由联合体牵头人提供纸质投标保函。</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二、</w:t>
            </w:r>
            <w:r>
              <w:rPr>
                <w:rFonts w:hint="eastAsia" w:ascii="宋体" w:hAnsi="宋体"/>
                <w:color w:val="auto"/>
                <w:kern w:val="0"/>
                <w:szCs w:val="21"/>
                <w:highlight w:val="none"/>
              </w:rPr>
              <w:t>纸质</w:t>
            </w:r>
            <w:r>
              <w:rPr>
                <w:rFonts w:ascii="宋体" w:hAnsi="宋体"/>
                <w:color w:val="auto"/>
                <w:kern w:val="0"/>
                <w:szCs w:val="21"/>
                <w:highlight w:val="none"/>
              </w:rPr>
              <w:t>投标保函的</w:t>
            </w:r>
            <w:r>
              <w:rPr>
                <w:rFonts w:hint="eastAsia" w:ascii="宋体" w:hAnsi="宋体"/>
                <w:color w:val="auto"/>
                <w:kern w:val="0"/>
                <w:szCs w:val="21"/>
                <w:highlight w:val="none"/>
              </w:rPr>
              <w:t>退还、注销</w:t>
            </w:r>
          </w:p>
          <w:p>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招标人应当在法定时间内确定中标人，向中标人发出中标通知书，同时向除中标候选人以外的其他投标人退还</w:t>
            </w:r>
            <w:r>
              <w:rPr>
                <w:rFonts w:hint="eastAsia" w:ascii="宋体" w:hAnsi="宋体"/>
                <w:color w:val="auto"/>
                <w:kern w:val="0"/>
                <w:szCs w:val="21"/>
                <w:highlight w:val="none"/>
              </w:rPr>
              <w:t>纸质</w:t>
            </w:r>
            <w:r>
              <w:rPr>
                <w:rFonts w:ascii="宋体" w:hAnsi="宋体"/>
                <w:color w:val="auto"/>
                <w:kern w:val="0"/>
                <w:szCs w:val="21"/>
                <w:highlight w:val="none"/>
              </w:rPr>
              <w:t>投标保函并书面通知相关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p>
            <w:pPr>
              <w:snapToGrid w:val="0"/>
              <w:spacing w:line="400" w:lineRule="exact"/>
              <w:ind w:firstLine="420" w:firstLineChars="200"/>
              <w:jc w:val="left"/>
              <w:rPr>
                <w:rFonts w:ascii="Times New Roman" w:hAnsi="Times New Roman" w:eastAsia="宋体" w:cs="Times New Roman"/>
                <w:color w:val="auto"/>
                <w:kern w:val="2"/>
                <w:sz w:val="21"/>
                <w:szCs w:val="24"/>
                <w:highlight w:val="none"/>
                <w:lang w:val="en-US" w:eastAsia="zh-CN" w:bidi="ar-SA"/>
              </w:rPr>
            </w:pP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w:t>
            </w:r>
            <w:r>
              <w:rPr>
                <w:rFonts w:hint="eastAsia" w:ascii="宋体" w:hAnsi="宋体"/>
                <w:color w:val="auto"/>
                <w:kern w:val="0"/>
                <w:szCs w:val="21"/>
                <w:highlight w:val="none"/>
                <w:lang w:val="en-US" w:eastAsia="zh-CN"/>
              </w:rPr>
              <w:t>金融机构</w:t>
            </w:r>
            <w:r>
              <w:rPr>
                <w:rFonts w:ascii="宋体" w:hAnsi="宋体"/>
                <w:color w:val="auto"/>
                <w:kern w:val="0"/>
                <w:szCs w:val="21"/>
                <w:highlight w:val="none"/>
              </w:rPr>
              <w:t>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应将</w:t>
            </w:r>
            <w:r>
              <w:rPr>
                <w:rFonts w:hint="eastAsia" w:ascii="宋体" w:hAnsi="宋体"/>
                <w:szCs w:val="21"/>
                <w:highlight w:val="none"/>
                <w:lang w:eastAsia="zh-CN"/>
              </w:rPr>
              <w:t>竞选函</w:t>
            </w:r>
            <w:r>
              <w:rPr>
                <w:rFonts w:ascii="宋体" w:hAnsi="宋体"/>
                <w:szCs w:val="21"/>
                <w:highlight w:val="none"/>
              </w:rPr>
              <w:t>部分、</w:t>
            </w:r>
            <w:r>
              <w:rPr>
                <w:rFonts w:hint="eastAsia" w:ascii="宋体" w:hAnsi="宋体"/>
                <w:kern w:val="0"/>
                <w:szCs w:val="21"/>
                <w:highlight w:val="none"/>
              </w:rPr>
              <w:t>资格审查部分</w:t>
            </w:r>
            <w:r>
              <w:rPr>
                <w:rFonts w:ascii="宋体" w:hAnsi="宋体"/>
                <w:szCs w:val="21"/>
                <w:highlight w:val="none"/>
              </w:rPr>
              <w:t>各自分别装订成册。</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2024年5月17</w:t>
            </w:r>
            <w:bookmarkStart w:id="443" w:name="_GoBack"/>
            <w:bookmarkEnd w:id="443"/>
            <w:r>
              <w:rPr>
                <w:rFonts w:hint="eastAsia" w:ascii="宋体" w:hAnsi="宋体"/>
                <w:kern w:val="0"/>
                <w:szCs w:val="21"/>
                <w:highlight w:val="none"/>
                <w:lang w:val="en-US" w:eastAsia="zh-CN"/>
              </w:rPr>
              <w:t>日10时00分</w:t>
            </w:r>
          </w:p>
          <w:p>
            <w:pPr>
              <w:snapToGrid w:val="0"/>
              <w:spacing w:line="400" w:lineRule="exact"/>
              <w:ind w:firstLine="420" w:firstLineChars="200"/>
              <w:rPr>
                <w:rFonts w:ascii="宋体" w:hAnsi="宋体"/>
                <w:bCs/>
                <w:i/>
                <w:szCs w:val="21"/>
                <w:highlight w:val="none"/>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重庆经开投投资集团有限公司1503</w:t>
            </w:r>
            <w:r>
              <w:rPr>
                <w:rFonts w:hint="eastAsia" w:ascii="宋体" w:hAnsi="宋体"/>
                <w:szCs w:val="21"/>
              </w:rPr>
              <w:t>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 公布在投标截止时间前递交</w:t>
            </w:r>
            <w:r>
              <w:rPr>
                <w:rFonts w:hint="eastAsia" w:ascii="宋体" w:hAnsi="宋体"/>
                <w:szCs w:val="21"/>
                <w:highlight w:val="none"/>
                <w:lang w:eastAsia="zh-CN"/>
              </w:rPr>
              <w:t>竞选文件</w:t>
            </w:r>
            <w:r>
              <w:rPr>
                <w:rFonts w:ascii="宋体" w:hAnsi="宋体"/>
                <w:szCs w:val="21"/>
                <w:highlight w:val="none"/>
              </w:rPr>
              <w:t>的</w:t>
            </w:r>
            <w:r>
              <w:rPr>
                <w:rFonts w:hint="eastAsia" w:ascii="宋体" w:hAnsi="宋体"/>
                <w:szCs w:val="21"/>
                <w:highlight w:val="none"/>
                <w:lang w:eastAsia="zh-CN"/>
              </w:rPr>
              <w:t>竞选人</w:t>
            </w:r>
            <w:r>
              <w:rPr>
                <w:rFonts w:ascii="宋体" w:hAnsi="宋体"/>
                <w:szCs w:val="21"/>
                <w:highlight w:val="none"/>
              </w:rPr>
              <w:t>名称</w:t>
            </w:r>
            <w:r>
              <w:rPr>
                <w:rFonts w:hint="eastAsia" w:ascii="宋体" w:hAnsi="宋体"/>
                <w:szCs w:val="21"/>
                <w:highlight w:val="none"/>
              </w:rPr>
              <w:t>。</w:t>
            </w:r>
          </w:p>
          <w:p>
            <w:pPr>
              <w:snapToGrid w:val="0"/>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 xml:space="preserve">. </w:t>
            </w:r>
            <w:r>
              <w:rPr>
                <w:rFonts w:hint="eastAsia" w:ascii="宋体" w:hAnsi="宋体"/>
                <w:szCs w:val="21"/>
                <w:highlight w:val="none"/>
                <w:lang w:eastAsia="zh-CN"/>
              </w:rPr>
              <w:t>竞选文件</w:t>
            </w:r>
            <w:r>
              <w:rPr>
                <w:rFonts w:hint="eastAsia" w:ascii="宋体" w:hAnsi="宋体"/>
                <w:szCs w:val="21"/>
                <w:highlight w:val="none"/>
              </w:rPr>
              <w:t>的密封检查：</w:t>
            </w:r>
            <w:r>
              <w:rPr>
                <w:rFonts w:hint="eastAsia" w:ascii="宋体" w:hAnsi="宋体"/>
                <w:szCs w:val="21"/>
                <w:highlight w:val="none"/>
                <w:lang w:eastAsia="zh-CN"/>
              </w:rPr>
              <w:t>竞选人</w:t>
            </w:r>
            <w:r>
              <w:rPr>
                <w:rFonts w:hint="eastAsia" w:ascii="宋体" w:hAnsi="宋体"/>
                <w:szCs w:val="21"/>
                <w:highlight w:val="none"/>
              </w:rPr>
              <w:t>可对自己的</w:t>
            </w:r>
            <w:r>
              <w:rPr>
                <w:rFonts w:hint="eastAsia" w:ascii="宋体" w:hAnsi="宋体"/>
                <w:szCs w:val="21"/>
                <w:highlight w:val="none"/>
                <w:lang w:eastAsia="zh-CN"/>
              </w:rPr>
              <w:t>竞选文件</w:t>
            </w:r>
            <w:r>
              <w:rPr>
                <w:rFonts w:hint="eastAsia" w:ascii="宋体" w:hAnsi="宋体"/>
                <w:szCs w:val="21"/>
                <w:highlight w:val="none"/>
              </w:rPr>
              <w:t>封装情况进行检查，以确认其</w:t>
            </w:r>
            <w:r>
              <w:rPr>
                <w:rFonts w:hint="eastAsia" w:ascii="宋体" w:hAnsi="宋体"/>
                <w:szCs w:val="21"/>
                <w:highlight w:val="none"/>
                <w:lang w:eastAsia="zh-CN"/>
              </w:rPr>
              <w:t>竞选文件</w:t>
            </w:r>
            <w:r>
              <w:rPr>
                <w:rFonts w:hint="eastAsia" w:ascii="宋体" w:hAnsi="宋体"/>
                <w:szCs w:val="21"/>
                <w:highlight w:val="none"/>
              </w:rPr>
              <w:t>密封完好。</w:t>
            </w:r>
          </w:p>
          <w:p>
            <w:pPr>
              <w:snapToGrid w:val="0"/>
              <w:spacing w:line="400" w:lineRule="exact"/>
              <w:ind w:firstLine="420" w:firstLineChars="200"/>
            </w:pPr>
            <w:r>
              <w:rPr>
                <w:rFonts w:hint="eastAsia" w:ascii="宋体" w:hAnsi="宋体"/>
                <w:color w:val="auto"/>
                <w:szCs w:val="21"/>
                <w:highlight w:val="none"/>
                <w:lang w:val="en-US" w:eastAsia="zh-CN"/>
              </w:rPr>
              <w:t>4</w:t>
            </w:r>
            <w:r>
              <w:rPr>
                <w:rFonts w:hint="eastAsia" w:ascii="宋体" w:hAnsi="宋体"/>
                <w:color w:val="auto"/>
                <w:szCs w:val="21"/>
                <w:highlight w:val="none"/>
              </w:rPr>
              <w:t>. 汇总投标保证金交纳情况</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ascii="宋体" w:hAnsi="宋体"/>
                <w:szCs w:val="21"/>
                <w:highlight w:val="none"/>
              </w:rPr>
              <w:t>. 公布最高限价</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w:t>
            </w:r>
            <w:r>
              <w:rPr>
                <w:rFonts w:hint="eastAsia" w:ascii="宋体" w:hAnsi="宋体"/>
                <w:szCs w:val="21"/>
                <w:highlight w:val="none"/>
                <w:lang w:eastAsia="zh-CN"/>
              </w:rPr>
              <w:t>竞选文件</w:t>
            </w:r>
            <w:r>
              <w:rPr>
                <w:rFonts w:ascii="宋体" w:hAnsi="宋体"/>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在收到评标报告后3日内将评标结果在在行采家(https://www.gec123.com/) 和重庆经开区投资集团官网（http://www.cetzig.com/）上进行公示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履约担保</w:t>
            </w:r>
          </w:p>
        </w:tc>
        <w:tc>
          <w:tcPr>
            <w:tcW w:w="6490" w:type="dxa"/>
            <w:vAlign w:val="center"/>
          </w:tcPr>
          <w:p>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（2）履约担保的金额：</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中标金额5%</w:t>
            </w:r>
            <w:r>
              <w:rPr>
                <w:rFonts w:hint="eastAsia" w:ascii="宋体" w:hAnsi="宋体"/>
                <w:kern w:val="0"/>
                <w:szCs w:val="21"/>
                <w:highlight w:val="none"/>
                <w:u w:val="single"/>
              </w:rPr>
              <w:t xml:space="preserve"> </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（3）履约担保的提交时间：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szCs w:val="21"/>
                <w:lang w:eastAsia="zh-CN"/>
              </w:rPr>
              <w:t>，</w:t>
            </w:r>
            <w:r>
              <w:rPr>
                <w:rFonts w:hint="eastAsia"/>
                <w:szCs w:val="21"/>
                <w:lang w:val="en-US" w:eastAsia="zh-CN"/>
              </w:rPr>
              <w:t>且在合同签订前</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（4）履约担保的期限：见专用合同条款。</w:t>
            </w:r>
          </w:p>
          <w:p>
            <w:pPr>
              <w:snapToGrid w:val="0"/>
              <w:spacing w:after="62" w:afterLines="20" w:line="400" w:lineRule="exact"/>
              <w:ind w:firstLine="420" w:firstLineChars="200"/>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Times New Roman"/>
                <w:kern w:val="0"/>
                <w:sz w:val="21"/>
                <w:szCs w:val="21"/>
                <w:highlight w:val="none"/>
                <w:lang w:val="en-US" w:eastAsia="zh-CN" w:bidi="ar-SA"/>
              </w:rPr>
            </w:pPr>
            <w:r>
              <w:rPr>
                <w:rFonts w:hint="eastAsia" w:ascii="宋体" w:hAnsi="宋体"/>
                <w:kern w:val="0"/>
                <w:szCs w:val="21"/>
                <w:highlight w:val="none"/>
                <w:lang w:val="en-US" w:eastAsia="zh-CN"/>
              </w:rPr>
              <w:t>7.3.2</w:t>
            </w:r>
          </w:p>
        </w:tc>
        <w:tc>
          <w:tcPr>
            <w:tcW w:w="1644" w:type="dxa"/>
            <w:vAlign w:val="center"/>
          </w:tcPr>
          <w:p>
            <w:pPr>
              <w:snapToGrid w:val="0"/>
              <w:spacing w:line="400" w:lineRule="exact"/>
              <w:jc w:val="center"/>
              <w:rPr>
                <w:rFonts w:ascii="宋体" w:hAnsi="宋体" w:eastAsia="宋体" w:cs="Times New Roman"/>
                <w:kern w:val="0"/>
                <w:sz w:val="21"/>
                <w:szCs w:val="21"/>
                <w:lang w:val="en-US" w:eastAsia="zh-CN" w:bidi="ar-SA"/>
              </w:rPr>
            </w:pPr>
            <w:r>
              <w:rPr>
                <w:rFonts w:hint="eastAsia" w:ascii="宋体" w:hAnsi="宋体"/>
                <w:kern w:val="0"/>
                <w:szCs w:val="21"/>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w:t>
            </w:r>
            <w:r>
              <w:rPr>
                <w:rFonts w:hint="eastAsia" w:ascii="宋体" w:hAnsi="宋体"/>
                <w:kern w:val="0"/>
                <w:szCs w:val="21"/>
                <w:lang w:val="en-US" w:eastAsia="zh-CN"/>
              </w:rPr>
              <w:t>费率</w:t>
            </w:r>
            <w:r>
              <w:rPr>
                <w:rFonts w:hint="eastAsia" w:ascii="宋体" w:hAnsi="宋体"/>
                <w:kern w:val="0"/>
                <w:szCs w:val="21"/>
              </w:rPr>
              <w:t>）×3</w:t>
            </w:r>
            <w:r>
              <w:rPr>
                <w:rStyle w:val="55"/>
                <w:rFonts w:hint="eastAsia"/>
              </w:rPr>
              <w:t>，</w:t>
            </w:r>
            <w:r>
              <w:rPr>
                <w:rStyle w:val="55"/>
              </w:rPr>
              <w:t>且最高不超过最高限价</w:t>
            </w:r>
            <w:r>
              <w:rPr>
                <w:rFonts w:hint="eastAsia" w:ascii="宋体" w:hAnsi="宋体"/>
                <w:kern w:val="0"/>
                <w:szCs w:val="21"/>
              </w:rPr>
              <w:t>×</w:t>
            </w:r>
            <w:r>
              <w:rPr>
                <w:rFonts w:hint="eastAsia" w:ascii="宋体" w:hAnsi="宋体"/>
                <w:kern w:val="0"/>
                <w:szCs w:val="21"/>
                <w:lang w:val="en-US" w:eastAsia="zh-CN"/>
              </w:rPr>
              <w:t>30万元</w:t>
            </w:r>
            <w:r>
              <w:rPr>
                <w:rStyle w:val="55"/>
              </w:rPr>
              <w:t>的85%</w:t>
            </w:r>
            <w:r>
              <w:rPr>
                <w:rStyle w:val="55"/>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hint="eastAsia" w:ascii="宋体" w:hAnsi="宋体" w:eastAsia="宋体" w:cs="Times New Roman"/>
                <w:kern w:val="0"/>
                <w:sz w:val="21"/>
                <w:szCs w:val="21"/>
                <w:lang w:val="en-US" w:eastAsia="zh-CN" w:bidi="ar-SA"/>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05" w:name="_Toc430530434"/>
            <w:bookmarkStart w:id="106" w:name="_Toc13210670"/>
            <w:bookmarkStart w:id="107" w:name="_Toc509218709"/>
            <w:bookmarkStart w:id="108" w:name="_Toc16930431"/>
            <w:bookmarkStart w:id="109" w:name="_Toc536628250"/>
            <w:r>
              <w:rPr>
                <w:rFonts w:hint="eastAsia" w:ascii="宋体" w:hAnsi="宋体"/>
                <w:kern w:val="0"/>
                <w:szCs w:val="21"/>
                <w:highlight w:val="none"/>
              </w:rPr>
              <w:t>重新</w:t>
            </w:r>
            <w:r>
              <w:rPr>
                <w:rFonts w:ascii="宋体" w:hAnsi="宋体"/>
                <w:kern w:val="0"/>
                <w:szCs w:val="21"/>
                <w:highlight w:val="none"/>
              </w:rPr>
              <w:t>招标和不再招标</w:t>
            </w:r>
            <w:bookmarkEnd w:id="105"/>
            <w:bookmarkEnd w:id="106"/>
            <w:bookmarkEnd w:id="107"/>
            <w:bookmarkEnd w:id="108"/>
            <w:bookmarkEnd w:id="109"/>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rPr>
              <w:t>工程款</w:t>
            </w: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lang w:val="en-US" w:eastAsia="zh-CN"/>
              </w:rPr>
              <w:t>结算价</w:t>
            </w:r>
            <w:r>
              <w:rPr>
                <w:rFonts w:hint="eastAsia" w:asciiTheme="minorEastAsia" w:hAnsiTheme="minorEastAsia" w:eastAsiaTheme="minorEastAsia" w:cstheme="minorEastAsia"/>
                <w:b w:val="0"/>
                <w:bCs/>
                <w:color w:val="0000FF"/>
                <w:kern w:val="0"/>
                <w:szCs w:val="21"/>
                <w:highlight w:val="none"/>
              </w:rPr>
              <w:t>=经审核的建筑安装工程费×</w:t>
            </w:r>
            <w:r>
              <w:rPr>
                <w:rFonts w:hint="eastAsia" w:asciiTheme="minorEastAsia" w:hAnsiTheme="minorEastAsia" w:eastAsiaTheme="minorEastAsia" w:cstheme="minorEastAsia"/>
                <w:b w:val="0"/>
                <w:bCs/>
                <w:color w:val="0000FF"/>
                <w:kern w:val="0"/>
                <w:szCs w:val="21"/>
                <w:highlight w:val="none"/>
                <w:lang w:val="en-US" w:eastAsia="zh-CN"/>
              </w:rPr>
              <w:t>固定费率</w:t>
            </w:r>
            <w:r>
              <w:rPr>
                <w:rFonts w:hint="eastAsia" w:asciiTheme="minorEastAsia" w:hAnsiTheme="minorEastAsia" w:eastAsiaTheme="minorEastAsia" w:cstheme="minorEastAsia"/>
                <w:b w:val="0"/>
                <w:bCs/>
                <w:color w:val="0000FF"/>
                <w:kern w:val="0"/>
                <w:szCs w:val="21"/>
                <w:highlight w:val="none"/>
              </w:rPr>
              <w:t>（认质核价材料和设备、安全文明施工费、规费、税金不参与</w:t>
            </w:r>
            <w:r>
              <w:rPr>
                <w:rFonts w:hint="eastAsia" w:asciiTheme="minorEastAsia" w:hAnsiTheme="minorEastAsia" w:eastAsiaTheme="minorEastAsia" w:cstheme="minorEastAsia"/>
                <w:b w:val="0"/>
                <w:bCs/>
                <w:color w:val="0000FF"/>
                <w:kern w:val="0"/>
                <w:szCs w:val="21"/>
                <w:highlight w:val="none"/>
                <w:lang w:val="en-US" w:eastAsia="zh-CN"/>
              </w:rPr>
              <w:t>浮动</w:t>
            </w:r>
            <w:r>
              <w:rPr>
                <w:rFonts w:hint="eastAsia" w:asciiTheme="minorEastAsia" w:hAnsiTheme="minorEastAsia" w:eastAsiaTheme="minorEastAsia" w:cstheme="minorEastAsia"/>
                <w:b w:val="0"/>
                <w:bCs/>
                <w:color w:val="0000FF"/>
                <w:kern w:val="0"/>
                <w:szCs w:val="21"/>
                <w:highlight w:val="none"/>
              </w:rPr>
              <w:t>）。</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建筑安装工程费以</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人认可的审定结果作为结算依据。</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人必须接受，否则视为违约，具体原则如下：</w:t>
            </w:r>
          </w:p>
          <w:p>
            <w:pPr>
              <w:numPr>
                <w:ilvl w:val="0"/>
                <w:numId w:val="2"/>
              </w:num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计价原则：按《工程量清单项目计量规范（2013-重庆）》、《2018年重庆市房屋修缮定额》（</w:t>
            </w:r>
            <w:r>
              <w:rPr>
                <w:rFonts w:hint="eastAsia" w:asciiTheme="minorEastAsia" w:hAnsiTheme="minorEastAsia" w:eastAsiaTheme="minorEastAsia" w:cstheme="minorEastAsia"/>
                <w:b w:val="0"/>
                <w:bCs/>
                <w:color w:val="0000FF"/>
                <w:kern w:val="0"/>
                <w:szCs w:val="21"/>
                <w:highlight w:val="none"/>
                <w:lang w:val="en-US" w:eastAsia="zh-CN"/>
              </w:rPr>
              <w:t>缺项</w:t>
            </w:r>
            <w:r>
              <w:rPr>
                <w:rFonts w:hint="eastAsia" w:asciiTheme="minorEastAsia" w:hAnsiTheme="minorEastAsia" w:eastAsiaTheme="minorEastAsia" w:cstheme="minorEastAsia"/>
                <w:b w:val="0"/>
                <w:bCs/>
                <w:color w:val="0000FF"/>
                <w:kern w:val="0"/>
                <w:szCs w:val="21"/>
                <w:highlight w:val="none"/>
              </w:rPr>
              <w:t>部分借用其他配套定额）及相关配套文件、定额进行计量计价按实计算。</w:t>
            </w:r>
          </w:p>
          <w:p>
            <w:pPr>
              <w:numPr>
                <w:ilvl w:val="0"/>
                <w:numId w:val="0"/>
              </w:num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上述计价原则中无定额可套用的，由</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人会同监理人、跟审单位（如有）、</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人按相关原则、编制方法编制补充定额（人工、材料、机械基价执行2018年计价定额的基价，2018年计价定额没有的基价，按市场价计）；或参照重庆市场相同工作的市场价格上报监理人，最终价格按</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人、监理人、跟审单位（如有）、</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人共同询价确认的价格执行。</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（2）计量原则：分部分项工程量清单计价表中的工程数量以施工设计图为依据，以设计变更图、监理工程师和发包人认可的尺寸、断面为参考依据，根据《房屋建筑与装饰工程工程量计算规范》（GB50854-2013）</w:t>
            </w:r>
            <w:r>
              <w:rPr>
                <w:rFonts w:hint="eastAsia" w:asciiTheme="minorEastAsia" w:hAnsiTheme="minorEastAsia" w:eastAsiaTheme="minorEastAsia" w:cstheme="minorEastAsia"/>
                <w:b w:val="0"/>
                <w:bCs/>
                <w:color w:val="0000FF"/>
                <w:kern w:val="0"/>
                <w:szCs w:val="21"/>
                <w:highlight w:val="none"/>
                <w:lang w:val="en-US" w:eastAsia="zh-CN"/>
              </w:rPr>
              <w:t>等</w:t>
            </w:r>
            <w:r>
              <w:rPr>
                <w:rFonts w:hint="eastAsia" w:asciiTheme="minorEastAsia" w:hAnsiTheme="minorEastAsia" w:eastAsiaTheme="minorEastAsia" w:cstheme="minorEastAsia"/>
                <w:b w:val="0"/>
                <w:bCs/>
                <w:color w:val="0000FF"/>
                <w:kern w:val="0"/>
                <w:szCs w:val="21"/>
                <w:highlight w:val="none"/>
              </w:rPr>
              <w:t>各专业工程工程量计算规范规定的计算规则及</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文件约定的计算规则计量。</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（3）人工单价：按</w:t>
            </w:r>
            <w:r>
              <w:rPr>
                <w:rFonts w:hint="eastAsia" w:asciiTheme="minorEastAsia" w:hAnsiTheme="minorEastAsia" w:eastAsiaTheme="minorEastAsia" w:cstheme="minorEastAsia"/>
                <w:b w:val="0"/>
                <w:bCs/>
                <w:color w:val="0000FF"/>
                <w:kern w:val="0"/>
                <w:szCs w:val="21"/>
                <w:highlight w:val="none"/>
                <w:lang w:val="en-US" w:eastAsia="zh-CN"/>
              </w:rPr>
              <w:t>实施当期</w:t>
            </w:r>
            <w:r>
              <w:rPr>
                <w:rFonts w:hint="eastAsia" w:asciiTheme="minorEastAsia" w:hAnsiTheme="minorEastAsia" w:eastAsiaTheme="minorEastAsia" w:cstheme="minorEastAsia"/>
                <w:b w:val="0"/>
                <w:bCs/>
                <w:color w:val="0000FF"/>
                <w:kern w:val="0"/>
                <w:szCs w:val="21"/>
                <w:highlight w:val="none"/>
              </w:rPr>
              <w:t>重庆市建设工程造价管理总站发布的《重庆工程造价信息》发布的项目所在地的人工单价执行。</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（4）设备材料单价：</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1）设备材料单价按照</w:t>
            </w:r>
            <w:r>
              <w:rPr>
                <w:rFonts w:hint="eastAsia" w:asciiTheme="minorEastAsia" w:hAnsiTheme="minorEastAsia" w:eastAsiaTheme="minorEastAsia" w:cstheme="minorEastAsia"/>
                <w:b w:val="0"/>
                <w:bCs/>
                <w:color w:val="0000FF"/>
                <w:kern w:val="0"/>
                <w:szCs w:val="21"/>
                <w:highlight w:val="none"/>
                <w:lang w:val="en-US" w:eastAsia="zh-CN"/>
              </w:rPr>
              <w:t>实施当期</w:t>
            </w:r>
            <w:r>
              <w:rPr>
                <w:rFonts w:hint="eastAsia" w:asciiTheme="minorEastAsia" w:hAnsiTheme="minorEastAsia" w:eastAsiaTheme="minorEastAsia" w:cstheme="minorEastAsia"/>
                <w:b w:val="0"/>
                <w:bCs/>
                <w:color w:val="0000FF"/>
                <w:kern w:val="0"/>
                <w:szCs w:val="21"/>
                <w:highlight w:val="none"/>
              </w:rPr>
              <w:t>《重庆工程造价信息》发布的项目所在地的信息价执行；</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2）《重庆工程造价信息》</w:t>
            </w:r>
            <w:r>
              <w:rPr>
                <w:rFonts w:hint="eastAsia" w:asciiTheme="minorEastAsia" w:hAnsiTheme="minorEastAsia" w:eastAsiaTheme="minorEastAsia" w:cstheme="minorEastAsia"/>
                <w:b w:val="0"/>
                <w:bCs/>
                <w:color w:val="0000FF"/>
                <w:kern w:val="0"/>
                <w:szCs w:val="21"/>
                <w:highlight w:val="none"/>
                <w:lang w:val="en-US" w:eastAsia="zh-CN"/>
              </w:rPr>
              <w:t>没有的</w:t>
            </w:r>
            <w:r>
              <w:rPr>
                <w:rFonts w:hint="eastAsia" w:asciiTheme="minorEastAsia" w:hAnsiTheme="minorEastAsia" w:eastAsiaTheme="minorEastAsia" w:cstheme="minorEastAsia"/>
                <w:b w:val="0"/>
                <w:bCs/>
                <w:color w:val="0000FF"/>
                <w:kern w:val="0"/>
                <w:szCs w:val="21"/>
                <w:highlight w:val="none"/>
              </w:rPr>
              <w:t>材料和设备，由</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人申报，</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人会同监理人</w:t>
            </w:r>
            <w:r>
              <w:rPr>
                <w:rFonts w:hint="eastAsia" w:asciiTheme="minorEastAsia" w:hAnsiTheme="minorEastAsia" w:eastAsiaTheme="minorEastAsia" w:cstheme="minorEastAsia"/>
                <w:b w:val="0"/>
                <w:bCs/>
                <w:color w:val="0000FF"/>
                <w:kern w:val="0"/>
                <w:szCs w:val="21"/>
                <w:highlight w:val="none"/>
                <w:lang w:eastAsia="zh-CN"/>
              </w:rPr>
              <w:t>、</w:t>
            </w:r>
            <w:r>
              <w:rPr>
                <w:rFonts w:hint="eastAsia" w:asciiTheme="minorEastAsia" w:hAnsiTheme="minorEastAsia" w:eastAsiaTheme="minorEastAsia" w:cstheme="minorEastAsia"/>
                <w:b w:val="0"/>
                <w:bCs/>
                <w:color w:val="0000FF"/>
                <w:kern w:val="0"/>
                <w:szCs w:val="21"/>
                <w:highlight w:val="none"/>
              </w:rPr>
              <w:t>跟审单位</w:t>
            </w:r>
            <w:r>
              <w:rPr>
                <w:rFonts w:hint="eastAsia" w:asciiTheme="minorEastAsia" w:hAnsiTheme="minorEastAsia" w:eastAsiaTheme="minorEastAsia" w:cstheme="minorEastAsia"/>
                <w:b w:val="0"/>
                <w:bCs/>
                <w:color w:val="0000FF"/>
                <w:kern w:val="0"/>
                <w:szCs w:val="21"/>
                <w:highlight w:val="none"/>
                <w:lang w:val="en-US" w:eastAsia="zh-CN"/>
              </w:rPr>
              <w:t>（如有）</w:t>
            </w:r>
            <w:r>
              <w:rPr>
                <w:rFonts w:hint="eastAsia" w:asciiTheme="minorEastAsia" w:hAnsiTheme="minorEastAsia" w:eastAsiaTheme="minorEastAsia" w:cstheme="minorEastAsia"/>
                <w:b w:val="0"/>
                <w:bCs/>
                <w:color w:val="0000FF"/>
                <w:kern w:val="0"/>
                <w:szCs w:val="21"/>
                <w:highlight w:val="none"/>
              </w:rPr>
              <w:t>按认质核价相关管理办法及程序，根据市场行情认质核价。但原则上不超过</w:t>
            </w:r>
            <w:r>
              <w:rPr>
                <w:rFonts w:hint="eastAsia" w:asciiTheme="minorEastAsia" w:hAnsiTheme="minorEastAsia" w:eastAsiaTheme="minorEastAsia" w:cstheme="minorEastAsia"/>
                <w:b w:val="0"/>
                <w:bCs/>
                <w:color w:val="0000FF"/>
                <w:kern w:val="0"/>
                <w:szCs w:val="21"/>
                <w:highlight w:val="none"/>
                <w:lang w:val="en-US" w:eastAsia="zh-CN"/>
              </w:rPr>
              <w:t>实施当期</w:t>
            </w:r>
            <w:r>
              <w:rPr>
                <w:rFonts w:hint="eastAsia" w:asciiTheme="minorEastAsia" w:hAnsiTheme="minorEastAsia" w:eastAsiaTheme="minorEastAsia" w:cstheme="minorEastAsia"/>
                <w:b w:val="0"/>
                <w:bCs/>
                <w:color w:val="0000FF"/>
                <w:kern w:val="0"/>
                <w:szCs w:val="21"/>
                <w:highlight w:val="none"/>
              </w:rPr>
              <w:t>《重庆工程造价信息》公布的信息价；</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3）上述材料和设备价格均为不含税价格，包括材料原价、运杂费、运输损耗费、采购及保管费等所有费用，认质核价的材料和设备若</w:t>
            </w:r>
            <w:r>
              <w:rPr>
                <w:rFonts w:hint="eastAsia" w:asciiTheme="minorEastAsia" w:hAnsiTheme="minorEastAsia" w:eastAsiaTheme="minorEastAsia" w:cstheme="minorEastAsia"/>
                <w:b w:val="0"/>
                <w:bCs/>
                <w:color w:val="0000FF"/>
                <w:kern w:val="0"/>
                <w:szCs w:val="21"/>
                <w:highlight w:val="none"/>
                <w:lang w:val="en-US" w:eastAsia="zh-CN"/>
              </w:rPr>
              <w:t>竞选人</w:t>
            </w:r>
            <w:r>
              <w:rPr>
                <w:rFonts w:hint="eastAsia" w:asciiTheme="minorEastAsia" w:hAnsiTheme="minorEastAsia" w:eastAsiaTheme="minorEastAsia" w:cstheme="minorEastAsia"/>
                <w:b w:val="0"/>
                <w:bCs/>
                <w:color w:val="0000FF"/>
                <w:kern w:val="0"/>
                <w:szCs w:val="21"/>
                <w:highlight w:val="none"/>
              </w:rPr>
              <w:t>在</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人核价后5个工作日内，</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人拒绝签字确认</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人核定的价格或拒绝按</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人核定的价格采购的，则该种材料或设备改为第三方供货，</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人收取</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人该类材料或设备费的20%作为违约金，并按</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人实际支付的货款从</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人的</w:t>
            </w:r>
            <w:r>
              <w:rPr>
                <w:rFonts w:hint="eastAsia" w:asciiTheme="minorEastAsia" w:hAnsiTheme="minorEastAsia" w:eastAsiaTheme="minorEastAsia" w:cstheme="minorEastAsia"/>
                <w:b w:val="0"/>
                <w:bCs/>
                <w:color w:val="0000FF"/>
                <w:kern w:val="0"/>
                <w:szCs w:val="21"/>
                <w:highlight w:val="none"/>
                <w:lang w:val="en-US" w:eastAsia="zh-CN"/>
              </w:rPr>
              <w:t>工程款</w:t>
            </w:r>
            <w:r>
              <w:rPr>
                <w:rFonts w:hint="eastAsia" w:asciiTheme="minorEastAsia" w:hAnsiTheme="minorEastAsia" w:eastAsiaTheme="minorEastAsia" w:cstheme="minorEastAsia"/>
                <w:b w:val="0"/>
                <w:bCs/>
                <w:color w:val="0000FF"/>
                <w:kern w:val="0"/>
                <w:szCs w:val="21"/>
                <w:highlight w:val="none"/>
              </w:rPr>
              <w:t>中扣除，同时并不解除</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人对工程质量保修责任。需认质核价的材料和设备，</w:t>
            </w:r>
            <w:r>
              <w:rPr>
                <w:rFonts w:hint="eastAsia" w:asciiTheme="minorEastAsia" w:hAnsiTheme="minorEastAsia" w:eastAsiaTheme="minorEastAsia" w:cstheme="minorEastAsia"/>
                <w:b w:val="0"/>
                <w:bCs/>
                <w:color w:val="0000FF"/>
                <w:kern w:val="0"/>
                <w:szCs w:val="21"/>
                <w:highlight w:val="none"/>
                <w:lang w:val="en-US" w:eastAsia="zh-CN"/>
              </w:rPr>
              <w:t>竞选</w:t>
            </w:r>
            <w:r>
              <w:rPr>
                <w:rFonts w:hint="eastAsia" w:asciiTheme="minorEastAsia" w:hAnsiTheme="minorEastAsia" w:eastAsiaTheme="minorEastAsia" w:cstheme="minorEastAsia"/>
                <w:b w:val="0"/>
                <w:bCs/>
                <w:color w:val="0000FF"/>
                <w:kern w:val="0"/>
                <w:szCs w:val="21"/>
                <w:highlight w:val="none"/>
              </w:rPr>
              <w:t>人须在使用前书面报</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人审核（至少提前一个月）。</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lang w:val="en-US" w:eastAsia="zh-CN"/>
              </w:rPr>
              <w:t>4</w:t>
            </w:r>
            <w:r>
              <w:rPr>
                <w:rFonts w:hint="eastAsia" w:asciiTheme="minorEastAsia" w:hAnsiTheme="minorEastAsia" w:eastAsiaTheme="minorEastAsia" w:cstheme="minorEastAsia"/>
                <w:b w:val="0"/>
                <w:bCs/>
                <w:color w:val="0000FF"/>
                <w:kern w:val="0"/>
                <w:szCs w:val="21"/>
                <w:highlight w:val="none"/>
              </w:rPr>
              <w:t>）材料调差调整范围和计算方法：</w:t>
            </w:r>
            <w:r>
              <w:rPr>
                <w:rFonts w:hint="eastAsia" w:asciiTheme="minorEastAsia" w:hAnsiTheme="minorEastAsia" w:eastAsiaTheme="minorEastAsia" w:cstheme="minorEastAsia"/>
                <w:b w:val="0"/>
                <w:bCs/>
                <w:color w:val="0000FF"/>
                <w:kern w:val="0"/>
                <w:szCs w:val="21"/>
                <w:highlight w:val="none"/>
                <w:lang w:val="en-US" w:eastAsia="zh-CN"/>
              </w:rPr>
              <w:t>不采用</w:t>
            </w:r>
            <w:r>
              <w:rPr>
                <w:rFonts w:hint="eastAsia" w:asciiTheme="minorEastAsia" w:hAnsiTheme="minorEastAsia" w:eastAsiaTheme="minorEastAsia" w:cstheme="minorEastAsia"/>
                <w:b w:val="0"/>
                <w:bCs/>
                <w:color w:val="0000FF"/>
                <w:kern w:val="0"/>
                <w:szCs w:val="21"/>
                <w:highlight w:val="none"/>
              </w:rPr>
              <w:t>。</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lang w:val="en-US" w:eastAsia="zh-CN"/>
              </w:rPr>
              <w:t>5</w:t>
            </w:r>
            <w:r>
              <w:rPr>
                <w:rFonts w:hint="eastAsia" w:asciiTheme="minorEastAsia" w:hAnsiTheme="minorEastAsia" w:eastAsiaTheme="minorEastAsia" w:cstheme="minorEastAsia"/>
                <w:b w:val="0"/>
                <w:bCs/>
                <w:color w:val="0000FF"/>
                <w:kern w:val="0"/>
                <w:szCs w:val="21"/>
                <w:highlight w:val="none"/>
              </w:rPr>
              <w:t>）措施费：</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rPr>
              <w:t>组织措施费：按《重庆市建设工程费用定额》（CQFYDE-2018）等相关文件规定执行。</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lang w:eastAsia="zh-CN"/>
              </w:rPr>
            </w:pPr>
            <w:r>
              <w:rPr>
                <w:rFonts w:hint="eastAsia" w:asciiTheme="minorEastAsia" w:hAnsiTheme="minorEastAsia" w:eastAsiaTheme="minorEastAsia" w:cstheme="minorEastAsia"/>
                <w:b w:val="0"/>
                <w:bCs/>
                <w:color w:val="0000FF"/>
                <w:kern w:val="0"/>
                <w:szCs w:val="21"/>
                <w:highlight w:val="none"/>
              </w:rPr>
              <w:t>技术措施费：根据相关工程现行国家计量规范、《重庆市建设工程工程量清单计价规则》、《重庆市建设工程工程量计算规则》及经</w:t>
            </w:r>
            <w:r>
              <w:rPr>
                <w:rFonts w:hint="eastAsia" w:asciiTheme="minorEastAsia" w:hAnsiTheme="minorEastAsia" w:eastAsiaTheme="minorEastAsia" w:cstheme="minorEastAsia"/>
                <w:b w:val="0"/>
                <w:bCs/>
                <w:color w:val="0000FF"/>
                <w:kern w:val="0"/>
                <w:szCs w:val="21"/>
                <w:highlight w:val="none"/>
                <w:lang w:val="en-US" w:eastAsia="zh-CN"/>
              </w:rPr>
              <w:t>比选</w:t>
            </w:r>
            <w:r>
              <w:rPr>
                <w:rFonts w:hint="eastAsia" w:asciiTheme="minorEastAsia" w:hAnsiTheme="minorEastAsia" w:eastAsiaTheme="minorEastAsia" w:cstheme="minorEastAsia"/>
                <w:b w:val="0"/>
                <w:bCs/>
                <w:color w:val="0000FF"/>
                <w:kern w:val="0"/>
                <w:szCs w:val="21"/>
                <w:highlight w:val="none"/>
              </w:rPr>
              <w:t>人、监理人审定的施工组织设计或施工方案执行</w:t>
            </w:r>
            <w:r>
              <w:rPr>
                <w:rFonts w:hint="eastAsia" w:asciiTheme="minorEastAsia" w:hAnsiTheme="minorEastAsia" w:eastAsiaTheme="minorEastAsia" w:cstheme="minorEastAsia"/>
                <w:b w:val="0"/>
                <w:bCs/>
                <w:color w:val="0000FF"/>
                <w:kern w:val="0"/>
                <w:szCs w:val="21"/>
                <w:highlight w:val="none"/>
                <w:lang w:eastAsia="zh-CN"/>
              </w:rPr>
              <w:t>。</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lang w:val="en-US" w:eastAsia="zh-CN"/>
              </w:rPr>
              <w:t>6</w:t>
            </w:r>
            <w:r>
              <w:rPr>
                <w:rFonts w:hint="eastAsia" w:asciiTheme="minorEastAsia" w:hAnsiTheme="minorEastAsia" w:eastAsiaTheme="minorEastAsia" w:cstheme="minorEastAsia"/>
                <w:b w:val="0"/>
                <w:bCs/>
                <w:color w:val="0000FF"/>
                <w:kern w:val="0"/>
                <w:szCs w:val="21"/>
                <w:highlight w:val="none"/>
              </w:rPr>
              <w:t>）安全文明施工费：按照《重庆市建设工程安全文明施工费计取及使用管理规定》（渝建</w:t>
            </w:r>
            <w:r>
              <w:rPr>
                <w:rFonts w:hint="eastAsia" w:asciiTheme="minorEastAsia" w:hAnsiTheme="minorEastAsia" w:eastAsiaTheme="minorEastAsia" w:cstheme="minorEastAsia"/>
                <w:b w:val="0"/>
                <w:bCs/>
                <w:color w:val="0000FF"/>
                <w:kern w:val="0"/>
                <w:szCs w:val="21"/>
                <w:highlight w:val="none"/>
                <w:lang w:val="en-US" w:eastAsia="zh-CN"/>
              </w:rPr>
              <w:t>管</w:t>
            </w:r>
            <w:r>
              <w:rPr>
                <w:rFonts w:hint="eastAsia" w:asciiTheme="minorEastAsia" w:hAnsiTheme="minorEastAsia" w:eastAsiaTheme="minorEastAsia" w:cstheme="minorEastAsia"/>
                <w:b w:val="0"/>
                <w:bCs/>
                <w:color w:val="0000FF"/>
                <w:kern w:val="0"/>
                <w:szCs w:val="21"/>
                <w:highlight w:val="none"/>
              </w:rPr>
              <w:t>[20</w:t>
            </w:r>
            <w:r>
              <w:rPr>
                <w:rFonts w:hint="eastAsia" w:asciiTheme="minorEastAsia" w:hAnsiTheme="minorEastAsia" w:eastAsiaTheme="minorEastAsia" w:cstheme="minorEastAsia"/>
                <w:b w:val="0"/>
                <w:bCs/>
                <w:color w:val="0000FF"/>
                <w:kern w:val="0"/>
                <w:szCs w:val="21"/>
                <w:highlight w:val="none"/>
                <w:lang w:val="en-US" w:eastAsia="zh-CN"/>
              </w:rPr>
              <w:t>24</w:t>
            </w:r>
            <w:r>
              <w:rPr>
                <w:rFonts w:hint="eastAsia" w:asciiTheme="minorEastAsia" w:hAnsiTheme="minorEastAsia" w:eastAsiaTheme="minorEastAsia" w:cstheme="minorEastAsia"/>
                <w:b w:val="0"/>
                <w:bCs/>
                <w:color w:val="0000FF"/>
                <w:kern w:val="0"/>
                <w:szCs w:val="21"/>
                <w:highlight w:val="none"/>
              </w:rPr>
              <w:t>]</w:t>
            </w:r>
            <w:r>
              <w:rPr>
                <w:rFonts w:hint="eastAsia" w:asciiTheme="minorEastAsia" w:hAnsiTheme="minorEastAsia" w:eastAsiaTheme="minorEastAsia" w:cstheme="minorEastAsia"/>
                <w:b w:val="0"/>
                <w:bCs/>
                <w:color w:val="0000FF"/>
                <w:kern w:val="0"/>
                <w:szCs w:val="21"/>
                <w:highlight w:val="none"/>
                <w:lang w:val="en-US" w:eastAsia="zh-CN"/>
              </w:rPr>
              <w:t>38</w:t>
            </w:r>
            <w:r>
              <w:rPr>
                <w:rFonts w:hint="eastAsia" w:asciiTheme="minorEastAsia" w:hAnsiTheme="minorEastAsia" w:eastAsiaTheme="minorEastAsia" w:cstheme="minorEastAsia"/>
                <w:b w:val="0"/>
                <w:bCs/>
                <w:color w:val="0000FF"/>
                <w:kern w:val="0"/>
                <w:szCs w:val="21"/>
                <w:highlight w:val="none"/>
              </w:rPr>
              <w:t>号）规定的合格标准（若有创先创优成功的单项工程，结算时按渝建</w:t>
            </w:r>
            <w:r>
              <w:rPr>
                <w:rFonts w:hint="eastAsia" w:asciiTheme="minorEastAsia" w:hAnsiTheme="minorEastAsia" w:eastAsiaTheme="minorEastAsia" w:cstheme="minorEastAsia"/>
                <w:b w:val="0"/>
                <w:bCs/>
                <w:color w:val="0000FF"/>
                <w:kern w:val="0"/>
                <w:szCs w:val="21"/>
                <w:highlight w:val="none"/>
                <w:lang w:val="en-US" w:eastAsia="zh-CN"/>
              </w:rPr>
              <w:t>管</w:t>
            </w:r>
            <w:r>
              <w:rPr>
                <w:rFonts w:hint="eastAsia" w:asciiTheme="minorEastAsia" w:hAnsiTheme="minorEastAsia" w:eastAsiaTheme="minorEastAsia" w:cstheme="minorEastAsia"/>
                <w:b w:val="0"/>
                <w:bCs/>
                <w:color w:val="0000FF"/>
                <w:kern w:val="0"/>
                <w:szCs w:val="21"/>
                <w:highlight w:val="none"/>
              </w:rPr>
              <w:t>[20</w:t>
            </w:r>
            <w:r>
              <w:rPr>
                <w:rFonts w:hint="eastAsia" w:asciiTheme="minorEastAsia" w:hAnsiTheme="minorEastAsia" w:eastAsiaTheme="minorEastAsia" w:cstheme="minorEastAsia"/>
                <w:b w:val="0"/>
                <w:bCs/>
                <w:color w:val="0000FF"/>
                <w:kern w:val="0"/>
                <w:szCs w:val="21"/>
                <w:highlight w:val="none"/>
                <w:lang w:val="en-US" w:eastAsia="zh-CN"/>
              </w:rPr>
              <w:t>24</w:t>
            </w:r>
            <w:r>
              <w:rPr>
                <w:rFonts w:hint="eastAsia" w:asciiTheme="minorEastAsia" w:hAnsiTheme="minorEastAsia" w:eastAsiaTheme="minorEastAsia" w:cstheme="minorEastAsia"/>
                <w:b w:val="0"/>
                <w:bCs/>
                <w:color w:val="0000FF"/>
                <w:kern w:val="0"/>
                <w:szCs w:val="21"/>
                <w:highlight w:val="none"/>
              </w:rPr>
              <w:t>]</w:t>
            </w:r>
            <w:r>
              <w:rPr>
                <w:rFonts w:hint="eastAsia" w:asciiTheme="minorEastAsia" w:hAnsiTheme="minorEastAsia" w:eastAsiaTheme="minorEastAsia" w:cstheme="minorEastAsia"/>
                <w:b w:val="0"/>
                <w:bCs/>
                <w:color w:val="0000FF"/>
                <w:kern w:val="0"/>
                <w:szCs w:val="21"/>
                <w:highlight w:val="none"/>
                <w:lang w:val="en-US" w:eastAsia="zh-CN"/>
              </w:rPr>
              <w:t>38</w:t>
            </w:r>
            <w:r>
              <w:rPr>
                <w:rFonts w:hint="eastAsia" w:asciiTheme="minorEastAsia" w:hAnsiTheme="minorEastAsia" w:eastAsiaTheme="minorEastAsia" w:cstheme="minorEastAsia"/>
                <w:b w:val="0"/>
                <w:bCs/>
                <w:color w:val="0000FF"/>
                <w:kern w:val="0"/>
                <w:szCs w:val="21"/>
                <w:highlight w:val="none"/>
              </w:rPr>
              <w:t>号标准计入安全文明施工费）执行。施工期间，若相关行政主管部门颁布了新的重庆市建设安全文明施工费计取及使用管理规定的，按新颁布的文件规定执行。</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lang w:val="en-US" w:eastAsia="zh-CN"/>
              </w:rPr>
              <w:t>7</w:t>
            </w:r>
            <w:r>
              <w:rPr>
                <w:rFonts w:hint="eastAsia" w:asciiTheme="minorEastAsia" w:hAnsiTheme="minorEastAsia" w:eastAsiaTheme="minorEastAsia" w:cstheme="minorEastAsia"/>
                <w:b w:val="0"/>
                <w:bCs/>
                <w:color w:val="0000FF"/>
                <w:kern w:val="0"/>
                <w:szCs w:val="21"/>
                <w:highlight w:val="none"/>
              </w:rPr>
              <w:t>）规费：按《重庆市建设工程费用定额》（CQFYDE-2018）费用标准执行。</w:t>
            </w:r>
          </w:p>
          <w:p>
            <w:pPr>
              <w:spacing w:line="360" w:lineRule="auto"/>
              <w:ind w:firstLine="420" w:firstLineChars="200"/>
              <w:rPr>
                <w:rFonts w:hint="eastAsia" w:asciiTheme="minorEastAsia" w:hAnsiTheme="minorEastAsia" w:eastAsiaTheme="minorEastAsia" w:cstheme="minorEastAsia"/>
                <w:b w:val="0"/>
                <w:bCs/>
                <w:color w:val="0000FF"/>
                <w:kern w:val="0"/>
                <w:szCs w:val="21"/>
                <w:highlight w:val="none"/>
              </w:rPr>
            </w:pPr>
            <w:r>
              <w:rPr>
                <w:rFonts w:hint="eastAsia" w:asciiTheme="minorEastAsia" w:hAnsiTheme="minorEastAsia" w:eastAsiaTheme="minorEastAsia" w:cstheme="minorEastAsia"/>
                <w:b w:val="0"/>
                <w:bCs/>
                <w:color w:val="0000FF"/>
                <w:kern w:val="0"/>
                <w:szCs w:val="21"/>
                <w:highlight w:val="none"/>
                <w:lang w:val="en-US" w:eastAsia="zh-CN"/>
              </w:rPr>
              <w:t>8</w:t>
            </w:r>
            <w:r>
              <w:rPr>
                <w:rFonts w:hint="eastAsia" w:asciiTheme="minorEastAsia" w:hAnsiTheme="minorEastAsia" w:eastAsiaTheme="minorEastAsia" w:cstheme="minorEastAsia"/>
                <w:b w:val="0"/>
                <w:bCs/>
                <w:color w:val="0000FF"/>
                <w:kern w:val="0"/>
                <w:szCs w:val="21"/>
                <w:highlight w:val="none"/>
              </w:rPr>
              <w:t>）税金：包含增值税、城市维护建设税、教育费附加、地方教育附加以及环境保护税。按《重庆市建设工程费用定额》（CQFYDE-2018）、《重庆市城乡建设委员会关于建筑业营业税改征增值税调整建设工程计价依据的通知》（渝建发（2016）35号）、《重庆城乡建设委员会关于适用增值税新税率调整建设工程计价依据的通知》（渝建【2018】195号）、渝建发〔2019〕143号文件及配套文件的规定计算。附加税按工程所在市区适用税率计算。</w:t>
            </w:r>
          </w:p>
          <w:p>
            <w:pPr>
              <w:spacing w:line="360" w:lineRule="auto"/>
              <w:ind w:firstLine="422" w:firstLineChars="200"/>
              <w:rPr>
                <w:rFonts w:asciiTheme="minorEastAsia" w:hAnsiTheme="minorEastAsia" w:eastAsiaTheme="minorEastAsia" w:cstheme="minorEastAsia"/>
                <w:b/>
                <w:color w:val="0000FF"/>
                <w:kern w:val="0"/>
                <w:szCs w:val="21"/>
                <w:highlight w:val="none"/>
              </w:rPr>
            </w:pPr>
            <w:r>
              <w:rPr>
                <w:rFonts w:hint="eastAsia" w:asciiTheme="minorEastAsia" w:hAnsiTheme="minorEastAsia" w:eastAsiaTheme="minorEastAsia" w:cstheme="minorEastAsia"/>
                <w:b/>
                <w:color w:val="0000FF"/>
                <w:kern w:val="0"/>
                <w:szCs w:val="21"/>
                <w:highlight w:val="none"/>
              </w:rPr>
              <w:t>审计费：</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color w:val="0000FF"/>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2</w:t>
            </w:r>
          </w:p>
        </w:tc>
        <w:tc>
          <w:tcPr>
            <w:tcW w:w="164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工程款支付</w:t>
            </w:r>
          </w:p>
        </w:tc>
        <w:tc>
          <w:tcPr>
            <w:tcW w:w="6490" w:type="dxa"/>
            <w:vAlign w:val="top"/>
          </w:tcPr>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rPr>
              <w:t>原则上每3个月结算一次。</w:t>
            </w:r>
            <w:r>
              <w:rPr>
                <w:rFonts w:hint="eastAsia" w:asciiTheme="minorEastAsia" w:hAnsiTheme="minorEastAsia" w:eastAsiaTheme="minorEastAsia" w:cstheme="minorEastAsia"/>
                <w:color w:val="0000FF"/>
                <w:sz w:val="21"/>
                <w:szCs w:val="21"/>
                <w:lang w:val="en-US" w:eastAsia="zh-CN"/>
              </w:rPr>
              <w:t>竞选人</w:t>
            </w:r>
            <w:r>
              <w:rPr>
                <w:rFonts w:hint="eastAsia" w:asciiTheme="minorEastAsia" w:hAnsiTheme="minorEastAsia" w:eastAsiaTheme="minorEastAsia" w:cstheme="minorEastAsia"/>
                <w:color w:val="0000FF"/>
                <w:sz w:val="21"/>
                <w:szCs w:val="21"/>
              </w:rPr>
              <w:t>完成维修、安装、调试等工作并通过</w:t>
            </w:r>
            <w:r>
              <w:rPr>
                <w:rFonts w:hint="eastAsia" w:asciiTheme="minorEastAsia" w:hAnsiTheme="minorEastAsia" w:eastAsiaTheme="minorEastAsia" w:cstheme="minorEastAsia"/>
                <w:color w:val="0000FF"/>
                <w:sz w:val="21"/>
                <w:szCs w:val="21"/>
                <w:lang w:val="en-US" w:eastAsia="zh-CN"/>
              </w:rPr>
              <w:t>比选人</w:t>
            </w:r>
            <w:r>
              <w:rPr>
                <w:rFonts w:hint="eastAsia" w:asciiTheme="minorEastAsia" w:hAnsiTheme="minorEastAsia" w:eastAsiaTheme="minorEastAsia" w:cstheme="minorEastAsia"/>
                <w:color w:val="0000FF"/>
                <w:sz w:val="21"/>
                <w:szCs w:val="21"/>
              </w:rPr>
              <w:t>验收合格后，按每3个月结算一次的原则提交结算申请，</w:t>
            </w:r>
            <w:r>
              <w:rPr>
                <w:rFonts w:hint="eastAsia" w:asciiTheme="minorEastAsia" w:hAnsiTheme="minorEastAsia" w:eastAsiaTheme="minorEastAsia" w:cstheme="minorEastAsia"/>
                <w:color w:val="0000FF"/>
                <w:sz w:val="21"/>
                <w:szCs w:val="21"/>
                <w:lang w:val="en-US" w:eastAsia="zh-CN"/>
              </w:rPr>
              <w:t>比选人</w:t>
            </w:r>
            <w:r>
              <w:rPr>
                <w:rFonts w:hint="eastAsia" w:asciiTheme="minorEastAsia" w:hAnsiTheme="minorEastAsia" w:eastAsiaTheme="minorEastAsia" w:cstheme="minorEastAsia"/>
                <w:color w:val="0000FF"/>
                <w:sz w:val="21"/>
                <w:szCs w:val="21"/>
              </w:rPr>
              <w:t>向</w:t>
            </w:r>
            <w:r>
              <w:rPr>
                <w:rFonts w:hint="eastAsia" w:asciiTheme="minorEastAsia" w:hAnsiTheme="minorEastAsia" w:eastAsiaTheme="minorEastAsia" w:cstheme="minorEastAsia"/>
                <w:color w:val="0000FF"/>
                <w:sz w:val="21"/>
                <w:szCs w:val="21"/>
                <w:lang w:val="en-US" w:eastAsia="zh-CN"/>
              </w:rPr>
              <w:t>竞选人</w:t>
            </w:r>
            <w:r>
              <w:rPr>
                <w:rFonts w:hint="eastAsia" w:asciiTheme="minorEastAsia" w:hAnsiTheme="minorEastAsia" w:eastAsiaTheme="minorEastAsia" w:cstheme="minorEastAsia"/>
                <w:color w:val="0000FF"/>
                <w:sz w:val="21"/>
                <w:szCs w:val="21"/>
              </w:rPr>
              <w:t>支付</w:t>
            </w:r>
            <w:r>
              <w:rPr>
                <w:rFonts w:hint="eastAsia" w:asciiTheme="minorEastAsia" w:hAnsiTheme="minorEastAsia" w:eastAsiaTheme="minorEastAsia" w:cstheme="minorEastAsia"/>
                <w:color w:val="0000FF"/>
                <w:sz w:val="21"/>
                <w:szCs w:val="21"/>
                <w:lang w:val="en-US" w:eastAsia="zh-CN"/>
              </w:rPr>
              <w:t>当次审定</w:t>
            </w:r>
            <w:r>
              <w:rPr>
                <w:rFonts w:hint="eastAsia" w:asciiTheme="minorEastAsia" w:hAnsiTheme="minorEastAsia" w:eastAsiaTheme="minorEastAsia" w:cstheme="minorEastAsia"/>
                <w:color w:val="0000FF"/>
                <w:sz w:val="21"/>
                <w:szCs w:val="21"/>
              </w:rPr>
              <w:t>结算价的97%</w:t>
            </w:r>
            <w:r>
              <w:rPr>
                <w:rFonts w:hint="eastAsia" w:asciiTheme="minorEastAsia" w:hAnsiTheme="minorEastAsia" w:eastAsiaTheme="minorEastAsia" w:cstheme="minorEastAsia"/>
                <w:color w:val="0000FF"/>
                <w:sz w:val="21"/>
                <w:szCs w:val="21"/>
                <w:lang w:eastAsia="zh-CN"/>
              </w:rPr>
              <w:t>；</w:t>
            </w:r>
            <w:r>
              <w:rPr>
                <w:rFonts w:hint="eastAsia" w:asciiTheme="minorEastAsia" w:hAnsiTheme="minorEastAsia" w:eastAsiaTheme="minorEastAsia" w:cstheme="minorEastAsia"/>
                <w:color w:val="0000FF"/>
                <w:sz w:val="21"/>
                <w:szCs w:val="21"/>
              </w:rPr>
              <w:t>保修期满后30日内，若无任何质量问题，</w:t>
            </w:r>
            <w:r>
              <w:rPr>
                <w:rFonts w:hint="eastAsia" w:asciiTheme="minorEastAsia" w:hAnsiTheme="minorEastAsia" w:eastAsiaTheme="minorEastAsia" w:cstheme="minorEastAsia"/>
                <w:color w:val="0000FF"/>
                <w:sz w:val="21"/>
                <w:szCs w:val="21"/>
                <w:lang w:val="en-US" w:eastAsia="zh-CN"/>
              </w:rPr>
              <w:t>比选人</w:t>
            </w:r>
            <w:r>
              <w:rPr>
                <w:rFonts w:hint="eastAsia" w:asciiTheme="minorEastAsia" w:hAnsiTheme="minorEastAsia" w:eastAsiaTheme="minorEastAsia" w:cstheme="minorEastAsia"/>
                <w:color w:val="0000FF"/>
                <w:sz w:val="21"/>
                <w:szCs w:val="21"/>
              </w:rPr>
              <w:t>向</w:t>
            </w:r>
            <w:r>
              <w:rPr>
                <w:rFonts w:hint="eastAsia" w:asciiTheme="minorEastAsia" w:hAnsiTheme="minorEastAsia" w:eastAsiaTheme="minorEastAsia" w:cstheme="minorEastAsia"/>
                <w:color w:val="0000FF"/>
                <w:sz w:val="21"/>
                <w:szCs w:val="21"/>
                <w:lang w:val="en-US" w:eastAsia="zh-CN"/>
              </w:rPr>
              <w:t>竞选</w:t>
            </w:r>
            <w:r>
              <w:rPr>
                <w:rFonts w:hint="eastAsia" w:asciiTheme="minorEastAsia" w:hAnsiTheme="minorEastAsia" w:eastAsiaTheme="minorEastAsia" w:cstheme="minorEastAsia"/>
                <w:color w:val="0000FF"/>
                <w:sz w:val="21"/>
                <w:szCs w:val="21"/>
              </w:rPr>
              <w:t>支付全部剩余尾款3%（不计利息）。</w:t>
            </w:r>
          </w:p>
          <w:p>
            <w:pPr>
              <w:pStyle w:val="18"/>
              <w:ind w:firstLine="422" w:firstLineChars="200"/>
              <w:rPr>
                <w:rFonts w:hint="eastAsia"/>
              </w:rPr>
            </w:pPr>
            <w:r>
              <w:rPr>
                <w:rFonts w:hint="eastAsia"/>
                <w:b/>
                <w:bCs/>
                <w:color w:val="0000FF"/>
                <w:lang w:val="en-US" w:eastAsia="zh-CN"/>
              </w:rPr>
              <w:t>累计支付金额不超过30万元。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644" w:type="dxa"/>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vAlign w:val="top"/>
          </w:tcPr>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widowControl/>
              <w:spacing w:line="400" w:lineRule="exact"/>
              <w:ind w:firstLine="420" w:firstLineChars="200"/>
              <w:rPr>
                <w:rFonts w:hint="default" w:ascii="宋体" w:hAnsi="宋体"/>
                <w:color w:val="0000FF"/>
                <w:kern w:val="0"/>
                <w:szCs w:val="21"/>
                <w:highlight w:val="none"/>
                <w:lang w:val="en-US"/>
              </w:rPr>
            </w:pPr>
            <w:r>
              <w:rPr>
                <w:rFonts w:hint="eastAsia" w:ascii="宋体" w:hAnsi="宋体"/>
                <w:kern w:val="0"/>
                <w:szCs w:val="21"/>
                <w:highlight w:val="none"/>
              </w:rPr>
              <w:t>4.</w:t>
            </w:r>
            <w:r>
              <w:rPr>
                <w:rFonts w:hint="eastAsia" w:ascii="宋体" w:hAnsi="宋体"/>
                <w:color w:val="0000FF"/>
                <w:kern w:val="0"/>
                <w:szCs w:val="21"/>
                <w:highlight w:val="none"/>
              </w:rPr>
              <w:t>异议受理单位：</w:t>
            </w:r>
            <w:r>
              <w:rPr>
                <w:rFonts w:hint="eastAsia" w:ascii="宋体" w:hAnsi="宋体"/>
                <w:color w:val="0000FF"/>
                <w:kern w:val="0"/>
                <w:szCs w:val="21"/>
                <w:highlight w:val="none"/>
                <w:lang w:eastAsia="zh-CN"/>
              </w:rPr>
              <w:t>重庆经开区投资集团有限公司</w:t>
            </w:r>
          </w:p>
          <w:p>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0000FF"/>
                <w:kern w:val="0"/>
                <w:szCs w:val="21"/>
                <w:highlight w:val="none"/>
              </w:rPr>
              <w:t>联系电话：</w:t>
            </w:r>
            <w:r>
              <w:rPr>
                <w:rFonts w:hint="eastAsia" w:ascii="宋体" w:hAnsi="宋体"/>
                <w:color w:val="0000FF"/>
                <w:kern w:val="0"/>
                <w:szCs w:val="21"/>
                <w:highlight w:val="none"/>
                <w:lang w:val="en-US" w:eastAsia="zh-CN"/>
              </w:rPr>
              <w:t>62637528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pPr>
        <w:pStyle w:val="4"/>
        <w:spacing w:before="0" w:after="0" w:line="200" w:lineRule="exact"/>
        <w:outlineLvl w:val="9"/>
        <w:rPr>
          <w:rFonts w:ascii="宋体" w:hAnsi="宋体"/>
          <w:b w:val="0"/>
          <w:snapToGrid w:val="0"/>
          <w:highlight w:val="none"/>
        </w:rPr>
      </w:pPr>
      <w:bookmarkStart w:id="110" w:name="_Toc224103317"/>
      <w:bookmarkStart w:id="111" w:name="_Toc200513126"/>
      <w:bookmarkStart w:id="112" w:name="_Toc277082552"/>
      <w:bookmarkStart w:id="113" w:name="_Toc287620685"/>
      <w:bookmarkStart w:id="114" w:name="_Toc430530435"/>
      <w:bookmarkStart w:id="115" w:name="_Toc287607746"/>
    </w:p>
    <w:bookmarkEnd w:id="110"/>
    <w:bookmarkEnd w:id="111"/>
    <w:bookmarkEnd w:id="112"/>
    <w:bookmarkEnd w:id="113"/>
    <w:bookmarkEnd w:id="114"/>
    <w:bookmarkEnd w:id="115"/>
    <w:p>
      <w:pPr>
        <w:pStyle w:val="5"/>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pgSz w:w="11906" w:h="16838"/>
          <w:pgMar w:top="1134" w:right="1418" w:bottom="1134" w:left="1418" w:header="851" w:footer="992" w:gutter="0"/>
          <w:cols w:space="720" w:num="1"/>
          <w:docGrid w:type="lines" w:linePitch="312" w:charSpace="0"/>
        </w:sectPr>
      </w:pPr>
      <w:bookmarkStart w:id="116" w:name="_Toc19008"/>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1.总则</w:t>
      </w:r>
      <w:bookmarkEnd w:id="116"/>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17" w:name="_Toc293756837"/>
      <w:bookmarkStart w:id="118" w:name="_Toc9752"/>
      <w:bookmarkStart w:id="119" w:name="_Toc293756840"/>
      <w:r>
        <w:rPr>
          <w:rFonts w:hint="eastAsia" w:ascii="宋体" w:hAnsi="宋体" w:eastAsia="宋体" w:cs="宋体"/>
          <w:color w:val="auto"/>
          <w:sz w:val="21"/>
          <w:szCs w:val="21"/>
          <w:highlight w:val="none"/>
        </w:rPr>
        <w:t>1.1 项目概况</w:t>
      </w:r>
      <w:bookmarkEnd w:id="117"/>
      <w:bookmarkEnd w:id="11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293756838"/>
      <w:bookmarkStart w:id="121" w:name="_Toc5437"/>
      <w:r>
        <w:rPr>
          <w:rFonts w:hint="eastAsia" w:ascii="宋体" w:hAnsi="宋体" w:eastAsia="宋体" w:cs="宋体"/>
          <w:color w:val="auto"/>
          <w:sz w:val="21"/>
          <w:szCs w:val="21"/>
          <w:highlight w:val="none"/>
        </w:rPr>
        <w:t>1.2 资金来源和落实情况</w:t>
      </w:r>
      <w:bookmarkEnd w:id="120"/>
      <w:bookmarkEnd w:id="12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2"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19957"/>
      <w:r>
        <w:rPr>
          <w:rFonts w:hint="eastAsia" w:ascii="宋体" w:hAnsi="宋体" w:eastAsia="宋体" w:cs="宋体"/>
          <w:color w:val="auto"/>
          <w:sz w:val="21"/>
          <w:szCs w:val="21"/>
          <w:highlight w:val="none"/>
        </w:rPr>
        <w:t>1.3 比选范围、计划工期和质量要求</w:t>
      </w:r>
      <w:bookmarkEnd w:id="122"/>
      <w:bookmarkEnd w:id="12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4" w:name="_Toc9928"/>
      <w:r>
        <w:rPr>
          <w:rFonts w:hint="eastAsia" w:ascii="宋体" w:hAnsi="宋体" w:eastAsia="宋体" w:cs="宋体"/>
          <w:color w:val="auto"/>
          <w:sz w:val="21"/>
          <w:szCs w:val="21"/>
          <w:highlight w:val="none"/>
        </w:rPr>
        <w:t xml:space="preserve">1.4 </w:t>
      </w:r>
      <w:bookmarkEnd w:id="119"/>
      <w:r>
        <w:rPr>
          <w:rFonts w:hint="eastAsia" w:ascii="宋体" w:hAnsi="宋体" w:eastAsia="宋体" w:cs="宋体"/>
          <w:color w:val="auto"/>
          <w:sz w:val="21"/>
          <w:szCs w:val="21"/>
          <w:highlight w:val="none"/>
          <w:lang w:eastAsia="zh-CN"/>
        </w:rPr>
        <w:t>投标人资格要求</w:t>
      </w:r>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5" w:name="_Toc293756841"/>
      <w:bookmarkStart w:id="126" w:name="_Toc4874"/>
      <w:r>
        <w:rPr>
          <w:rFonts w:hint="eastAsia" w:ascii="宋体" w:hAnsi="宋体" w:eastAsia="宋体" w:cs="宋体"/>
          <w:color w:val="auto"/>
          <w:sz w:val="21"/>
          <w:szCs w:val="21"/>
          <w:highlight w:val="none"/>
        </w:rPr>
        <w:t>1.5 费用承担</w:t>
      </w:r>
      <w:bookmarkEnd w:id="125"/>
      <w:bookmarkEnd w:id="12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11009"/>
      <w:bookmarkStart w:id="128" w:name="_Toc293756842"/>
      <w:r>
        <w:rPr>
          <w:rFonts w:hint="eastAsia" w:ascii="宋体" w:hAnsi="宋体" w:eastAsia="宋体" w:cs="宋体"/>
          <w:color w:val="auto"/>
          <w:sz w:val="21"/>
          <w:szCs w:val="21"/>
          <w:highlight w:val="none"/>
        </w:rPr>
        <w:t>1.6 保密</w:t>
      </w:r>
      <w:bookmarkEnd w:id="127"/>
      <w:bookmarkEnd w:id="12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9" w:name="_Toc293756843"/>
      <w:bookmarkStart w:id="130" w:name="_Toc18963"/>
      <w:r>
        <w:rPr>
          <w:rFonts w:hint="eastAsia" w:ascii="宋体" w:hAnsi="宋体" w:eastAsia="宋体" w:cs="宋体"/>
          <w:color w:val="auto"/>
          <w:sz w:val="21"/>
          <w:szCs w:val="21"/>
          <w:highlight w:val="none"/>
        </w:rPr>
        <w:t>1.7 语言文字</w:t>
      </w:r>
      <w:bookmarkEnd w:id="129"/>
      <w:bookmarkEnd w:id="13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1" w:name="_Toc104"/>
      <w:bookmarkStart w:id="132" w:name="_Toc293756844"/>
      <w:r>
        <w:rPr>
          <w:rFonts w:hint="eastAsia" w:ascii="宋体" w:hAnsi="宋体" w:eastAsia="宋体" w:cs="宋体"/>
          <w:color w:val="auto"/>
          <w:sz w:val="21"/>
          <w:szCs w:val="21"/>
          <w:highlight w:val="none"/>
        </w:rPr>
        <w:t>1.8 计量单位</w:t>
      </w:r>
      <w:bookmarkEnd w:id="131"/>
      <w:bookmarkEnd w:id="13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3" w:name="_Toc293756845"/>
      <w:bookmarkStart w:id="134" w:name="_Toc2427"/>
      <w:r>
        <w:rPr>
          <w:rFonts w:hint="eastAsia" w:ascii="宋体" w:hAnsi="宋体" w:eastAsia="宋体" w:cs="宋体"/>
          <w:color w:val="auto"/>
          <w:sz w:val="21"/>
          <w:szCs w:val="21"/>
          <w:highlight w:val="none"/>
        </w:rPr>
        <w:t>1.9 踏勘现场</w:t>
      </w:r>
      <w:bookmarkEnd w:id="133"/>
      <w:bookmarkEnd w:id="13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5" w:name="_Toc293756846"/>
      <w:bookmarkStart w:id="136" w:name="_Toc30203"/>
      <w:r>
        <w:rPr>
          <w:rFonts w:hint="eastAsia" w:ascii="宋体" w:hAnsi="宋体" w:eastAsia="宋体" w:cs="宋体"/>
          <w:color w:val="auto"/>
          <w:sz w:val="21"/>
          <w:szCs w:val="21"/>
          <w:highlight w:val="none"/>
        </w:rPr>
        <w:t>1.10 比选预备会</w:t>
      </w:r>
      <w:bookmarkEnd w:id="135"/>
      <w:bookmarkEnd w:id="13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7" w:name="_Toc293756847"/>
      <w:bookmarkStart w:id="138" w:name="_Toc13696"/>
      <w:r>
        <w:rPr>
          <w:rFonts w:hint="eastAsia" w:ascii="宋体" w:hAnsi="宋体" w:eastAsia="宋体" w:cs="宋体"/>
          <w:color w:val="auto"/>
          <w:sz w:val="21"/>
          <w:szCs w:val="21"/>
          <w:highlight w:val="none"/>
        </w:rPr>
        <w:t>1.11 分包</w:t>
      </w:r>
      <w:bookmarkEnd w:id="137"/>
      <w:bookmarkEnd w:id="13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9" w:name="_Toc21334"/>
      <w:r>
        <w:rPr>
          <w:rFonts w:hint="eastAsia" w:ascii="宋体" w:hAnsi="宋体" w:eastAsia="宋体" w:cs="宋体"/>
          <w:color w:val="auto"/>
          <w:sz w:val="21"/>
          <w:szCs w:val="21"/>
          <w:highlight w:val="none"/>
        </w:rPr>
        <w:t>2.比选文件</w:t>
      </w:r>
      <w:bookmarkEnd w:id="139"/>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25177"/>
      <w:bookmarkStart w:id="141" w:name="_Toc293756848"/>
      <w:r>
        <w:rPr>
          <w:rFonts w:hint="eastAsia" w:ascii="宋体" w:hAnsi="宋体" w:eastAsia="宋体" w:cs="宋体"/>
          <w:color w:val="auto"/>
          <w:sz w:val="21"/>
          <w:szCs w:val="21"/>
          <w:highlight w:val="none"/>
        </w:rPr>
        <w:t>2.1比选文件的组成</w:t>
      </w:r>
      <w:bookmarkEnd w:id="140"/>
      <w:bookmarkEnd w:id="14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2" w:name="_Toc17073"/>
      <w:bookmarkStart w:id="143" w:name="_Toc293756849"/>
      <w:r>
        <w:rPr>
          <w:rFonts w:hint="eastAsia" w:ascii="宋体" w:hAnsi="宋体" w:eastAsia="宋体" w:cs="宋体"/>
          <w:color w:val="auto"/>
          <w:sz w:val="21"/>
          <w:szCs w:val="21"/>
          <w:highlight w:val="none"/>
        </w:rPr>
        <w:t>2.2比选文件的澄清</w:t>
      </w:r>
      <w:bookmarkEnd w:id="142"/>
      <w:bookmarkEnd w:id="14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5781"/>
      <w:bookmarkStart w:id="145" w:name="_Toc293756850"/>
      <w:r>
        <w:rPr>
          <w:rFonts w:hint="eastAsia" w:ascii="宋体" w:hAnsi="宋体" w:eastAsia="宋体" w:cs="宋体"/>
          <w:color w:val="auto"/>
          <w:sz w:val="21"/>
          <w:szCs w:val="21"/>
          <w:highlight w:val="none"/>
        </w:rPr>
        <w:t>2.3比选文件的修改</w:t>
      </w:r>
      <w:bookmarkEnd w:id="144"/>
      <w:bookmarkEnd w:id="14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293756851"/>
      <w:bookmarkStart w:id="147"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46"/>
      <w:bookmarkEnd w:id="147"/>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7406"/>
      <w:bookmarkStart w:id="149" w:name="_Toc293756852"/>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48"/>
      <w:bookmarkEnd w:id="14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）项目管理机构；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）拟分包项目情况表（如有）；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0"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1" w:name="_Toc3741"/>
      <w:r>
        <w:rPr>
          <w:rFonts w:hint="eastAsia" w:ascii="宋体" w:hAnsi="宋体" w:eastAsia="宋体" w:cs="宋体"/>
          <w:color w:val="auto"/>
          <w:sz w:val="21"/>
          <w:szCs w:val="21"/>
          <w:highlight w:val="none"/>
          <w:lang w:val="en-US" w:eastAsia="zh-CN"/>
        </w:rPr>
        <w:t>3.3  投标有效期</w:t>
      </w:r>
      <w:bookmarkEnd w:id="15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2" w:name="_Toc8270"/>
      <w:bookmarkStart w:id="153" w:name="_Toc293756853"/>
      <w:r>
        <w:rPr>
          <w:rFonts w:hint="eastAsia" w:ascii="宋体" w:hAnsi="宋体" w:eastAsia="宋体" w:cs="宋体"/>
          <w:color w:val="auto"/>
          <w:sz w:val="21"/>
          <w:szCs w:val="21"/>
          <w:highlight w:val="none"/>
        </w:rPr>
        <w:t>3.4 比选保证金</w:t>
      </w:r>
      <w:bookmarkEnd w:id="152"/>
      <w:bookmarkEnd w:id="15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4" w:name="_Toc293756854"/>
      <w:bookmarkStart w:id="155" w:name="_Toc250"/>
      <w:r>
        <w:rPr>
          <w:rFonts w:hint="eastAsia" w:ascii="宋体" w:hAnsi="宋体" w:eastAsia="宋体" w:cs="宋体"/>
          <w:color w:val="auto"/>
          <w:sz w:val="21"/>
          <w:szCs w:val="21"/>
          <w:highlight w:val="none"/>
        </w:rPr>
        <w:t>3.5 资格审查资料</w:t>
      </w:r>
      <w:bookmarkEnd w:id="154"/>
      <w:bookmarkEnd w:id="15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56"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10924"/>
      <w:r>
        <w:rPr>
          <w:rFonts w:hint="eastAsia" w:ascii="宋体" w:hAnsi="宋体" w:eastAsia="宋体" w:cs="宋体"/>
          <w:color w:val="auto"/>
          <w:sz w:val="21"/>
          <w:szCs w:val="21"/>
          <w:highlight w:val="none"/>
        </w:rPr>
        <w:t xml:space="preserve">4. </w:t>
      </w:r>
      <w:bookmarkEnd w:id="156"/>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57"/>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58" w:name="_Toc293756856"/>
      <w:bookmarkStart w:id="159"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58"/>
      <w:bookmarkEnd w:id="15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0" w:name="_Toc2798"/>
      <w:bookmarkStart w:id="161"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0"/>
      <w:bookmarkEnd w:id="16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2" w:name="_Toc288"/>
      <w:bookmarkStart w:id="163" w:name="_Toc29375685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2"/>
      <w:bookmarkEnd w:id="16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64" w:name="_Toc293756859"/>
      <w:bookmarkStart w:id="165" w:name="_Toc29290"/>
      <w:r>
        <w:rPr>
          <w:rFonts w:hint="eastAsia" w:ascii="宋体" w:hAnsi="宋体" w:eastAsia="宋体" w:cs="宋体"/>
          <w:color w:val="auto"/>
          <w:sz w:val="21"/>
          <w:szCs w:val="21"/>
          <w:highlight w:val="none"/>
        </w:rPr>
        <w:t xml:space="preserve">5. </w:t>
      </w:r>
      <w:bookmarkEnd w:id="164"/>
      <w:r>
        <w:rPr>
          <w:rFonts w:hint="eastAsia" w:ascii="宋体" w:hAnsi="宋体" w:eastAsia="宋体" w:cs="宋体"/>
          <w:color w:val="auto"/>
          <w:sz w:val="21"/>
          <w:szCs w:val="21"/>
          <w:highlight w:val="none"/>
        </w:rPr>
        <w:t>比选</w:t>
      </w:r>
      <w:bookmarkEnd w:id="165"/>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6939"/>
      <w:bookmarkStart w:id="167" w:name="_Toc293756860"/>
      <w:r>
        <w:rPr>
          <w:rFonts w:hint="eastAsia" w:ascii="宋体" w:hAnsi="宋体" w:eastAsia="宋体" w:cs="宋体"/>
          <w:color w:val="auto"/>
          <w:sz w:val="21"/>
          <w:szCs w:val="21"/>
          <w:highlight w:val="none"/>
        </w:rPr>
        <w:t>5.1 比选时间和地点</w:t>
      </w:r>
      <w:bookmarkEnd w:id="166"/>
      <w:bookmarkEnd w:id="16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716"/>
      <w:bookmarkStart w:id="169" w:name="_Toc293756861"/>
      <w:r>
        <w:rPr>
          <w:rFonts w:hint="eastAsia" w:ascii="宋体" w:hAnsi="宋体" w:eastAsia="宋体" w:cs="宋体"/>
          <w:color w:val="auto"/>
          <w:sz w:val="21"/>
          <w:szCs w:val="21"/>
          <w:highlight w:val="none"/>
        </w:rPr>
        <w:t>5.2 比选程序</w:t>
      </w:r>
      <w:bookmarkEnd w:id="168"/>
      <w:bookmarkEnd w:id="16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0"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71" w:name="_Toc24607"/>
      <w:r>
        <w:rPr>
          <w:rFonts w:hint="eastAsia" w:ascii="宋体" w:hAnsi="宋体" w:eastAsia="宋体" w:cs="宋体"/>
          <w:color w:val="auto"/>
          <w:sz w:val="21"/>
          <w:szCs w:val="21"/>
          <w:highlight w:val="none"/>
        </w:rPr>
        <w:t>6. 评</w:t>
      </w:r>
      <w:bookmarkEnd w:id="170"/>
      <w:r>
        <w:rPr>
          <w:rFonts w:hint="eastAsia" w:ascii="宋体" w:hAnsi="宋体" w:eastAsia="宋体" w:cs="宋体"/>
          <w:color w:val="auto"/>
          <w:sz w:val="21"/>
          <w:szCs w:val="21"/>
          <w:highlight w:val="none"/>
        </w:rPr>
        <w:t>审</w:t>
      </w:r>
      <w:bookmarkEnd w:id="171"/>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72" w:name="_Toc287620720"/>
      <w:bookmarkStart w:id="173" w:name="_Toc7646"/>
      <w:bookmarkStart w:id="174" w:name="_Toc224103352"/>
      <w:bookmarkStart w:id="175" w:name="_Toc509218745"/>
      <w:bookmarkStart w:id="176" w:name="_Toc200513161"/>
      <w:bookmarkStart w:id="177" w:name="_Toc287607781"/>
      <w:bookmarkStart w:id="178" w:name="_Toc430530470"/>
      <w:bookmarkStart w:id="179" w:name="_Toc277082587"/>
      <w:bookmarkStart w:id="180"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72"/>
      <w:bookmarkEnd w:id="173"/>
      <w:bookmarkEnd w:id="174"/>
      <w:bookmarkEnd w:id="175"/>
      <w:bookmarkEnd w:id="176"/>
      <w:bookmarkEnd w:id="177"/>
      <w:bookmarkEnd w:id="178"/>
      <w:bookmarkEnd w:id="17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1" w:name="_Toc27306"/>
      <w:bookmarkStart w:id="182" w:name="_Toc509218746"/>
      <w:bookmarkStart w:id="183" w:name="_Toc224103353"/>
      <w:bookmarkStart w:id="184" w:name="_Toc200513162"/>
      <w:bookmarkStart w:id="185" w:name="_Toc430530471"/>
      <w:bookmarkStart w:id="186" w:name="_Toc287607782"/>
      <w:bookmarkStart w:id="187" w:name="_Toc287620721"/>
      <w:bookmarkStart w:id="188" w:name="_Toc277082588"/>
      <w:r>
        <w:rPr>
          <w:rFonts w:hint="eastAsia" w:ascii="宋体" w:hAnsi="宋体" w:eastAsia="宋体" w:cs="宋体"/>
          <w:snapToGrid w:val="0"/>
          <w:color w:val="auto"/>
          <w:kern w:val="0"/>
          <w:sz w:val="21"/>
          <w:szCs w:val="21"/>
          <w:highlight w:val="none"/>
        </w:rPr>
        <w:t>（1）投标人或投标人的主要负责人的近亲属；</w:t>
      </w:r>
      <w:bookmarkEnd w:id="18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7327"/>
      <w:r>
        <w:rPr>
          <w:rFonts w:hint="eastAsia" w:ascii="宋体" w:hAnsi="宋体" w:eastAsia="宋体" w:cs="宋体"/>
          <w:snapToGrid w:val="0"/>
          <w:color w:val="auto"/>
          <w:kern w:val="0"/>
          <w:sz w:val="21"/>
          <w:szCs w:val="21"/>
          <w:highlight w:val="none"/>
        </w:rPr>
        <w:t>（2）项目主管部门或者项目行政监督部门的人员；</w:t>
      </w:r>
      <w:bookmarkEnd w:id="18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0"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0"/>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1"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2" w:name="_Toc7240"/>
      <w:r>
        <w:rPr>
          <w:rFonts w:hint="eastAsia" w:ascii="宋体" w:hAnsi="宋体" w:eastAsia="宋体" w:cs="宋体"/>
          <w:snapToGrid w:val="0"/>
          <w:color w:val="auto"/>
          <w:kern w:val="0"/>
          <w:sz w:val="21"/>
          <w:szCs w:val="21"/>
          <w:highlight w:val="none"/>
        </w:rPr>
        <w:t>（5）法律法规规定的其他情形。</w:t>
      </w:r>
      <w:bookmarkEnd w:id="19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3" w:name="_Toc349"/>
      <w:r>
        <w:rPr>
          <w:rFonts w:hint="eastAsia" w:ascii="宋体" w:hAnsi="宋体" w:eastAsia="宋体" w:cs="宋体"/>
          <w:color w:val="auto"/>
          <w:sz w:val="21"/>
          <w:szCs w:val="21"/>
          <w:highlight w:val="none"/>
          <w:lang w:val="en-US" w:eastAsia="zh-CN"/>
        </w:rPr>
        <w:t>6.2  评标原则</w:t>
      </w:r>
      <w:bookmarkEnd w:id="182"/>
      <w:bookmarkEnd w:id="183"/>
      <w:bookmarkEnd w:id="184"/>
      <w:bookmarkEnd w:id="185"/>
      <w:bookmarkEnd w:id="186"/>
      <w:bookmarkEnd w:id="187"/>
      <w:bookmarkEnd w:id="188"/>
      <w:bookmarkEnd w:id="19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194" w:name="_Toc224103354"/>
      <w:bookmarkStart w:id="195" w:name="_Toc287620722"/>
      <w:bookmarkStart w:id="196" w:name="_Toc509218747"/>
      <w:bookmarkStart w:id="197" w:name="_Toc287607783"/>
      <w:bookmarkStart w:id="198" w:name="_Toc200513163"/>
      <w:bookmarkStart w:id="199" w:name="_Toc277082589"/>
      <w:bookmarkStart w:id="200" w:name="_Toc430530472"/>
      <w:bookmarkStart w:id="201" w:name="_Toc3231"/>
      <w:r>
        <w:rPr>
          <w:rFonts w:hint="eastAsia" w:ascii="宋体" w:hAnsi="宋体" w:eastAsia="宋体" w:cs="宋体"/>
          <w:color w:val="auto"/>
          <w:sz w:val="21"/>
          <w:szCs w:val="21"/>
          <w:highlight w:val="none"/>
          <w:lang w:val="en-US" w:eastAsia="zh-CN"/>
        </w:rPr>
        <w:t>6.3  评标</w:t>
      </w:r>
      <w:bookmarkEnd w:id="194"/>
      <w:bookmarkEnd w:id="195"/>
      <w:bookmarkEnd w:id="196"/>
      <w:bookmarkEnd w:id="197"/>
      <w:bookmarkEnd w:id="198"/>
      <w:bookmarkEnd w:id="199"/>
      <w:bookmarkEnd w:id="200"/>
      <w:bookmarkEnd w:id="2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02" w:name="_Toc5190"/>
      <w:r>
        <w:rPr>
          <w:rFonts w:hint="eastAsia" w:ascii="宋体" w:hAnsi="宋体" w:eastAsia="宋体" w:cs="宋体"/>
          <w:color w:val="auto"/>
          <w:sz w:val="21"/>
          <w:szCs w:val="21"/>
          <w:highlight w:val="none"/>
        </w:rPr>
        <w:t>7. 合同授予</w:t>
      </w:r>
      <w:bookmarkEnd w:id="180"/>
      <w:bookmarkEnd w:id="202"/>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3" w:name="_Toc13886"/>
      <w:bookmarkStart w:id="204" w:name="_Toc293756867"/>
      <w:r>
        <w:rPr>
          <w:rFonts w:hint="eastAsia" w:ascii="宋体" w:hAnsi="宋体" w:eastAsia="宋体" w:cs="宋体"/>
          <w:color w:val="auto"/>
          <w:sz w:val="21"/>
          <w:szCs w:val="21"/>
          <w:highlight w:val="none"/>
        </w:rPr>
        <w:t>7.1 定选方式</w:t>
      </w:r>
      <w:bookmarkEnd w:id="203"/>
      <w:bookmarkEnd w:id="20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5" w:name="_Toc293756868"/>
      <w:bookmarkStart w:id="206" w:name="_Toc17919"/>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05"/>
      <w:bookmarkEnd w:id="2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07"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0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08" w:name="_Toc5235"/>
      <w:bookmarkStart w:id="209" w:name="_Toc293756870"/>
      <w:r>
        <w:rPr>
          <w:rFonts w:hint="eastAsia" w:ascii="宋体" w:hAnsi="宋体" w:eastAsia="宋体" w:cs="宋体"/>
          <w:color w:val="auto"/>
          <w:sz w:val="21"/>
          <w:szCs w:val="21"/>
          <w:highlight w:val="none"/>
        </w:rPr>
        <w:t>7.4 签订合同</w:t>
      </w:r>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10" w:name="_Toc21469"/>
      <w:bookmarkStart w:id="211" w:name="_Toc293756871"/>
      <w:r>
        <w:rPr>
          <w:rFonts w:hint="eastAsia" w:ascii="宋体" w:hAnsi="宋体" w:eastAsia="宋体" w:cs="宋体"/>
          <w:color w:val="auto"/>
          <w:sz w:val="21"/>
          <w:szCs w:val="21"/>
          <w:highlight w:val="none"/>
        </w:rPr>
        <w:t>8. 重新比选和不再比选</w:t>
      </w:r>
      <w:bookmarkEnd w:id="210"/>
      <w:bookmarkEnd w:id="21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12" w:name="_Toc287620729"/>
      <w:bookmarkStart w:id="213" w:name="_Toc430530479"/>
      <w:bookmarkStart w:id="214" w:name="_Toc200513170"/>
      <w:bookmarkStart w:id="215" w:name="_Toc287607790"/>
      <w:bookmarkStart w:id="216" w:name="_Toc224103361"/>
      <w:bookmarkStart w:id="217" w:name="_Toc509218754"/>
      <w:bookmarkStart w:id="218" w:name="_Toc277082596"/>
      <w:bookmarkStart w:id="219" w:name="_Toc27002"/>
      <w:bookmarkStart w:id="220" w:name="_Toc284231394"/>
      <w:bookmarkStart w:id="221" w:name="_Toc293756873"/>
      <w:r>
        <w:rPr>
          <w:rFonts w:hint="eastAsia" w:ascii="宋体" w:hAnsi="宋体" w:eastAsia="宋体" w:cs="宋体"/>
          <w:b w:val="0"/>
          <w:bCs/>
          <w:snapToGrid w:val="0"/>
          <w:color w:val="auto"/>
          <w:kern w:val="2"/>
          <w:sz w:val="21"/>
          <w:szCs w:val="21"/>
          <w:highlight w:val="none"/>
          <w:lang w:val="en-US" w:eastAsia="zh-CN" w:bidi="ar-SA"/>
        </w:rPr>
        <w:t>8.1  重新</w:t>
      </w:r>
      <w:bookmarkEnd w:id="212"/>
      <w:bookmarkEnd w:id="213"/>
      <w:bookmarkEnd w:id="214"/>
      <w:bookmarkEnd w:id="215"/>
      <w:bookmarkEnd w:id="216"/>
      <w:bookmarkEnd w:id="217"/>
      <w:bookmarkEnd w:id="218"/>
      <w:r>
        <w:rPr>
          <w:rFonts w:hint="eastAsia" w:ascii="宋体" w:hAnsi="宋体" w:eastAsia="宋体" w:cs="宋体"/>
          <w:b w:val="0"/>
          <w:bCs/>
          <w:snapToGrid w:val="0"/>
          <w:color w:val="auto"/>
          <w:kern w:val="2"/>
          <w:sz w:val="21"/>
          <w:szCs w:val="21"/>
          <w:highlight w:val="none"/>
          <w:lang w:val="en-US" w:eastAsia="zh-CN" w:bidi="ar-SA"/>
        </w:rPr>
        <w:t>比选</w:t>
      </w:r>
      <w:bookmarkEnd w:id="219"/>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5"/>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22" w:name="_Toc28804"/>
      <w:r>
        <w:rPr>
          <w:rFonts w:hint="eastAsia" w:ascii="宋体" w:hAnsi="宋体" w:eastAsia="宋体" w:cs="宋体"/>
          <w:color w:val="auto"/>
          <w:sz w:val="21"/>
          <w:szCs w:val="21"/>
          <w:highlight w:val="none"/>
        </w:rPr>
        <w:t>8.2 不再</w:t>
      </w:r>
      <w:bookmarkEnd w:id="220"/>
      <w:bookmarkEnd w:id="221"/>
      <w:r>
        <w:rPr>
          <w:rFonts w:hint="eastAsia" w:ascii="宋体" w:hAnsi="宋体" w:eastAsia="宋体" w:cs="宋体"/>
          <w:color w:val="auto"/>
          <w:sz w:val="21"/>
          <w:szCs w:val="21"/>
          <w:highlight w:val="none"/>
        </w:rPr>
        <w:t>比选</w:t>
      </w:r>
      <w:bookmarkEnd w:id="22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23" w:name="_Toc284158456"/>
      <w:bookmarkStart w:id="224" w:name="_Toc288045280"/>
      <w:bookmarkStart w:id="225" w:name="_Toc288046894"/>
      <w:bookmarkStart w:id="226" w:name="_Toc288052291"/>
      <w:bookmarkStart w:id="227" w:name="_Toc288046541"/>
      <w:bookmarkStart w:id="228" w:name="_Toc284159224"/>
      <w:bookmarkStart w:id="229" w:name="_Toc284231395"/>
      <w:bookmarkStart w:id="230" w:name="_Toc284158539"/>
      <w:bookmarkStart w:id="231" w:name="_Toc284159360"/>
      <w:bookmarkStart w:id="232" w:name="_Toc293756874"/>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23"/>
      <w:bookmarkEnd w:id="224"/>
      <w:bookmarkEnd w:id="225"/>
      <w:bookmarkEnd w:id="226"/>
      <w:bookmarkEnd w:id="227"/>
      <w:bookmarkEnd w:id="228"/>
      <w:bookmarkEnd w:id="229"/>
      <w:bookmarkEnd w:id="230"/>
      <w:bookmarkEnd w:id="231"/>
      <w:bookmarkEnd w:id="232"/>
    </w:p>
    <w:p>
      <w:pPr>
        <w:pStyle w:val="5"/>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233" w:name="_Toc36043737"/>
      <w:bookmarkStart w:id="234" w:name="_Toc277082598"/>
      <w:bookmarkStart w:id="235" w:name="_Toc509218756"/>
      <w:bookmarkStart w:id="236" w:name="_Toc224103363"/>
      <w:bookmarkStart w:id="237" w:name="_Toc430530481"/>
      <w:bookmarkStart w:id="238" w:name="_Toc287607792"/>
      <w:bookmarkStart w:id="239" w:name="_Toc200513172"/>
      <w:bookmarkStart w:id="240" w:name="_Toc287620731"/>
      <w:bookmarkStart w:id="241" w:name="_Toc31090"/>
      <w:r>
        <w:rPr>
          <w:rFonts w:hint="eastAsia" w:ascii="宋体" w:hAnsi="宋体" w:eastAsia="宋体" w:cs="宋体"/>
          <w:color w:val="auto"/>
          <w:sz w:val="21"/>
          <w:szCs w:val="21"/>
          <w:highlight w:val="none"/>
        </w:rPr>
        <w:t>9.  纪律和监督</w:t>
      </w:r>
      <w:bookmarkEnd w:id="233"/>
      <w:bookmarkEnd w:id="234"/>
      <w:bookmarkEnd w:id="235"/>
      <w:bookmarkEnd w:id="236"/>
      <w:bookmarkEnd w:id="237"/>
      <w:bookmarkEnd w:id="238"/>
      <w:bookmarkEnd w:id="239"/>
      <w:bookmarkEnd w:id="240"/>
      <w:bookmarkEnd w:id="241"/>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42" w:name="_Toc224103364"/>
      <w:bookmarkStart w:id="243" w:name="_Toc287607793"/>
      <w:bookmarkStart w:id="244" w:name="_Toc200513173"/>
      <w:bookmarkStart w:id="245" w:name="_Toc287620732"/>
      <w:bookmarkStart w:id="246" w:name="_Toc509218757"/>
      <w:bookmarkStart w:id="247" w:name="_Toc25463"/>
      <w:bookmarkStart w:id="248" w:name="_Toc277082599"/>
      <w:bookmarkStart w:id="249" w:name="_Toc430530482"/>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42"/>
      <w:bookmarkEnd w:id="243"/>
      <w:bookmarkEnd w:id="244"/>
      <w:bookmarkEnd w:id="245"/>
      <w:bookmarkEnd w:id="246"/>
      <w:bookmarkEnd w:id="247"/>
      <w:bookmarkEnd w:id="248"/>
      <w:bookmarkEnd w:id="24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0" w:name="_Toc277082600"/>
      <w:bookmarkStart w:id="251" w:name="_Toc224103365"/>
      <w:bookmarkStart w:id="252" w:name="_Toc509218758"/>
      <w:bookmarkStart w:id="253" w:name="_Toc287620733"/>
      <w:bookmarkStart w:id="254" w:name="_Toc200513174"/>
      <w:bookmarkStart w:id="255" w:name="_Toc287607794"/>
      <w:bookmarkStart w:id="256" w:name="_Toc14890"/>
      <w:bookmarkStart w:id="257" w:name="_Toc430530483"/>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50"/>
      <w:bookmarkEnd w:id="251"/>
      <w:bookmarkEnd w:id="252"/>
      <w:bookmarkEnd w:id="253"/>
      <w:bookmarkEnd w:id="254"/>
      <w:bookmarkEnd w:id="255"/>
      <w:bookmarkEnd w:id="256"/>
      <w:bookmarkEnd w:id="25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8" w:name="_Toc287607795"/>
      <w:bookmarkStart w:id="259" w:name="_Toc277082601"/>
      <w:bookmarkStart w:id="260" w:name="_Toc200513175"/>
      <w:bookmarkStart w:id="261" w:name="_Toc430530484"/>
      <w:bookmarkStart w:id="262" w:name="_Toc20024"/>
      <w:bookmarkStart w:id="263" w:name="_Toc224103366"/>
      <w:bookmarkStart w:id="264" w:name="_Toc509218759"/>
      <w:bookmarkStart w:id="265" w:name="_Toc28762073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58"/>
      <w:bookmarkEnd w:id="259"/>
      <w:bookmarkEnd w:id="260"/>
      <w:bookmarkEnd w:id="261"/>
      <w:bookmarkEnd w:id="262"/>
      <w:bookmarkEnd w:id="263"/>
      <w:bookmarkEnd w:id="264"/>
      <w:bookmarkEnd w:id="265"/>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6" w:name="_Toc509218760"/>
      <w:bookmarkStart w:id="267" w:name="_Toc224103367"/>
      <w:bookmarkStart w:id="268" w:name="_Toc1608"/>
      <w:bookmarkStart w:id="269" w:name="_Toc277082602"/>
      <w:bookmarkStart w:id="270" w:name="_Toc287620735"/>
      <w:bookmarkStart w:id="271" w:name="_Toc430530485"/>
      <w:bookmarkStart w:id="272" w:name="_Toc200513176"/>
      <w:bookmarkStart w:id="273" w:name="_Toc287607796"/>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66"/>
      <w:bookmarkEnd w:id="267"/>
      <w:bookmarkEnd w:id="268"/>
      <w:bookmarkEnd w:id="269"/>
      <w:bookmarkEnd w:id="270"/>
      <w:bookmarkEnd w:id="271"/>
      <w:bookmarkEnd w:id="272"/>
      <w:bookmarkEnd w:id="273"/>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4" w:name="_Toc277082603"/>
      <w:bookmarkStart w:id="275" w:name="_Toc224103368"/>
      <w:bookmarkStart w:id="276" w:name="_Toc2907"/>
      <w:bookmarkStart w:id="277" w:name="_Toc287607797"/>
      <w:bookmarkStart w:id="278" w:name="_Toc509218761"/>
      <w:bookmarkStart w:id="279" w:name="_Toc200513177"/>
      <w:bookmarkStart w:id="280" w:name="_Toc287620736"/>
      <w:bookmarkStart w:id="281" w:name="_Toc430530486"/>
      <w:r>
        <w:rPr>
          <w:rFonts w:hint="eastAsia" w:ascii="宋体" w:hAnsi="宋体" w:eastAsia="宋体" w:cs="宋体"/>
          <w:b w:val="0"/>
          <w:bCs/>
          <w:snapToGrid w:val="0"/>
          <w:color w:val="auto"/>
          <w:kern w:val="2"/>
          <w:sz w:val="21"/>
          <w:szCs w:val="21"/>
          <w:highlight w:val="none"/>
          <w:lang w:val="en-US" w:eastAsia="zh-CN" w:bidi="ar-SA"/>
        </w:rPr>
        <w:t>9.5  投诉</w:t>
      </w:r>
      <w:bookmarkEnd w:id="274"/>
      <w:bookmarkEnd w:id="275"/>
      <w:bookmarkEnd w:id="276"/>
      <w:bookmarkEnd w:id="277"/>
      <w:bookmarkEnd w:id="278"/>
      <w:bookmarkEnd w:id="279"/>
      <w:bookmarkEnd w:id="280"/>
      <w:bookmarkEnd w:id="28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9"/>
        <w:rPr>
          <w:rFonts w:hint="eastAsia" w:ascii="宋体" w:hAnsi="宋体" w:eastAsia="宋体" w:cs="宋体"/>
          <w:b w:val="0"/>
          <w:bCs/>
          <w:snapToGrid w:val="0"/>
          <w:color w:val="auto"/>
          <w:kern w:val="2"/>
          <w:sz w:val="21"/>
          <w:szCs w:val="21"/>
          <w:highlight w:val="none"/>
          <w:lang w:val="en-US" w:eastAsia="zh-CN" w:bidi="ar-SA"/>
        </w:rPr>
      </w:pPr>
      <w:bookmarkStart w:id="282" w:name="_Toc277082604"/>
      <w:bookmarkStart w:id="283" w:name="_Toc509218762"/>
      <w:bookmarkStart w:id="284" w:name="_Toc200513178"/>
      <w:bookmarkStart w:id="285" w:name="_Toc224103369"/>
      <w:bookmarkStart w:id="286" w:name="_Toc36043738"/>
      <w:bookmarkStart w:id="287" w:name="_Toc287620737"/>
      <w:bookmarkStart w:id="288" w:name="_Toc430530487"/>
      <w:bookmarkStart w:id="289" w:name="_Toc287607798"/>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82"/>
      <w:bookmarkEnd w:id="283"/>
      <w:bookmarkEnd w:id="284"/>
      <w:bookmarkEnd w:id="285"/>
      <w:bookmarkEnd w:id="286"/>
      <w:bookmarkEnd w:id="287"/>
      <w:bookmarkEnd w:id="288"/>
      <w:bookmarkEnd w:id="28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pPr>
        <w:pStyle w:val="3"/>
        <w:spacing w:line="360" w:lineRule="auto"/>
        <w:ind w:firstLine="883" w:firstLineChars="200"/>
        <w:jc w:val="center"/>
        <w:rPr>
          <w:rFonts w:ascii="宋体" w:hAnsi="宋体"/>
          <w:highlight w:val="none"/>
        </w:rPr>
      </w:pPr>
      <w:bookmarkStart w:id="290" w:name="_Toc6128"/>
      <w:bookmarkStart w:id="291" w:name="_Toc4335"/>
      <w:bookmarkStart w:id="292" w:name="_Toc5770"/>
      <w:bookmarkStart w:id="293" w:name="_Toc509218774"/>
      <w:bookmarkStart w:id="294" w:name="_Toc224103384"/>
      <w:bookmarkStart w:id="295" w:name="_Toc287607812"/>
      <w:bookmarkStart w:id="296" w:name="_Toc287620751"/>
      <w:bookmarkStart w:id="297" w:name="_Toc430530500"/>
      <w:bookmarkStart w:id="298" w:name="_Toc200513198"/>
      <w:bookmarkStart w:id="299" w:name="_Toc277082618"/>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snapToGrid w:val="0"/>
          <w:color w:val="auto"/>
          <w:kern w:val="0"/>
          <w:highlight w:val="none"/>
        </w:rPr>
        <w:t>经评审的最低投标价法</w:t>
      </w:r>
      <w:r>
        <w:rPr>
          <w:rFonts w:ascii="宋体" w:hAnsi="宋体"/>
          <w:highlight w:val="none"/>
        </w:rPr>
        <w:t>）</w:t>
      </w:r>
      <w:bookmarkEnd w:id="290"/>
      <w:bookmarkEnd w:id="291"/>
      <w:bookmarkEnd w:id="292"/>
      <w:bookmarkEnd w:id="293"/>
      <w:bookmarkStart w:id="300" w:name="_Toc287607811"/>
      <w:bookmarkStart w:id="301" w:name="_Toc430530499"/>
      <w:bookmarkStart w:id="302" w:name="_Toc277082617"/>
      <w:bookmarkStart w:id="303" w:name="_Toc224103383"/>
      <w:bookmarkStart w:id="304" w:name="_Toc287620750"/>
    </w:p>
    <w:p>
      <w:pPr>
        <w:pStyle w:val="4"/>
        <w:spacing w:before="100" w:after="100" w:line="360" w:lineRule="auto"/>
        <w:rPr>
          <w:rFonts w:ascii="宋体" w:hAnsi="宋体"/>
          <w:highlight w:val="none"/>
        </w:rPr>
      </w:pPr>
      <w:bookmarkStart w:id="305" w:name="_Toc32566"/>
      <w:bookmarkStart w:id="306" w:name="_Toc509218775"/>
      <w:bookmarkStart w:id="307" w:name="_Toc14663"/>
      <w:r>
        <w:rPr>
          <w:rFonts w:hint="eastAsia" w:ascii="宋体" w:hAnsi="宋体"/>
          <w:highlight w:val="none"/>
        </w:rPr>
        <w:t>评标办法前附表</w:t>
      </w:r>
      <w:bookmarkEnd w:id="305"/>
      <w:bookmarkEnd w:id="306"/>
      <w:bookmarkEnd w:id="307"/>
    </w:p>
    <w:p>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00"/>
    <w:bookmarkEnd w:id="301"/>
    <w:bookmarkEnd w:id="302"/>
    <w:bookmarkEnd w:id="303"/>
    <w:bookmarkEnd w:id="304"/>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jc w:val="center"/>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bookmarkStart w:id="308" w:name="_Toc509218776"/>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hint="eastAsia" w:ascii="宋体" w:hAnsi="宋体" w:eastAsia="宋体" w:cs="宋体"/>
                <w:color w:val="auto"/>
                <w:kern w:val="0"/>
                <w:highlight w:val="none"/>
                <w:lang w:eastAsia="zh-CN"/>
              </w:rPr>
            </w:pPr>
            <w:r>
              <w:rPr>
                <w:rFonts w:hint="eastAsia" w:ascii="宋体" w:hAnsi="宋体" w:cs="宋体"/>
                <w:color w:val="auto"/>
                <w:kern w:val="0"/>
                <w:highlight w:val="none"/>
              </w:rPr>
              <w:t>投标</w:t>
            </w:r>
            <w:r>
              <w:rPr>
                <w:rFonts w:hint="eastAsia" w:ascii="宋体" w:hAnsi="宋体" w:cs="宋体"/>
                <w:color w:val="auto"/>
                <w:kern w:val="0"/>
                <w:highlight w:val="none"/>
                <w:lang w:val="en-US" w:eastAsia="zh-CN"/>
              </w:rPr>
              <w:t>费率</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投标</w:t>
            </w:r>
            <w:r>
              <w:rPr>
                <w:rFonts w:hint="eastAsia" w:ascii="宋体" w:hAnsi="宋体" w:cs="宋体"/>
                <w:color w:val="auto"/>
                <w:szCs w:val="21"/>
                <w:highlight w:val="none"/>
                <w:lang w:val="en-US" w:eastAsia="zh-CN"/>
              </w:rPr>
              <w:t>费率</w:t>
            </w:r>
            <w:r>
              <w:rPr>
                <w:rFonts w:hint="eastAsia" w:ascii="宋体" w:hAnsi="宋体" w:cs="宋体"/>
                <w:color w:val="auto"/>
                <w:szCs w:val="21"/>
                <w:highlight w:val="none"/>
              </w:rPr>
              <w:t>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3.投标</w:t>
            </w:r>
            <w:r>
              <w:rPr>
                <w:rFonts w:hint="eastAsia" w:ascii="宋体" w:hAnsi="宋体" w:cs="宋体"/>
                <w:color w:val="auto"/>
                <w:szCs w:val="21"/>
                <w:highlight w:val="none"/>
                <w:lang w:val="en-US" w:eastAsia="zh-CN"/>
              </w:rPr>
              <w:t>费率</w:t>
            </w:r>
            <w:r>
              <w:rPr>
                <w:rFonts w:hint="eastAsia" w:ascii="宋体" w:hAnsi="宋体" w:cs="宋体"/>
                <w:color w:val="auto"/>
                <w:szCs w:val="21"/>
                <w:highlight w:val="none"/>
              </w:rPr>
              <w:t>低于最高限价85%的，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竞选人须知前附表</w:t>
            </w:r>
            <w:r>
              <w:rPr>
                <w:rFonts w:hint="eastAsia" w:ascii="宋体" w:hAnsi="宋体" w:cs="宋体"/>
                <w:color w:val="auto"/>
                <w:kern w:val="0"/>
                <w:highlight w:val="none"/>
              </w:rPr>
              <w:t>”第3.4项规定。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第五章</w:t>
            </w:r>
            <w:r>
              <w:rPr>
                <w:rFonts w:hint="eastAsia" w:ascii="宋体" w:hAnsi="宋体" w:cs="宋体"/>
                <w:color w:val="auto"/>
                <w:kern w:val="0"/>
                <w:highlight w:val="none"/>
              </w:rPr>
              <w:t>“技术标准和要求”规定。（由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4"/>
        <w:spacing w:before="0" w:after="0" w:line="360" w:lineRule="auto"/>
        <w:rPr>
          <w:rFonts w:ascii="宋体" w:hAnsi="宋体"/>
          <w:b w:val="0"/>
          <w:snapToGrid w:val="0"/>
          <w:color w:val="auto"/>
          <w:highlight w:val="none"/>
        </w:rPr>
      </w:pPr>
    </w:p>
    <w:bookmarkEnd w:id="294"/>
    <w:bookmarkEnd w:id="295"/>
    <w:bookmarkEnd w:id="296"/>
    <w:bookmarkEnd w:id="297"/>
    <w:bookmarkEnd w:id="298"/>
    <w:bookmarkEnd w:id="299"/>
    <w:bookmarkEnd w:id="308"/>
    <w:p>
      <w:pPr>
        <w:pStyle w:val="4"/>
        <w:spacing w:before="0" w:after="0" w:line="360" w:lineRule="auto"/>
        <w:rPr>
          <w:rFonts w:ascii="宋体" w:hAnsi="宋体"/>
          <w:b w:val="0"/>
          <w:snapToGrid w:val="0"/>
          <w:color w:val="auto"/>
          <w:highlight w:val="none"/>
        </w:rPr>
      </w:pPr>
      <w:bookmarkStart w:id="309" w:name="_Toc27750"/>
      <w:bookmarkStart w:id="310" w:name="_Toc12666"/>
      <w:bookmarkStart w:id="311" w:name="_Toc57905886"/>
      <w:r>
        <w:rPr>
          <w:rFonts w:ascii="宋体" w:hAnsi="宋体"/>
          <w:b w:val="0"/>
          <w:snapToGrid w:val="0"/>
          <w:color w:val="auto"/>
          <w:highlight w:val="none"/>
        </w:rPr>
        <w:t>1.  评标方法</w:t>
      </w:r>
      <w:bookmarkEnd w:id="309"/>
      <w:bookmarkEnd w:id="310"/>
      <w:bookmarkEnd w:id="311"/>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12" w:name="_Toc57905887"/>
      <w:bookmarkStart w:id="313" w:name="_Toc20502"/>
      <w:bookmarkStart w:id="314" w:name="_Toc24923"/>
      <w:r>
        <w:rPr>
          <w:rFonts w:ascii="宋体" w:hAnsi="宋体"/>
          <w:b w:val="0"/>
          <w:snapToGrid w:val="0"/>
          <w:color w:val="auto"/>
          <w:highlight w:val="none"/>
        </w:rPr>
        <w:t>2.  评审标准</w:t>
      </w:r>
      <w:bookmarkEnd w:id="312"/>
      <w:bookmarkEnd w:id="313"/>
      <w:bookmarkEnd w:id="314"/>
    </w:p>
    <w:p>
      <w:pPr>
        <w:pStyle w:val="5"/>
        <w:spacing w:before="0" w:after="0" w:line="360" w:lineRule="auto"/>
        <w:rPr>
          <w:rFonts w:ascii="宋体" w:hAnsi="宋体" w:cs="宋体"/>
          <w:color w:val="auto"/>
          <w:sz w:val="21"/>
          <w:szCs w:val="21"/>
          <w:highlight w:val="none"/>
        </w:rPr>
      </w:pPr>
      <w:bookmarkStart w:id="315" w:name="_Toc3739"/>
      <w:bookmarkStart w:id="316" w:name="_Toc57905888"/>
      <w:bookmarkStart w:id="317" w:name="_Toc2402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15"/>
      <w:r>
        <w:rPr>
          <w:rFonts w:hint="eastAsia" w:ascii="宋体" w:hAnsi="宋体" w:cs="宋体"/>
          <w:color w:val="auto"/>
          <w:sz w:val="21"/>
          <w:szCs w:val="21"/>
          <w:highlight w:val="none"/>
        </w:rPr>
        <w:t>标准</w:t>
      </w:r>
      <w:bookmarkEnd w:id="316"/>
      <w:bookmarkEnd w:id="317"/>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8" w:name="_Toc16832"/>
      <w:bookmarkStart w:id="319" w:name="_Toc7449"/>
      <w:bookmarkStart w:id="320"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18"/>
      <w:r>
        <w:rPr>
          <w:rFonts w:hint="eastAsia" w:ascii="宋体" w:hAnsi="宋体" w:cs="宋体"/>
          <w:color w:val="auto"/>
          <w:sz w:val="21"/>
          <w:szCs w:val="21"/>
          <w:highlight w:val="none"/>
        </w:rPr>
        <w:t>标准</w:t>
      </w:r>
      <w:bookmarkEnd w:id="319"/>
      <w:bookmarkEnd w:id="32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4"/>
        <w:spacing w:before="0" w:after="0" w:line="360" w:lineRule="auto"/>
        <w:rPr>
          <w:rFonts w:ascii="宋体" w:hAnsi="宋体"/>
          <w:b w:val="0"/>
          <w:snapToGrid w:val="0"/>
          <w:color w:val="auto"/>
          <w:highlight w:val="none"/>
        </w:rPr>
      </w:pPr>
      <w:bookmarkStart w:id="321" w:name="_Toc57905890"/>
      <w:bookmarkStart w:id="322" w:name="_Toc30094"/>
      <w:bookmarkStart w:id="323" w:name="_Toc6630"/>
      <w:r>
        <w:rPr>
          <w:rFonts w:ascii="宋体" w:hAnsi="宋体"/>
          <w:b w:val="0"/>
          <w:snapToGrid w:val="0"/>
          <w:color w:val="auto"/>
          <w:highlight w:val="none"/>
        </w:rPr>
        <w:t>3.  评标程序</w:t>
      </w:r>
      <w:bookmarkEnd w:id="321"/>
      <w:bookmarkEnd w:id="322"/>
      <w:bookmarkEnd w:id="323"/>
    </w:p>
    <w:p>
      <w:pPr>
        <w:pStyle w:val="5"/>
        <w:spacing w:before="0" w:after="0" w:line="360" w:lineRule="auto"/>
        <w:rPr>
          <w:rFonts w:ascii="宋体" w:hAnsi="宋体" w:cs="宋体"/>
          <w:color w:val="auto"/>
          <w:sz w:val="21"/>
          <w:szCs w:val="21"/>
          <w:highlight w:val="none"/>
        </w:rPr>
      </w:pPr>
      <w:bookmarkStart w:id="324" w:name="_Toc17317"/>
      <w:bookmarkStart w:id="325" w:name="_Toc57905891"/>
      <w:bookmarkStart w:id="326" w:name="_Toc19555"/>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4"/>
      <w:bookmarkEnd w:id="325"/>
      <w:bookmarkEnd w:id="32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pPr>
        <w:pStyle w:val="5"/>
        <w:spacing w:before="0" w:after="0" w:line="360" w:lineRule="auto"/>
        <w:rPr>
          <w:rFonts w:ascii="宋体" w:hAnsi="宋体" w:cs="宋体"/>
          <w:color w:val="auto"/>
          <w:sz w:val="21"/>
          <w:szCs w:val="21"/>
          <w:highlight w:val="none"/>
        </w:rPr>
      </w:pPr>
      <w:bookmarkStart w:id="327" w:name="_Toc57905892"/>
      <w:bookmarkStart w:id="328" w:name="_Toc2330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7"/>
      <w:bookmarkEnd w:id="328"/>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0000FF"/>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清单总报价不一致的，由评标委员会作否决投标处理。</w:t>
      </w:r>
    </w:p>
    <w:p>
      <w:pPr>
        <w:pStyle w:val="5"/>
        <w:spacing w:before="0" w:after="0" w:line="360" w:lineRule="auto"/>
        <w:rPr>
          <w:rFonts w:ascii="宋体" w:hAnsi="宋体" w:cs="宋体"/>
          <w:color w:val="auto"/>
          <w:sz w:val="21"/>
          <w:szCs w:val="21"/>
          <w:highlight w:val="none"/>
        </w:rPr>
      </w:pPr>
      <w:bookmarkStart w:id="329" w:name="_Toc30970"/>
      <w:bookmarkStart w:id="330" w:name="_Toc57905893"/>
      <w:bookmarkStart w:id="331" w:name="_Toc5505"/>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29"/>
      <w:bookmarkEnd w:id="330"/>
      <w:bookmarkEnd w:id="33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 w:name="_Toc57905894"/>
      <w:bookmarkStart w:id="333" w:name="_Toc479262406"/>
      <w:bookmarkStart w:id="334" w:name="_Toc26860"/>
      <w:bookmarkStart w:id="335" w:name="_Toc27746"/>
      <w:bookmarkStart w:id="336" w:name="_Toc48446518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
      <w:bookmarkEnd w:id="333"/>
      <w:bookmarkEnd w:id="334"/>
      <w:bookmarkEnd w:id="335"/>
      <w:bookmarkEnd w:id="336"/>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rPr>
          <w:rFonts w:ascii="宋体" w:hAnsi="宋体"/>
          <w:b/>
          <w:szCs w:val="20"/>
          <w:highlight w:val="none"/>
        </w:rPr>
      </w:pPr>
      <w:r>
        <w:rPr>
          <w:rFonts w:ascii="宋体" w:hAnsi="宋体"/>
          <w:kern w:val="0"/>
          <w:sz w:val="20"/>
          <w:szCs w:val="20"/>
          <w:highlight w:val="none"/>
        </w:rPr>
        <w:br w:type="page"/>
      </w:r>
    </w:p>
    <w:p>
      <w:pPr>
        <w:pStyle w:val="33"/>
        <w:spacing w:line="360" w:lineRule="auto"/>
        <w:rPr>
          <w:rFonts w:ascii="宋体" w:hAnsi="宋体"/>
          <w:b/>
          <w:color w:val="auto"/>
          <w:sz w:val="28"/>
          <w:szCs w:val="28"/>
          <w:highlight w:val="none"/>
          <w:u w:val="none"/>
          <w:lang w:eastAsia="zh-CN"/>
        </w:rPr>
      </w:pPr>
      <w:bookmarkStart w:id="337" w:name="招标文件04章合同条款及格式"/>
      <w:bookmarkEnd w:id="337"/>
      <w:bookmarkStart w:id="338" w:name="招标文件03章02评标办法综合评估法02附件02"/>
      <w:bookmarkEnd w:id="338"/>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pPr>
        <w:pStyle w:val="3"/>
        <w:spacing w:line="360" w:lineRule="auto"/>
        <w:jc w:val="center"/>
        <w:rPr>
          <w:rFonts w:ascii="宋体" w:hAnsi="宋体"/>
          <w:kern w:val="0"/>
          <w:highlight w:val="none"/>
        </w:rPr>
      </w:pPr>
      <w:bookmarkStart w:id="339" w:name="_Toc8427"/>
      <w:bookmarkStart w:id="340" w:name="_Toc509218785"/>
      <w:bookmarkStart w:id="341" w:name="_Toc430530509"/>
      <w:bookmarkStart w:id="342" w:name="_Toc10597"/>
      <w:bookmarkStart w:id="343" w:name="_Toc12421"/>
      <w:r>
        <w:rPr>
          <w:rFonts w:hint="eastAsia" w:ascii="宋体" w:hAnsi="宋体"/>
          <w:kern w:val="0"/>
          <w:highlight w:val="none"/>
        </w:rPr>
        <w:t>第四章  合同条款及格式</w:t>
      </w:r>
      <w:bookmarkEnd w:id="339"/>
      <w:bookmarkEnd w:id="340"/>
      <w:bookmarkEnd w:id="341"/>
      <w:bookmarkEnd w:id="342"/>
      <w:bookmarkEnd w:id="343"/>
    </w:p>
    <w:p>
      <w:pPr>
        <w:spacing w:after="156" w:afterLines="50" w:line="560" w:lineRule="exact"/>
        <w:jc w:val="center"/>
        <w:rPr>
          <w:rFonts w:hint="eastAsia" w:ascii="方正小标宋_GBK" w:hAnsi="方正小标宋_GBK" w:eastAsia="方正小标宋_GBK" w:cs="方正小标宋_GBK"/>
          <w:sz w:val="44"/>
          <w:szCs w:val="44"/>
        </w:rPr>
      </w:pPr>
      <w:r>
        <w:rPr>
          <w:rFonts w:ascii="宋体" w:hAnsi="宋体"/>
          <w:highlight w:val="none"/>
        </w:rPr>
        <w:br w:type="page"/>
      </w:r>
      <w:bookmarkStart w:id="344" w:name="_Toc23843"/>
      <w:bookmarkStart w:id="345" w:name="_Toc534185829"/>
      <w:bookmarkStart w:id="346" w:name="_Toc287607865"/>
      <w:bookmarkStart w:id="347" w:name="_Toc24390"/>
      <w:bookmarkStart w:id="348" w:name="_Toc287620812"/>
      <w:bookmarkStart w:id="349" w:name="_Toc430530528"/>
      <w:bookmarkStart w:id="350" w:name="_Toc509218852"/>
      <w:bookmarkStart w:id="351" w:name="_Toc3098"/>
      <w:bookmarkStart w:id="352" w:name="_Toc351203480"/>
      <w:bookmarkStart w:id="353" w:name="_Toc296890982"/>
      <w:bookmarkStart w:id="354" w:name="_Toc296503025"/>
      <w:r>
        <w:rPr>
          <w:rFonts w:hint="eastAsia" w:ascii="方正小标宋_GBK" w:hAnsi="方正小标宋_GBK" w:eastAsia="方正小标宋_GBK" w:cs="方正小标宋_GBK"/>
          <w:sz w:val="44"/>
          <w:szCs w:val="44"/>
        </w:rPr>
        <w:t>迎龙创新港大科园片区房屋维修维护项目合同</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甲方：         （以下简称甲方）                        　　</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住所地：</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乙方：         （以下简称乙方）   　　</w:t>
      </w:r>
    </w:p>
    <w:p>
      <w:pPr>
        <w:spacing w:line="5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住所地：</w:t>
      </w:r>
    </w:p>
    <w:p>
      <w:pPr>
        <w:pStyle w:val="18"/>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法定代表人：</w:t>
      </w:r>
    </w:p>
    <w:p>
      <w:pPr>
        <w:pStyle w:val="18"/>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kern w:val="2"/>
          <w:sz w:val="30"/>
          <w:szCs w:val="30"/>
          <w:lang w:val="en-US" w:eastAsia="zh-CN" w:bidi="ar-SA"/>
        </w:rPr>
        <w:t>社会统一信用代码：</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依照《中华人民共和国民法典》等相关法律、法规的规定，甲乙双方本着诚实信用原则，经平等自愿协商，就迎龙创新港大科园片区房屋维修维护项目相关事宜达成一致，特订立本合同，双方共同遵照执行。　　</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一、项目概况</w:t>
      </w:r>
    </w:p>
    <w:p>
      <w:pPr>
        <w:spacing w:line="560" w:lineRule="exact"/>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（一） 项目名称：</w:t>
      </w:r>
      <w:r>
        <w:rPr>
          <w:rFonts w:hint="eastAsia" w:ascii="方正仿宋_GBK" w:hAnsi="方正仿宋_GBK" w:eastAsia="方正仿宋_GBK" w:cs="方正仿宋_GBK"/>
          <w:sz w:val="30"/>
          <w:szCs w:val="30"/>
        </w:rPr>
        <w:t>迎龙创新港大科园片区房屋维修维护</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 项目地点：</w:t>
      </w:r>
      <w:r>
        <w:rPr>
          <w:rFonts w:hint="eastAsia" w:ascii="方正仿宋_GBK" w:hAnsi="方正仿宋_GBK" w:eastAsia="方正仿宋_GBK" w:cs="方正仿宋_GBK"/>
          <w:sz w:val="30"/>
          <w:szCs w:val="30"/>
        </w:rPr>
        <w:t>重庆市南岸区迎龙创新港大科园片区</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二、合同期限及费用</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本《合同》</w:t>
      </w:r>
      <w:r>
        <w:rPr>
          <w:rFonts w:hint="eastAsia" w:ascii="方正仿宋_GBK" w:hAnsi="方正仿宋_GBK" w:eastAsia="方正仿宋_GBK" w:cs="方正仿宋_GBK"/>
          <w:sz w:val="30"/>
          <w:szCs w:val="30"/>
          <w:lang w:val="en-US" w:eastAsia="zh-CN"/>
        </w:rPr>
        <w:t>暂定</w:t>
      </w:r>
      <w:r>
        <w:rPr>
          <w:rFonts w:hint="eastAsia" w:ascii="方正仿宋_GBK" w:hAnsi="方正仿宋_GBK" w:eastAsia="方正仿宋_GBK" w:cs="方正仿宋_GBK"/>
          <w:sz w:val="30"/>
          <w:szCs w:val="30"/>
        </w:rPr>
        <w:t>期限</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年，自</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日至</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日止</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28"/>
          <w:szCs w:val="28"/>
          <w:lang w:eastAsia="zh-CN"/>
        </w:rPr>
        <w:t>具体以合同项目保修期满为止。</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暂定合同金额：</w:t>
      </w:r>
      <w:r>
        <w:rPr>
          <w:rFonts w:hint="eastAsia" w:ascii="方正仿宋_GBK" w:hAnsi="方正仿宋_GBK" w:eastAsia="方正仿宋_GBK" w:cs="方正仿宋_GBK"/>
          <w:sz w:val="30"/>
          <w:szCs w:val="30"/>
          <w:u w:val="single"/>
        </w:rPr>
        <w:t xml:space="preserve">      元（大写：         ）</w:t>
      </w:r>
      <w:r>
        <w:rPr>
          <w:rFonts w:hint="eastAsia" w:ascii="方正仿宋_GBK" w:hAnsi="方正仿宋_GBK" w:eastAsia="方正仿宋_GBK" w:cs="方正仿宋_GBK"/>
          <w:sz w:val="30"/>
          <w:szCs w:val="30"/>
        </w:rPr>
        <w:t>，全费用综合折扣</w:t>
      </w:r>
      <w:r>
        <w:rPr>
          <w:rFonts w:hint="eastAsia" w:ascii="方正仿宋_GBK" w:hAnsi="方正仿宋_GBK" w:eastAsia="方正仿宋_GBK" w:cs="方正仿宋_GBK"/>
          <w:sz w:val="30"/>
          <w:szCs w:val="30"/>
          <w:u w:val="single"/>
        </w:rPr>
        <w:t xml:space="preserve">       （大写：         ） </w:t>
      </w:r>
      <w:r>
        <w:rPr>
          <w:rFonts w:hint="eastAsia" w:ascii="方正仿宋_GBK" w:hAnsi="方正仿宋_GBK" w:eastAsia="方正仿宋_GBK" w:cs="方正仿宋_GBK"/>
          <w:sz w:val="30"/>
          <w:szCs w:val="30"/>
        </w:rPr>
        <w:t>。最终金额以甲方审定的结算金额为准。</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三、项目主要内容　</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（一）主要维修内容</w:t>
      </w:r>
      <w:r>
        <w:rPr>
          <w:rFonts w:hint="eastAsia" w:ascii="方正仿宋_GBK" w:hAnsi="方正仿宋_GBK" w:eastAsia="方正仿宋_GBK" w:cs="方正仿宋_GBK"/>
          <w:sz w:val="30"/>
          <w:szCs w:val="30"/>
        </w:rPr>
        <w:t>：包括但不限于如下内容，具体以业主单位委托的维修项目为准。</w:t>
      </w:r>
    </w:p>
    <w:p>
      <w:pPr>
        <w:spacing w:line="560" w:lineRule="exact"/>
        <w:ind w:firstLine="600"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1.外墙抹灰层或瓷砖鼓包脱落，恢复处理。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2.房屋外墙雨水管老化漏水，补漏或更换处理。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3.屋面防水处理；雨儿墙防水处理。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4.主排水排污管道疏通及优化改造；雨污水沟、槽、井、窨井清理清掏清运；屋面天沟清掏检查。</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5.厨房、卫生间主排污管道锈蚀老化漏水，补漏或更换处理；阳台主排水管锈蚀老化漏水，补漏或更换处理。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6.楼栋自来水主水管漏水，补漏或更换处理。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7.路面、堡坎、围墙修复。</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8.窨井盖、铸铁（塑钢、喷塑铁）栏杆等公共设施维护。</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9.因不可抗拒因素造成的房屋损坏等情况的恢复处理。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10.房屋分隔改变、功能调整及个性化需求等改造、装饰装修。</w:t>
      </w:r>
    </w:p>
    <w:p>
      <w:pPr>
        <w:spacing w:line="560" w:lineRule="exact"/>
        <w:ind w:firstLine="600" w:firstLineChars="200"/>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11.上述范围的突发应急抢险。</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（二）维修材料要求</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材料采用合格产品，质量符合国家及行业标准。</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（三）验收标准</w:t>
      </w:r>
    </w:p>
    <w:p>
      <w:pPr>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安装与屋面防水应达到建筑安装质量和施工工艺要求与验收标准。其中室内（厨房、厕所、阳台）主排水排污管更换后无渗漏；外墙雨水管更换后无脱节、渗漏；屋面防水处理满足暴雨季节无渗漏；其他事项符合国家及行业规范、标准；</w:t>
      </w:r>
    </w:p>
    <w:p>
      <w:pPr>
        <w:spacing w:line="560" w:lineRule="exact"/>
        <w:ind w:firstLine="600"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（2）完成甲方安排的维修维护工作及相关竣工资料，经甲方确认后，组织相关部门进行验收。竣工日期以最后一次整改后通过竣工验收的时间为准。</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乙方必须按要求整改，并承担整改费用；如乙方拒绝按甲方提出的要求整改，甲方有权请第三方整改，由此发生的整改费用从未付工程款中扣除，不足部分甲方有权向乙方追偿。当验收通过后具备交付使用条件时，乙方不得以任何借口拒绝移交工程，甲方有权</w:t>
      </w:r>
      <w:r>
        <w:rPr>
          <w:rFonts w:hint="eastAsia" w:ascii="方正仿宋_GBK" w:hAnsi="方正仿宋_GBK" w:eastAsia="方正仿宋_GBK" w:cs="方正仿宋_GBK"/>
          <w:sz w:val="30"/>
          <w:szCs w:val="30"/>
          <w:lang w:val="en-US" w:eastAsia="zh-CN"/>
        </w:rPr>
        <w:t>直接</w:t>
      </w:r>
      <w:r>
        <w:rPr>
          <w:rFonts w:hint="eastAsia" w:ascii="方正仿宋_GBK" w:hAnsi="方正仿宋_GBK" w:eastAsia="方正仿宋_GBK" w:cs="方正仿宋_GBK"/>
          <w:sz w:val="30"/>
          <w:szCs w:val="30"/>
        </w:rPr>
        <w:t>使用，由此发生的一切后果，由乙方负责。</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（4）乙方提供竣工资料的约定：乙方提供纸质版资料两套，电子版资料一套（U盘）。</w:t>
      </w:r>
    </w:p>
    <w:p>
      <w:pPr>
        <w:spacing w:line="560" w:lineRule="exact"/>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四、工程质量要求　　</w:t>
      </w:r>
      <w:r>
        <w:rPr>
          <w:rFonts w:hint="eastAsia" w:ascii="方正仿宋_GBK" w:hAnsi="方正仿宋_GBK" w:eastAsia="方正仿宋_GBK" w:cs="方正仿宋_GBK"/>
          <w:sz w:val="30"/>
          <w:szCs w:val="30"/>
        </w:rPr>
        <w:t>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工程按现行建筑工程国家质量验收标准执行，达到合格以上。因乙方原因造成工程质量不合格，乙方必须无条件进行返工，使工程达到合同约定的质量标准，并由乙方自行承担所产生的费用。如乙方在甲方指定的时间内未进行整改，则甲方有权指定第三方整改，并有权将发生相关的全部费用直接从乙方结算款项内扣除</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不足部分甲方有权向乙方追偿。　　</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五、验收确认及保修</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（一）乙方完成各维修维护项目，应立即向甲方提出验收申请，届时由甲方组织相关人员进行验收确认。验收不合格，乙方应负责无偿返工或修复，若延期完工，则</w:t>
      </w:r>
      <w:r>
        <w:rPr>
          <w:rFonts w:hint="eastAsia" w:ascii="方正仿宋_GBK" w:hAnsi="方正仿宋_GBK" w:eastAsia="方正仿宋_GBK" w:cs="方正仿宋_GBK"/>
          <w:sz w:val="30"/>
          <w:szCs w:val="30"/>
          <w:lang w:val="en-US" w:eastAsia="zh-CN"/>
        </w:rPr>
        <w:t>乙方</w:t>
      </w:r>
      <w:r>
        <w:rPr>
          <w:rFonts w:hint="eastAsia" w:ascii="方正仿宋_GBK" w:hAnsi="方正仿宋_GBK" w:eastAsia="方正仿宋_GBK" w:cs="方正仿宋_GBK"/>
          <w:sz w:val="30"/>
          <w:szCs w:val="30"/>
        </w:rPr>
        <w:t>承担相应的损失。</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各维修项目自甲方组织现场验收确认并出具相关验收确认单之后开始计算质保期，一般项目维修质保期为1年；其中下水道疏通质保期3个月；外墙雨水管更换质保期2年；室内（厨房、厕所、阳台）主排水排污管更换质保期2年；自来水主水管更换质保期5年；屋面防水整体处理质保期5年；堡坎、路面修复质保期3年。</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六、工程结算及付款方式</w:t>
      </w:r>
    </w:p>
    <w:p>
      <w:pPr>
        <w:spacing w:line="560" w:lineRule="exact"/>
        <w:ind w:firstLine="602" w:firstLineChars="200"/>
        <w:rPr>
          <w:rFonts w:hint="eastAsia" w:ascii="方正仿宋_GBK" w:hAnsi="方正仿宋_GBK" w:eastAsia="方正仿宋_GBK" w:cs="方正仿宋_GBK"/>
          <w:b/>
          <w:sz w:val="30"/>
          <w:szCs w:val="30"/>
          <w:lang w:val="en-US" w:eastAsia="zh-CN"/>
        </w:rPr>
      </w:pPr>
      <w:r>
        <w:rPr>
          <w:rFonts w:hint="eastAsia" w:ascii="方正仿宋_GBK" w:hAnsi="方正仿宋_GBK" w:eastAsia="方正仿宋_GBK" w:cs="方正仿宋_GBK"/>
          <w:b/>
          <w:sz w:val="30"/>
          <w:szCs w:val="30"/>
        </w:rPr>
        <w:t>付款方式：</w:t>
      </w:r>
      <w:r>
        <w:rPr>
          <w:rFonts w:hint="eastAsia" w:ascii="方正仿宋_GBK" w:hAnsi="方正仿宋_GBK" w:eastAsia="方正仿宋_GBK" w:cs="方正仿宋_GBK"/>
          <w:b w:val="0"/>
          <w:bCs/>
          <w:sz w:val="30"/>
          <w:szCs w:val="30"/>
        </w:rPr>
        <w:t>原则上每3个月结算一次。</w:t>
      </w:r>
      <w:r>
        <w:rPr>
          <w:rFonts w:hint="eastAsia" w:ascii="方正仿宋_GBK" w:hAnsi="方正仿宋_GBK" w:eastAsia="方正仿宋_GBK" w:cs="方正仿宋_GBK"/>
          <w:b w:val="0"/>
          <w:bCs/>
          <w:sz w:val="30"/>
          <w:szCs w:val="30"/>
          <w:lang w:val="en-US" w:eastAsia="zh-CN"/>
        </w:rPr>
        <w:t>乙方</w:t>
      </w:r>
      <w:r>
        <w:rPr>
          <w:rFonts w:hint="eastAsia" w:ascii="方正仿宋_GBK" w:hAnsi="方正仿宋_GBK" w:eastAsia="方正仿宋_GBK" w:cs="方正仿宋_GBK"/>
          <w:b w:val="0"/>
          <w:bCs/>
          <w:sz w:val="30"/>
          <w:szCs w:val="30"/>
        </w:rPr>
        <w:t>完成维修、安装、调试等工作并通过</w:t>
      </w:r>
      <w:r>
        <w:rPr>
          <w:rFonts w:hint="eastAsia" w:ascii="方正仿宋_GBK" w:hAnsi="方正仿宋_GBK" w:eastAsia="方正仿宋_GBK" w:cs="方正仿宋_GBK"/>
          <w:b w:val="0"/>
          <w:bCs/>
          <w:sz w:val="30"/>
          <w:szCs w:val="30"/>
          <w:lang w:val="en-US" w:eastAsia="zh-CN"/>
        </w:rPr>
        <w:t>甲方</w:t>
      </w:r>
      <w:r>
        <w:rPr>
          <w:rFonts w:hint="eastAsia" w:ascii="方正仿宋_GBK" w:hAnsi="方正仿宋_GBK" w:eastAsia="方正仿宋_GBK" w:cs="方正仿宋_GBK"/>
          <w:b w:val="0"/>
          <w:bCs/>
          <w:sz w:val="30"/>
          <w:szCs w:val="30"/>
        </w:rPr>
        <w:t>人验收合格后，按每3个月结算一次的原则</w:t>
      </w:r>
      <w:r>
        <w:rPr>
          <w:rFonts w:hint="eastAsia" w:ascii="方正仿宋_GBK" w:hAnsi="方正仿宋_GBK" w:eastAsia="方正仿宋_GBK" w:cs="方正仿宋_GBK"/>
          <w:b w:val="0"/>
          <w:bCs/>
          <w:sz w:val="30"/>
          <w:szCs w:val="30"/>
          <w:lang w:val="en-US" w:eastAsia="zh-CN"/>
        </w:rPr>
        <w:t>乙方向甲方</w:t>
      </w:r>
      <w:r>
        <w:rPr>
          <w:rFonts w:hint="eastAsia" w:ascii="方正仿宋_GBK" w:hAnsi="方正仿宋_GBK" w:eastAsia="方正仿宋_GBK" w:cs="方正仿宋_GBK"/>
          <w:b w:val="0"/>
          <w:bCs/>
          <w:sz w:val="30"/>
          <w:szCs w:val="30"/>
        </w:rPr>
        <w:t>提交结算申请，</w:t>
      </w:r>
      <w:r>
        <w:rPr>
          <w:rFonts w:hint="eastAsia" w:ascii="方正仿宋_GBK" w:hAnsi="方正仿宋_GBK" w:eastAsia="方正仿宋_GBK" w:cs="方正仿宋_GBK"/>
          <w:b w:val="0"/>
          <w:bCs/>
          <w:sz w:val="30"/>
          <w:szCs w:val="30"/>
          <w:lang w:val="en-US" w:eastAsia="zh-CN"/>
        </w:rPr>
        <w:t>甲方</w:t>
      </w:r>
      <w:r>
        <w:rPr>
          <w:rFonts w:hint="eastAsia" w:ascii="方正仿宋_GBK" w:hAnsi="方正仿宋_GBK" w:eastAsia="方正仿宋_GBK" w:cs="方正仿宋_GBK"/>
          <w:b w:val="0"/>
          <w:bCs/>
          <w:sz w:val="30"/>
          <w:szCs w:val="30"/>
        </w:rPr>
        <w:t>向</w:t>
      </w:r>
      <w:r>
        <w:rPr>
          <w:rFonts w:hint="eastAsia" w:ascii="方正仿宋_GBK" w:hAnsi="方正仿宋_GBK" w:eastAsia="方正仿宋_GBK" w:cs="方正仿宋_GBK"/>
          <w:b w:val="0"/>
          <w:bCs/>
          <w:sz w:val="30"/>
          <w:szCs w:val="30"/>
          <w:lang w:val="en-US" w:eastAsia="zh-CN"/>
        </w:rPr>
        <w:t>乙方</w:t>
      </w:r>
      <w:r>
        <w:rPr>
          <w:rFonts w:hint="eastAsia" w:ascii="方正仿宋_GBK" w:hAnsi="方正仿宋_GBK" w:eastAsia="方正仿宋_GBK" w:cs="方正仿宋_GBK"/>
          <w:b w:val="0"/>
          <w:bCs/>
          <w:sz w:val="30"/>
          <w:szCs w:val="30"/>
        </w:rPr>
        <w:t>支付</w:t>
      </w:r>
      <w:r>
        <w:rPr>
          <w:rFonts w:hint="eastAsia" w:ascii="方正仿宋_GBK" w:hAnsi="方正仿宋_GBK" w:eastAsia="方正仿宋_GBK" w:cs="方正仿宋_GBK"/>
          <w:b w:val="0"/>
          <w:bCs/>
          <w:sz w:val="30"/>
          <w:szCs w:val="30"/>
          <w:lang w:val="en-US" w:eastAsia="zh-CN"/>
        </w:rPr>
        <w:t>当次</w:t>
      </w:r>
      <w:r>
        <w:rPr>
          <w:rFonts w:hint="eastAsia" w:ascii="方正仿宋_GBK" w:hAnsi="方正仿宋_GBK" w:eastAsia="方正仿宋_GBK" w:cs="方正仿宋_GBK"/>
          <w:b w:val="0"/>
          <w:bCs/>
          <w:sz w:val="30"/>
          <w:szCs w:val="30"/>
        </w:rPr>
        <w:t>审定结算价的97%；保修期满后30日内，若无任何质量问题，</w:t>
      </w:r>
      <w:r>
        <w:rPr>
          <w:rFonts w:hint="eastAsia" w:ascii="方正仿宋_GBK" w:hAnsi="方正仿宋_GBK" w:eastAsia="方正仿宋_GBK" w:cs="方正仿宋_GBK"/>
          <w:b w:val="0"/>
          <w:bCs/>
          <w:sz w:val="30"/>
          <w:szCs w:val="30"/>
          <w:lang w:val="en-US" w:eastAsia="zh-CN"/>
        </w:rPr>
        <w:t>甲方</w:t>
      </w:r>
      <w:r>
        <w:rPr>
          <w:rFonts w:hint="eastAsia" w:ascii="方正仿宋_GBK" w:hAnsi="方正仿宋_GBK" w:eastAsia="方正仿宋_GBK" w:cs="方正仿宋_GBK"/>
          <w:b w:val="0"/>
          <w:bCs/>
          <w:sz w:val="30"/>
          <w:szCs w:val="30"/>
        </w:rPr>
        <w:t>向</w:t>
      </w:r>
      <w:r>
        <w:rPr>
          <w:rFonts w:hint="eastAsia" w:ascii="方正仿宋_GBK" w:hAnsi="方正仿宋_GBK" w:eastAsia="方正仿宋_GBK" w:cs="方正仿宋_GBK"/>
          <w:b w:val="0"/>
          <w:bCs/>
          <w:sz w:val="30"/>
          <w:szCs w:val="30"/>
          <w:lang w:val="en-US" w:eastAsia="zh-CN"/>
        </w:rPr>
        <w:t>乙方</w:t>
      </w:r>
      <w:r>
        <w:rPr>
          <w:rFonts w:hint="eastAsia" w:ascii="方正仿宋_GBK" w:hAnsi="方正仿宋_GBK" w:eastAsia="方正仿宋_GBK" w:cs="方正仿宋_GBK"/>
          <w:b w:val="0"/>
          <w:bCs/>
          <w:sz w:val="30"/>
          <w:szCs w:val="30"/>
        </w:rPr>
        <w:t>支付全部剩余尾款3%（不计利息）。</w:t>
      </w:r>
      <w:r>
        <w:rPr>
          <w:rFonts w:hint="eastAsia" w:ascii="方正仿宋_GBK" w:hAnsi="方正仿宋_GBK" w:eastAsia="方正仿宋_GBK" w:cs="方正仿宋_GBK"/>
          <w:b/>
          <w:sz w:val="30"/>
          <w:szCs w:val="30"/>
        </w:rPr>
        <w:t>累计支付金额不超过30万元。</w:t>
      </w:r>
      <w:r>
        <w:rPr>
          <w:rFonts w:hint="eastAsia" w:ascii="方正仿宋_GBK" w:hAnsi="方正仿宋_GBK" w:eastAsia="方正仿宋_GBK" w:cs="方正仿宋_GBK"/>
          <w:b/>
          <w:sz w:val="30"/>
          <w:szCs w:val="30"/>
          <w:lang w:val="en-US" w:eastAsia="zh-CN"/>
        </w:rPr>
        <w:t xml:space="preserve">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每次支付维修费前须经甲方同意后，乙方应提供付款申请和等额增值税专用发票，否则不予付款，且甲方不承担任何责任，甲方在确认付款资料后15个工作日内完成支付。</w:t>
      </w: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乙方收款账户信息：户名：开户行：账号：</w:t>
      </w: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乙方确认该账户为唯一收款账户，若有更改，需提前十五个工作日书面告知甲方。</w:t>
      </w: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甲方开票信息：</w:t>
      </w:r>
    </w:p>
    <w:p>
      <w:pPr>
        <w:pStyle w:val="2"/>
        <w:rPr>
          <w:rFonts w:hint="eastAsia"/>
        </w:rPr>
      </w:pP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结算原则：结算价=经审核的建筑安装工程费×固定费率（认质核价材料和设备、安全文明施工费、规费、税金不参与浮动）。</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建筑安装工程费以</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认可的审定结果作为结算依据。</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必须接受，否则视为违约，具体原则如下：</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（1）计价原则：按《工程量清单项目计量规范（2013-重庆）》、《2018年重庆市房屋修缮定额》（缺项部分借用其他配套定额）及相关配套文件、定额进行计量计价按实计算。</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上述计价原则中无定额可套用的，由</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会同监理人、跟审单位（如有）、</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按相关原则、编制方法编制补充定额（人工、材料、机械基价执行2018年计价定额的基价，2018年计价定额没有的基价，按市场价计）；或参照重庆市场相同工作的市场价格上报监理人，最终价格按</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、监理人、跟审单位（如有）、</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共同询价确认的价格执行。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计量原则：分部分项工程量清单计价表中的工程数量以施工设计图为依据，以设计变更图、监理工程师和发包人认可的尺寸、断面为参考依据，根据《房屋建筑与装饰工程工程量计算规范》（GB50854-2013）等各专业工程工程量计算规范规定的计算规则及比选文件约定的计算规则计量。</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（3）人工单价：按实施当期重庆市建设工程造价管理总站发布的《重庆工程造价信息》发布的项目所在地的人工单价执行。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（4）设备材料单价：</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1）设备材料单价按照实施当期《重庆工程造价信息》发布的项目所在地的信息价执行；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2）《重庆工程造价信息》没有的材料和设备，由</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申报，</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会同监理人、跟审单位（如有）按认质核价相关管理办法及程序，根据市场行情认质核价。但原则上不超过实施当期《重庆工程造价信息》公布的信息价；</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3）上述材料和设备价格均为不含税价格，包括材料原价、运杂费、运输损耗费、采购及保管费等所有费用，认质核价的材料和设备若</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在</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核价后5个工作日内，</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拒绝签字确认</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核定的价格或拒绝按</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核定的价格采购的，则该种材料或设备改为第三方供货，</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收取</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该类材料或设备费的20%作为违约金，并按</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实际支付的货款从</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的工程款中扣除，同时并不解除</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对工程质量保修责任。需认质核价的材料和设备，</w:t>
      </w:r>
      <w:r>
        <w:rPr>
          <w:rFonts w:hint="eastAsia" w:ascii="方正仿宋_GBK" w:hAnsi="方正仿宋_GBK" w:eastAsia="方正仿宋_GBK" w:cs="方正仿宋_GBK"/>
          <w:b w:val="0"/>
          <w:bCs w:val="0"/>
          <w:sz w:val="30"/>
          <w:szCs w:val="30"/>
          <w:lang w:val="en-US" w:eastAsia="zh-CN"/>
        </w:rPr>
        <w:t>乙方</w:t>
      </w:r>
      <w:r>
        <w:rPr>
          <w:rFonts w:hint="eastAsia" w:ascii="方正仿宋_GBK" w:hAnsi="方正仿宋_GBK" w:eastAsia="方正仿宋_GBK" w:cs="方正仿宋_GBK"/>
          <w:b w:val="0"/>
          <w:bCs w:val="0"/>
          <w:sz w:val="30"/>
          <w:szCs w:val="30"/>
        </w:rPr>
        <w:t>须在使用前书面报</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审核（至少提前一个月）。</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4）材料调差调整范围和计算方法：不采用。</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5）措施费：</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组织措施费：按《重庆市建设工程费用定额》（CQFYDE-2018）等相关文件规定执行。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技术措施费：根据相关工程现行国家计量规范、《重庆市建设工程工程量清单计价规则》、《重庆市建设工程工程量计算规则》及经</w:t>
      </w:r>
      <w:r>
        <w:rPr>
          <w:rFonts w:hint="eastAsia" w:ascii="方正仿宋_GBK" w:hAnsi="方正仿宋_GBK" w:eastAsia="方正仿宋_GBK" w:cs="方正仿宋_GBK"/>
          <w:b w:val="0"/>
          <w:bCs w:val="0"/>
          <w:sz w:val="30"/>
          <w:szCs w:val="30"/>
          <w:lang w:val="en-US" w:eastAsia="zh-CN"/>
        </w:rPr>
        <w:t>甲方</w:t>
      </w:r>
      <w:r>
        <w:rPr>
          <w:rFonts w:hint="eastAsia" w:ascii="方正仿宋_GBK" w:hAnsi="方正仿宋_GBK" w:eastAsia="方正仿宋_GBK" w:cs="方正仿宋_GBK"/>
          <w:b w:val="0"/>
          <w:bCs w:val="0"/>
          <w:sz w:val="30"/>
          <w:szCs w:val="30"/>
        </w:rPr>
        <w:t>、监理人审定的施工组织设计或施工方案执行。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6）安全文明施工费：按照《重庆市建设工程安全文明施工费计取及使用管理规定》（渝建管[2024]38号）规定的合格标准（若有创先创优成功的单项工程，结算时按渝建管[2024]38号标准计入安全文明施工费）执行。施工期间，若相关行政主管部门颁布了新的重庆市建设安全文明施工费计取及使用管理规定的，按新颁布的文件规定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7）规费：按《重庆市建设工程费用定额》（CQFYDE-2018）费用标准执行。</w:t>
      </w:r>
    </w:p>
    <w:p>
      <w:pPr>
        <w:spacing w:line="560" w:lineRule="exact"/>
        <w:ind w:firstLine="600" w:firstLineChars="200"/>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t>8）税金：包含增值税、城市维护建设税、教育费附加、地方教育附加以及环境保护税。按《重庆市建设工程费用定额》（CQFYDE-2018）、《重庆市城乡建设委员会关于建筑业营业税改征增值税调整建设工程计价依据的通知》（渝建发（2016）35号）、《重庆城乡建设委员会关于适用增值税新税率调整建设工程计价依据的通知》（渝建【2018】195号）、渝建发〔2019〕143号文件及配套文件的规定计算。附加税按工程所在市区适用税率计算。</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七、 履约担保</w:t>
      </w:r>
    </w:p>
    <w:p>
      <w:pPr>
        <w:spacing w:line="560" w:lineRule="exact"/>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1</w:t>
      </w:r>
      <w:r>
        <w:rPr>
          <w:rFonts w:hint="eastAsia" w:ascii="方正仿宋_GBK" w:hAnsi="方正仿宋_GBK" w:eastAsia="方正仿宋_GBK" w:cs="方正仿宋_GBK"/>
          <w:b w:val="0"/>
          <w:bCs/>
          <w:sz w:val="30"/>
          <w:szCs w:val="30"/>
          <w:lang w:val="en-US" w:eastAsia="zh-CN"/>
        </w:rPr>
        <w:t>乙方</w:t>
      </w:r>
      <w:r>
        <w:rPr>
          <w:rFonts w:hint="eastAsia" w:ascii="方正仿宋_GBK" w:hAnsi="方正仿宋_GBK" w:eastAsia="方正仿宋_GBK" w:cs="方正仿宋_GBK"/>
          <w:b w:val="0"/>
          <w:bCs/>
          <w:sz w:val="30"/>
          <w:szCs w:val="30"/>
        </w:rPr>
        <w:t>是否提供履约担保：提供。</w:t>
      </w:r>
    </w:p>
    <w:p>
      <w:pPr>
        <w:spacing w:line="560" w:lineRule="exact"/>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2</w:t>
      </w:r>
      <w:r>
        <w:rPr>
          <w:rFonts w:hint="eastAsia" w:ascii="方正仿宋_GBK" w:hAnsi="方正仿宋_GBK" w:eastAsia="方正仿宋_GBK" w:cs="方正仿宋_GBK"/>
          <w:b w:val="0"/>
          <w:bCs/>
          <w:sz w:val="30"/>
          <w:szCs w:val="30"/>
          <w:lang w:val="en-US" w:eastAsia="zh-CN"/>
        </w:rPr>
        <w:t>乙方</w:t>
      </w:r>
      <w:r>
        <w:rPr>
          <w:rFonts w:hint="eastAsia" w:ascii="方正仿宋_GBK" w:hAnsi="方正仿宋_GBK" w:eastAsia="方正仿宋_GBK" w:cs="方正仿宋_GBK"/>
          <w:b w:val="0"/>
          <w:bCs/>
          <w:sz w:val="30"/>
          <w:szCs w:val="30"/>
        </w:rPr>
        <w:t>提供履约担保的形式、金额及期限：</w:t>
      </w:r>
    </w:p>
    <w:p>
      <w:pPr>
        <w:spacing w:line="560" w:lineRule="exact"/>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（1）履约担保的形式：银行保函、现金、现金+保函；</w:t>
      </w:r>
    </w:p>
    <w:p>
      <w:pPr>
        <w:spacing w:line="560" w:lineRule="exact"/>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（2）履约担保的金额：签约合同价的5%即        万元（计算方式：暂定金额30万元*全费用综合折扣*5%）；</w:t>
      </w:r>
    </w:p>
    <w:p>
      <w:pPr>
        <w:spacing w:line="560" w:lineRule="exact"/>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（3）履约担保的提交时间：合同签订之前。</w:t>
      </w:r>
    </w:p>
    <w:p>
      <w:pPr>
        <w:spacing w:line="560" w:lineRule="exact"/>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（4）履约担保的期限：自提交履约担保之日起至合同到期之日止。</w:t>
      </w:r>
    </w:p>
    <w:p>
      <w:pPr>
        <w:spacing w:line="560" w:lineRule="exact"/>
        <w:ind w:firstLine="600"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val="0"/>
          <w:bCs/>
          <w:sz w:val="30"/>
          <w:szCs w:val="30"/>
        </w:rPr>
        <w:t>（5）履约担保的退还时间：</w:t>
      </w:r>
      <w:r>
        <w:rPr>
          <w:rFonts w:hint="eastAsia" w:ascii="方正仿宋_GBK" w:hAnsi="方正仿宋_GBK" w:eastAsia="方正仿宋_GBK" w:cs="方正仿宋_GBK"/>
          <w:b w:val="0"/>
          <w:bCs/>
          <w:sz w:val="30"/>
          <w:szCs w:val="30"/>
          <w:lang w:val="en-US" w:eastAsia="zh-CN"/>
        </w:rPr>
        <w:t>乙方</w:t>
      </w:r>
      <w:r>
        <w:rPr>
          <w:rFonts w:hint="eastAsia" w:ascii="方正仿宋_GBK" w:hAnsi="方正仿宋_GBK" w:eastAsia="方正仿宋_GBK" w:cs="方正仿宋_GBK"/>
          <w:b w:val="0"/>
          <w:bCs/>
          <w:sz w:val="30"/>
          <w:szCs w:val="30"/>
        </w:rPr>
        <w:t>无违反合同或比选文件约定情形的，在合同履行完毕后无息退还。</w:t>
      </w:r>
    </w:p>
    <w:p>
      <w:pPr>
        <w:widowControl/>
        <w:spacing w:line="360" w:lineRule="auto"/>
        <w:ind w:firstLine="600" w:firstLineChars="200"/>
        <w:rPr>
          <w:rFonts w:hint="eastAsia" w:ascii="方正仿宋_GBK" w:hAnsi="方正仿宋_GBK" w:eastAsia="方正仿宋_GBK" w:cs="方正仿宋_GBK"/>
          <w:b w:val="0"/>
          <w:bCs/>
          <w:sz w:val="30"/>
          <w:szCs w:val="30"/>
        </w:rPr>
      </w:pPr>
      <w:r>
        <w:rPr>
          <w:rFonts w:hint="eastAsia" w:ascii="方正仿宋_GBK" w:hAnsi="方正仿宋_GBK" w:eastAsia="方正仿宋_GBK" w:cs="方正仿宋_GBK"/>
          <w:b w:val="0"/>
          <w:bCs/>
          <w:sz w:val="30"/>
          <w:szCs w:val="30"/>
        </w:rPr>
        <w:t>注：</w:t>
      </w:r>
      <w:r>
        <w:rPr>
          <w:rFonts w:hint="eastAsia" w:ascii="方正仿宋_GBK" w:hAnsi="方正仿宋_GBK" w:eastAsia="方正仿宋_GBK" w:cs="方正仿宋_GBK"/>
          <w:b w:val="0"/>
          <w:bCs/>
          <w:sz w:val="30"/>
          <w:szCs w:val="30"/>
          <w:lang w:val="en-US" w:eastAsia="zh-CN"/>
        </w:rPr>
        <w:t>中选人</w:t>
      </w:r>
      <w:r>
        <w:rPr>
          <w:rFonts w:hint="eastAsia" w:ascii="方正仿宋_GBK" w:hAnsi="方正仿宋_GBK" w:eastAsia="方正仿宋_GBK" w:cs="方正仿宋_GBK"/>
          <w:b w:val="0"/>
          <w:bCs/>
          <w:sz w:val="30"/>
          <w:szCs w:val="30"/>
        </w:rPr>
        <w:t>自中选通知书发出之日起5日内到</w:t>
      </w:r>
      <w:r>
        <w:rPr>
          <w:rFonts w:hint="eastAsia" w:ascii="方正仿宋_GBK" w:hAnsi="方正仿宋_GBK" w:eastAsia="方正仿宋_GBK" w:cs="方正仿宋_GBK"/>
          <w:b w:val="0"/>
          <w:bCs/>
          <w:sz w:val="30"/>
          <w:szCs w:val="30"/>
          <w:lang w:val="en-US" w:eastAsia="zh-CN"/>
        </w:rPr>
        <w:t>甲方</w:t>
      </w:r>
      <w:r>
        <w:rPr>
          <w:rFonts w:hint="eastAsia" w:ascii="方正仿宋_GBK" w:hAnsi="方正仿宋_GBK" w:eastAsia="方正仿宋_GBK" w:cs="方正仿宋_GBK"/>
          <w:b w:val="0"/>
          <w:bCs/>
          <w:sz w:val="30"/>
          <w:szCs w:val="30"/>
        </w:rPr>
        <w:t>洽谈签订承发包合同事宜，并在收到中选通知书30日历天内完成合同签订。如果中选人未能按要求或在法定时限内缴纳履约担保金并签订书面合同的，</w:t>
      </w:r>
      <w:r>
        <w:rPr>
          <w:rFonts w:hint="eastAsia" w:ascii="方正仿宋_GBK" w:hAnsi="方正仿宋_GBK" w:eastAsia="方正仿宋_GBK" w:cs="方正仿宋_GBK"/>
          <w:b w:val="0"/>
          <w:bCs/>
          <w:sz w:val="30"/>
          <w:szCs w:val="30"/>
          <w:lang w:val="en-US" w:eastAsia="zh-CN"/>
        </w:rPr>
        <w:t>甲方</w:t>
      </w:r>
      <w:r>
        <w:rPr>
          <w:rFonts w:hint="eastAsia" w:ascii="方正仿宋_GBK" w:hAnsi="方正仿宋_GBK" w:eastAsia="方正仿宋_GBK" w:cs="方正仿宋_GBK"/>
          <w:b w:val="0"/>
          <w:bCs/>
          <w:sz w:val="30"/>
          <w:szCs w:val="30"/>
        </w:rPr>
        <w:t>有权取消其中选资格。给甲方造成的损失超过所有已缴纳费用的，乙方还应当对超过部分予以赔偿，并按“渝建发〔2008〕165号”、“渝公管发〔2020〕22号”文件要求执行。</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八、时间要求</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1、除应急抢险外，对办公和会务有影响的维修工作，应避开工作时间。</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2、屋面防水处理、受天气季节因素影响的维修项目可视实际天气季节顺延工期。  </w:t>
      </w:r>
    </w:p>
    <w:p>
      <w:pPr>
        <w:spacing w:line="560" w:lineRule="exact"/>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t>九、双方权利与义务</w:t>
      </w:r>
      <w:r>
        <w:rPr>
          <w:rFonts w:hint="eastAsia" w:ascii="方正仿宋_GBK" w:hAnsi="方正仿宋_GBK" w:eastAsia="方正仿宋_GBK" w:cs="方正仿宋_GBK"/>
          <w:sz w:val="30"/>
          <w:szCs w:val="30"/>
        </w:rPr>
        <w:t>　　</w:t>
      </w:r>
    </w:p>
    <w:p>
      <w:pPr>
        <w:spacing w:line="560" w:lineRule="exact"/>
        <w:ind w:firstLine="452" w:firstLineChars="15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（一） 甲方权利与义务　　</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1.甲方的权利</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（1）甲方有权对工程质量、工程进度、安全环保工作、文明施工等的管理、监督、检查。</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（2）甲方有权对乙方在各项维修维护工程中所采用的材料进行检查（检验），不合格可要求乙方更换。</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（3）甲方有权要求乙方撤换不能胜任本职工作的管理人员及施工人员。</w:t>
      </w:r>
    </w:p>
    <w:p>
      <w:pPr>
        <w:spacing w:line="560" w:lineRule="exact"/>
        <w:ind w:firstLine="48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（4）甲方有权对乙方的工程质量等级、隐蔽工程和中间验收、维护、初验、检查和返工、终验进行检查和监督。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（5）甲方有权对乙方施工工作面存在的安全隐患进行监督、检查，并督促乙方采取整改措施。</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2.甲方的义务</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（1）甲方指派</w:t>
      </w:r>
      <w:r>
        <w:rPr>
          <w:rFonts w:hint="eastAsia" w:ascii="方正仿宋_GBK" w:hAnsi="方正仿宋_GBK" w:eastAsia="方正仿宋_GBK" w:cs="方正仿宋_GBK"/>
          <w:sz w:val="28"/>
          <w:szCs w:val="28"/>
          <w:u w:val="single"/>
          <w:lang w:eastAsia="zh-CN"/>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lang w:eastAsia="zh-CN"/>
        </w:rPr>
        <w:t>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为现场代表，负责联系、沟通、协调、全程监督和组织验收、审记工作；当事部门（单位）、物管经办人为收方收量签证负责人。</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（2）甲方负责对各维修维护项目察看相片、报修填写、审批完善；完成事前、事中、事后同置相片采集对比，实行图文并茂。</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（3）甲方负责在各维修维护项目结束后组织相关人员进行收方、收量、签证、验收、核价确认。</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（二）乙方的权利与义务</w:t>
      </w:r>
    </w:p>
    <w:p>
      <w:pPr>
        <w:spacing w:line="560" w:lineRule="exact"/>
        <w:ind w:firstLine="602"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1.乙方的权利</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（1）对修缮方式存在明显安全隐患和使用功能问题的，乙方有权书面告知甲方。</w:t>
      </w:r>
    </w:p>
    <w:p>
      <w:pPr>
        <w:spacing w:line="560" w:lineRule="exact"/>
        <w:ind w:firstLine="600"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（2）工程完工并通过</w:t>
      </w:r>
      <w:r>
        <w:rPr>
          <w:rFonts w:hint="eastAsia" w:ascii="方正仿宋_GBK" w:hAnsi="方正仿宋_GBK" w:eastAsia="方正仿宋_GBK" w:cs="方正仿宋_GBK"/>
          <w:sz w:val="30"/>
          <w:szCs w:val="30"/>
          <w:lang w:val="en-US" w:eastAsia="zh-CN"/>
        </w:rPr>
        <w:t>甲方</w:t>
      </w:r>
      <w:r>
        <w:rPr>
          <w:rFonts w:hint="eastAsia" w:ascii="方正仿宋_GBK" w:hAnsi="方正仿宋_GBK" w:eastAsia="方正仿宋_GBK" w:cs="方正仿宋_GBK"/>
          <w:sz w:val="30"/>
          <w:szCs w:val="30"/>
        </w:rPr>
        <w:t>验收“合格”，乙方无任何违约责任</w:t>
      </w:r>
      <w:r>
        <w:rPr>
          <w:rFonts w:hint="eastAsia" w:ascii="方正仿宋_GBK" w:hAnsi="方正仿宋_GBK" w:eastAsia="方正仿宋_GBK" w:cs="方正仿宋_GBK"/>
          <w:sz w:val="30"/>
          <w:szCs w:val="30"/>
          <w:lang w:val="en-US" w:eastAsia="zh-CN"/>
        </w:rPr>
        <w:t>的</w:t>
      </w:r>
      <w:r>
        <w:rPr>
          <w:rFonts w:hint="eastAsia" w:ascii="方正仿宋_GBK" w:hAnsi="方正仿宋_GBK" w:eastAsia="方正仿宋_GBK" w:cs="方正仿宋_GBK"/>
          <w:sz w:val="30"/>
          <w:szCs w:val="30"/>
        </w:rPr>
        <w:t>，有权要求甲方按合同条款支付工程款。</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2.乙方的义务</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严格按照施工验收规范及有关技术要求组织施工，确保工程质量和进度满足要求；投入足够的人力、物力、资金，保证在甲方确定的工期内完工；严格遵守安全制度，确保施工安全；加强现场管理，严格执行建设主管部门及环保、消防、环卫等有关部门对施工现场的管理规定；工程完工退场时，清理施工场地的建筑垃圾，保障环境卫生干净、整洁；承担由于自身责任造成的损失及各种罚款。</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（2）乙方必须服从甲方的施工调度，做到及时派工。</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（3）乙方全权负责其施工人员的培训、安全教育、持证上岗、工资发放、各种社会保险、伤亡事故处理、劳动争议等事宜。</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乙方应严格遵守国家安全生产的法律法规、规程规范、标准，遵守甲方的安全规章制度和现场防护要求，确保施工安全，为从事危险作业的施工人员办理意外伤害等保险。乙方施工人员本人事故及因施工造成的第三方损害甲方概不负责，由乙方自行承担全部责任和费用。</w:t>
      </w:r>
      <w:r>
        <w:rPr>
          <w:rFonts w:hint="eastAsia" w:ascii="方正仿宋_GBK" w:hAnsi="方正仿宋_GBK" w:eastAsia="方正仿宋_GBK" w:cs="方正仿宋_GBK"/>
          <w:sz w:val="30"/>
          <w:szCs w:val="30"/>
          <w:lang w:eastAsia="zh-CN"/>
        </w:rPr>
        <w:t>甲方承担相关费用的有权向乙方追偿。</w:t>
      </w:r>
      <w:r>
        <w:rPr>
          <w:rFonts w:hint="eastAsia" w:ascii="方正仿宋_GBK" w:hAnsi="方正仿宋_GBK" w:eastAsia="方正仿宋_GBK" w:cs="方正仿宋_GBK"/>
          <w:sz w:val="30"/>
          <w:szCs w:val="30"/>
        </w:rPr>
        <w:t>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（5）保证全部生活废水经沉淀池、化粪池相关井、沟处理。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（6）做好施工场地周围建筑物、构筑物、地下管线和已完工程部分的成品保护工作，因乙方责任发生损坏，乙方自行承担由此引起的一切经济损失及各种罚款。</w:t>
      </w:r>
    </w:p>
    <w:p>
      <w:pPr>
        <w:spacing w:line="560" w:lineRule="exact"/>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（7）施工场界噪声控制指标应符合《建筑施工场界噪声限值》GB12523-90标准。</w:t>
      </w:r>
    </w:p>
    <w:p>
      <w:pPr>
        <w:spacing w:line="560" w:lineRule="exact"/>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（8）施工前向甲方提供维修维护所用材料的质量合格证书。</w:t>
      </w:r>
    </w:p>
    <w:p>
      <w:pPr>
        <w:spacing w:line="560" w:lineRule="exact"/>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（9）地下管网改造工程须在施工前向甲方提供相应图纸。</w:t>
      </w:r>
    </w:p>
    <w:p>
      <w:pPr>
        <w:spacing w:line="560" w:lineRule="exact"/>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在施工过程中，乙方须做到安全施工、文明施工，并做好相应的施工安全公告及警戒标识，施工过程中发生的一切安全事故由乙方自行负责处理并承担全部责任及费用。乙方应当与其施工人员建立劳动关系，承担全部用人用工主体责任。</w:t>
      </w:r>
      <w:r>
        <w:rPr>
          <w:rFonts w:hint="eastAsia" w:ascii="方正仿宋_GBK" w:hAnsi="方正仿宋_GBK" w:eastAsia="方正仿宋_GBK" w:cs="方正仿宋_GBK"/>
          <w:sz w:val="30"/>
          <w:szCs w:val="30"/>
          <w:lang w:eastAsia="zh-CN"/>
        </w:rPr>
        <w:t>甲方承担相关费用的有权向乙方追偿。</w:t>
      </w:r>
    </w:p>
    <w:p>
      <w:pPr>
        <w:spacing w:line="560" w:lineRule="exact"/>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（11）本项目施工需符合国家、地方、行业各项安全规范。</w:t>
      </w:r>
    </w:p>
    <w:p>
      <w:pPr>
        <w:spacing w:line="560" w:lineRule="exact"/>
        <w:ind w:firstLine="450" w:firstLineChars="15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（12）乙方应进行安全检查及时清除不安全隐患，根据施工实际情况，提出安全生产措施，及时解决安全生产上存在的各种问题，协助解决安全生产中的疑难问题。</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十、违约责任        　</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（一）甲方违约责任</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1.因</w:t>
      </w:r>
      <w:r>
        <w:rPr>
          <w:rFonts w:hint="eastAsia" w:ascii="方正仿宋_GBK" w:hAnsi="方正仿宋_GBK" w:eastAsia="方正仿宋_GBK" w:cs="方正仿宋_GBK"/>
          <w:sz w:val="28"/>
          <w:szCs w:val="28"/>
          <w:lang w:eastAsia="zh-CN"/>
        </w:rPr>
        <w:t>非乙方原因，</w:t>
      </w:r>
      <w:r>
        <w:rPr>
          <w:rFonts w:hint="eastAsia" w:ascii="方正仿宋_GBK" w:hAnsi="方正仿宋_GBK" w:eastAsia="方正仿宋_GBK" w:cs="方正仿宋_GBK"/>
          <w:sz w:val="30"/>
          <w:szCs w:val="30"/>
        </w:rPr>
        <w:t>甲方延期支付委托价款导致工期延期的，乙方不承担任何责任。</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2.因甲方原因未能及时办理完毕合同约定的许可、批准或备案的。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3.甲方无正当理由未按约定支付维修价款、退还履约担保、低价风险担保、预付款担保或质量保证金的。</w:t>
      </w:r>
    </w:p>
    <w:p>
      <w:pPr>
        <w:spacing w:line="560" w:lineRule="exact"/>
        <w:ind w:firstLine="602"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（二）乙方违约责任　　</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乙方应当遵守法律、法规及行业管理有关规定要求。</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1.有下列情形之一的，取消成交供应商资格，</w:t>
      </w:r>
      <w:r>
        <w:rPr>
          <w:rFonts w:hint="eastAsia" w:ascii="方正仿宋_GBK" w:hAnsi="方正仿宋_GBK" w:eastAsia="方正仿宋_GBK" w:cs="方正仿宋_GBK"/>
          <w:sz w:val="28"/>
          <w:szCs w:val="28"/>
          <w:lang w:eastAsia="zh-CN"/>
        </w:rPr>
        <w:t>甲方有权单方解除合同，乙方按本合同金额的</w:t>
      </w:r>
      <w:r>
        <w:rPr>
          <w:rFonts w:hint="eastAsia" w:ascii="方正仿宋_GBK" w:hAnsi="方正仿宋_GBK" w:eastAsia="方正仿宋_GBK" w:cs="方正仿宋_GBK"/>
          <w:sz w:val="28"/>
          <w:szCs w:val="28"/>
          <w:lang w:val="en-US" w:eastAsia="zh-CN"/>
        </w:rPr>
        <w:t xml:space="preserve">    %向甲方</w:t>
      </w:r>
      <w:r>
        <w:rPr>
          <w:rFonts w:hint="eastAsia" w:ascii="方正仿宋_GBK" w:hAnsi="方正仿宋_GBK" w:eastAsia="方正仿宋_GBK" w:cs="方正仿宋_GBK"/>
          <w:sz w:val="28"/>
          <w:szCs w:val="28"/>
          <w:lang w:eastAsia="zh-CN"/>
        </w:rPr>
        <w:t>承担违约责任，并赔偿因此造成的甲方损失</w:t>
      </w:r>
      <w:r>
        <w:rPr>
          <w:rFonts w:hint="eastAsia" w:ascii="方正仿宋_GBK" w:hAnsi="方正仿宋_GBK" w:eastAsia="方正仿宋_GBK" w:cs="方正仿宋_GBK"/>
          <w:sz w:val="30"/>
          <w:szCs w:val="30"/>
        </w:rPr>
        <w:t>：</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（1）同一项目返修三次（含本数）以上的。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（2）转包、挂靠或违法分包项目的。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（3）发生质量安全事故、拖欠工程款、民工工资等不良行为，受到有关部门处罚处理的。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（4）引发群体性上访事件的。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（5）自愿申请退出成交供应商的。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（6）拒绝承担甲方安排任务的。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（7）对审定工期延误三次（含本数）以上的。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（8）对被服务对象和涉及单位有效投诉三次（含本数）以上的。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（9）对经查实在施工中偷工减料、贿赂串通甲方、监理、结算和审计等单位人员、偷盗公私财物或性质恶劣、造成泌密事件的。</w:t>
      </w:r>
    </w:p>
    <w:p>
      <w:pPr>
        <w:adjustRightInd w:val="0"/>
        <w:snapToGrid w:val="0"/>
        <w:spacing w:line="560" w:lineRule="exact"/>
        <w:ind w:right="-420" w:rightChars="-200"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（10）其他违法违规行为，经审查认为不宜保留成交供应商资格的。</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乙方应服从甲方的管理，按照甲方指定的合同内容，不论合同金额大小，均应按质按量按期完成合同内容。　</w:t>
      </w:r>
    </w:p>
    <w:p>
      <w:pPr>
        <w:spacing w:line="560" w:lineRule="exact"/>
        <w:ind w:firstLine="57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3.乙方不得使用劣质管材等材料滥竽充数，一经发现处以违约金5000元。发现两次，甲方有权解除合同。</w:t>
      </w:r>
    </w:p>
    <w:p>
      <w:pPr>
        <w:spacing w:line="560" w:lineRule="exact"/>
        <w:ind w:firstLine="57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 乙方应严格要求现场施工人员和管理人员，不得吃拿卡要，若发生类似情况，一经查实，甲方有权解除合同。</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5．乙方应在接到甲方的维修通知后，在本合同约定期限内维修完工并通过验收合格，逾期，按200元/天计算违约金。超过3天，甲方有权解除本合同。</w:t>
      </w:r>
    </w:p>
    <w:p>
      <w:pPr>
        <w:spacing w:line="560" w:lineRule="exact"/>
        <w:ind w:firstLine="57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十一、其它约定事项</w:t>
      </w:r>
    </w:p>
    <w:p>
      <w:pPr>
        <w:spacing w:line="560" w:lineRule="exact"/>
        <w:ind w:firstLine="57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（一）针对突发、应急、抢险与特别特殊特行、紧急个案处置：</w:t>
      </w:r>
    </w:p>
    <w:p>
      <w:pPr>
        <w:spacing w:line="560" w:lineRule="exact"/>
        <w:ind w:firstLine="600" w:firstLineChars="2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乙方自觉做好应急响应、应急措施、应急处置并无条件协助、配合做好应急预案处置到位、落到实处。</w:t>
      </w:r>
    </w:p>
    <w:p>
      <w:pPr>
        <w:spacing w:line="560" w:lineRule="exact"/>
        <w:ind w:firstLine="600" w:firstLineChars="200"/>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（二）乙方指定</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(身份证号：</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电话：</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、电子邮件：</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(身份证号：</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电话：</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、电子邮件：</w:t>
      </w:r>
      <w:r>
        <w:rPr>
          <w:rFonts w:hint="eastAsia" w:ascii="方正仿宋_GBK" w:hAnsi="方正仿宋_GBK" w:eastAsia="方正仿宋_GBK" w:cs="方正仿宋_GBK"/>
          <w:bCs/>
          <w:sz w:val="30"/>
          <w:szCs w:val="30"/>
          <w:u w:val="single"/>
        </w:rPr>
        <w:t xml:space="preserve">        </w:t>
      </w:r>
      <w:r>
        <w:rPr>
          <w:rFonts w:hint="eastAsia" w:ascii="方正仿宋_GBK" w:hAnsi="方正仿宋_GBK" w:eastAsia="方正仿宋_GBK" w:cs="方正仿宋_GBK"/>
          <w:bCs/>
          <w:sz w:val="30"/>
          <w:szCs w:val="30"/>
        </w:rPr>
        <w:t>)为现场代表联系人。</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bCs/>
          <w:sz w:val="30"/>
          <w:szCs w:val="30"/>
        </w:rPr>
        <w:t>（三）</w:t>
      </w:r>
      <w:r>
        <w:rPr>
          <w:rFonts w:hint="eastAsia" w:ascii="方正仿宋_GBK" w:hAnsi="方正仿宋_GBK" w:eastAsia="方正仿宋_GBK" w:cs="方正仿宋_GBK"/>
          <w:sz w:val="30"/>
          <w:szCs w:val="30"/>
        </w:rPr>
        <w:t>乙方在接到甲方的维修通知后，应第一时间安排与维修事项相适应的现场管理人员和施工作业人员进场施工，原则上24小时内完成维修，因乙方懈怠而引发安全事故或群体性事件等问题，由乙方全权承担相应责任及费用，若发生类似情况超过三次（含三次），甲方有权解除合同。</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十二、通知与送达</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双方一致确认本合同尾部页载明的通信地址及联系方式为各方履行合同义务、解决合同争议时接收其他方文件信函或司法机关（法院、仲裁机构）诉讼、仲裁文书的唯一送达地址及联系方式。各方按照本合同尾部页载明的地址送达相关文件的，若系直接送达，则收件人本人签收或他人代签之日即视为送达之日；若以电子邮件方式送达，则自邮件到达对方邮件收件系统之日即视为送达之日；若以邮寄方式（包括EMS）送达，则自邮寄之日起第三个工作日即视为送达之日，因受送达人拒收等原因导致文书未能送达或退回的，不影响送达效力。任何一方变更送达地址的，应在变更后三个工作日内以书面形式将变更后的送达地址通知对方；未按前述约定方式变更的，前述送达地址仍为有效送达地址</w:t>
      </w:r>
    </w:p>
    <w:p>
      <w:pPr>
        <w:spacing w:line="560" w:lineRule="exact"/>
        <w:ind w:firstLine="602" w:firstLineChars="200"/>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十三、附则　</w:t>
      </w:r>
    </w:p>
    <w:p>
      <w:pPr>
        <w:spacing w:line="560" w:lineRule="exact"/>
        <w:ind w:firstLine="600" w:firstLineChars="20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1、在本《合同》签定时，同时签定《工程质量保修书》、《廉洁从业协议》、《安全管理协议》，并严格执行自觉遵守。</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、本合同在履行过程中所发生的任何争议，由当事双方协商解决；协商未果，任何一方均可依法向本合同签订地（南岸区）有管辖权的人民法院提起诉讼。</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、本合同经双方盖章后生效，合同期满，自动终止。</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、本合同壹式陆份，甲、乙双方各执叁份，具有同等法律效力。</w:t>
      </w:r>
    </w:p>
    <w:tbl>
      <w:tblPr>
        <w:tblStyle w:val="46"/>
        <w:tblW w:w="8868" w:type="dxa"/>
        <w:tblInd w:w="0" w:type="dxa"/>
        <w:tblLayout w:type="autofit"/>
        <w:tblCellMar>
          <w:top w:w="0" w:type="dxa"/>
          <w:left w:w="108" w:type="dxa"/>
          <w:bottom w:w="0" w:type="dxa"/>
          <w:right w:w="108" w:type="dxa"/>
        </w:tblCellMar>
      </w:tblPr>
      <w:tblGrid>
        <w:gridCol w:w="1839"/>
        <w:gridCol w:w="2889"/>
        <w:gridCol w:w="1671"/>
        <w:gridCol w:w="2469"/>
      </w:tblGrid>
      <w:tr>
        <w:tblPrEx>
          <w:tblCellMar>
            <w:top w:w="0" w:type="dxa"/>
            <w:left w:w="108" w:type="dxa"/>
            <w:bottom w:w="0" w:type="dxa"/>
            <w:right w:w="108" w:type="dxa"/>
          </w:tblCellMar>
        </w:tblPrEx>
        <w:tc>
          <w:tcPr>
            <w:tcW w:w="1839" w:type="dxa"/>
            <w:noWrap w:val="0"/>
            <w:vAlign w:val="top"/>
          </w:tcPr>
          <w:p>
            <w:pPr>
              <w:spacing w:line="560" w:lineRule="exact"/>
              <w:jc w:val="lef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甲方</w:t>
            </w:r>
            <w:r>
              <w:rPr>
                <w:rFonts w:hint="eastAsia" w:ascii="方正仿宋_GBK" w:hAnsi="方正仿宋_GBK" w:eastAsia="方正仿宋_GBK" w:cs="方正仿宋_GBK"/>
                <w:sz w:val="30"/>
                <w:szCs w:val="30"/>
              </w:rPr>
              <w:t xml:space="preserve">：    </w:t>
            </w:r>
          </w:p>
        </w:tc>
        <w:tc>
          <w:tcPr>
            <w:tcW w:w="2889" w:type="dxa"/>
            <w:noWrap w:val="0"/>
            <w:vAlign w:val="top"/>
          </w:tcPr>
          <w:p>
            <w:pPr>
              <w:spacing w:line="560" w:lineRule="exact"/>
              <w:rPr>
                <w:rFonts w:hint="eastAsia" w:ascii="方正仿宋_GBK" w:hAnsi="方正仿宋_GBK" w:eastAsia="方正仿宋_GBK" w:cs="方正仿宋_GBK"/>
                <w:b/>
                <w:sz w:val="30"/>
                <w:szCs w:val="30"/>
              </w:rPr>
            </w:pPr>
          </w:p>
          <w:p>
            <w:pPr>
              <w:spacing w:line="560" w:lineRule="exact"/>
              <w:rPr>
                <w:rFonts w:hint="eastAsia" w:ascii="方正仿宋_GBK" w:hAnsi="方正仿宋_GBK" w:eastAsia="方正仿宋_GBK" w:cs="方正仿宋_GBK"/>
                <w:b/>
                <w:sz w:val="30"/>
                <w:szCs w:val="30"/>
              </w:rPr>
            </w:pPr>
          </w:p>
        </w:tc>
        <w:tc>
          <w:tcPr>
            <w:tcW w:w="1671"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乙方</w:t>
            </w:r>
            <w:r>
              <w:rPr>
                <w:rFonts w:hint="eastAsia" w:ascii="方正仿宋_GBK" w:hAnsi="方正仿宋_GBK" w:eastAsia="方正仿宋_GBK" w:cs="方正仿宋_GBK"/>
                <w:sz w:val="30"/>
                <w:szCs w:val="30"/>
              </w:rPr>
              <w:t xml:space="preserve">：　  </w:t>
            </w:r>
          </w:p>
        </w:tc>
        <w:tc>
          <w:tcPr>
            <w:tcW w:w="2469" w:type="dxa"/>
            <w:noWrap w:val="0"/>
            <w:vAlign w:val="top"/>
          </w:tcPr>
          <w:p>
            <w:pPr>
              <w:spacing w:line="560" w:lineRule="exact"/>
              <w:rPr>
                <w:rFonts w:hint="eastAsia" w:ascii="方正仿宋_GBK" w:hAnsi="方正仿宋_GBK" w:eastAsia="方正仿宋_GBK" w:cs="方正仿宋_GBK"/>
                <w:b/>
                <w:sz w:val="30"/>
                <w:szCs w:val="30"/>
              </w:rPr>
            </w:pPr>
          </w:p>
        </w:tc>
      </w:tr>
      <w:tr>
        <w:tblPrEx>
          <w:tblCellMar>
            <w:top w:w="0" w:type="dxa"/>
            <w:left w:w="108" w:type="dxa"/>
            <w:bottom w:w="0" w:type="dxa"/>
            <w:right w:w="108" w:type="dxa"/>
          </w:tblCellMar>
        </w:tblPrEx>
        <w:tc>
          <w:tcPr>
            <w:tcW w:w="1839"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 xml:space="preserve">经办人：  </w:t>
            </w:r>
          </w:p>
        </w:tc>
        <w:tc>
          <w:tcPr>
            <w:tcW w:w="2889" w:type="dxa"/>
            <w:noWrap w:val="0"/>
            <w:vAlign w:val="top"/>
          </w:tcPr>
          <w:p>
            <w:pPr>
              <w:spacing w:line="560" w:lineRule="exact"/>
              <w:rPr>
                <w:rFonts w:hint="eastAsia" w:ascii="方正仿宋_GBK" w:hAnsi="方正仿宋_GBK" w:eastAsia="方正仿宋_GBK" w:cs="方正仿宋_GBK"/>
                <w:b/>
                <w:sz w:val="30"/>
                <w:szCs w:val="30"/>
              </w:rPr>
            </w:pPr>
          </w:p>
        </w:tc>
        <w:tc>
          <w:tcPr>
            <w:tcW w:w="1671"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经办人：</w:t>
            </w:r>
          </w:p>
        </w:tc>
        <w:tc>
          <w:tcPr>
            <w:tcW w:w="2469" w:type="dxa"/>
            <w:noWrap w:val="0"/>
            <w:vAlign w:val="top"/>
          </w:tcPr>
          <w:p>
            <w:pPr>
              <w:spacing w:line="560" w:lineRule="exact"/>
              <w:rPr>
                <w:rFonts w:hint="eastAsia" w:ascii="方正仿宋_GBK" w:hAnsi="方正仿宋_GBK" w:eastAsia="方正仿宋_GBK" w:cs="方正仿宋_GBK"/>
                <w:b/>
                <w:sz w:val="30"/>
                <w:szCs w:val="30"/>
              </w:rPr>
            </w:pPr>
          </w:p>
        </w:tc>
      </w:tr>
      <w:tr>
        <w:tblPrEx>
          <w:tblCellMar>
            <w:top w:w="0" w:type="dxa"/>
            <w:left w:w="108" w:type="dxa"/>
            <w:bottom w:w="0" w:type="dxa"/>
            <w:right w:w="108" w:type="dxa"/>
          </w:tblCellMar>
        </w:tblPrEx>
        <w:tc>
          <w:tcPr>
            <w:tcW w:w="1839"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联系电话：</w:t>
            </w:r>
          </w:p>
        </w:tc>
        <w:tc>
          <w:tcPr>
            <w:tcW w:w="2889" w:type="dxa"/>
            <w:noWrap w:val="0"/>
            <w:vAlign w:val="top"/>
          </w:tcPr>
          <w:p>
            <w:pPr>
              <w:spacing w:line="560" w:lineRule="exact"/>
              <w:rPr>
                <w:rFonts w:hint="eastAsia" w:ascii="方正仿宋_GBK" w:hAnsi="方正仿宋_GBK" w:eastAsia="方正仿宋_GBK" w:cs="方正仿宋_GBK"/>
                <w:b/>
                <w:sz w:val="30"/>
                <w:szCs w:val="30"/>
              </w:rPr>
            </w:pPr>
          </w:p>
        </w:tc>
        <w:tc>
          <w:tcPr>
            <w:tcW w:w="1671"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联系电话：</w:t>
            </w:r>
          </w:p>
        </w:tc>
        <w:tc>
          <w:tcPr>
            <w:tcW w:w="2469" w:type="dxa"/>
            <w:noWrap w:val="0"/>
            <w:vAlign w:val="top"/>
          </w:tcPr>
          <w:p>
            <w:pPr>
              <w:spacing w:line="560" w:lineRule="exact"/>
              <w:rPr>
                <w:rFonts w:hint="eastAsia" w:ascii="方正仿宋_GBK" w:hAnsi="方正仿宋_GBK" w:eastAsia="方正仿宋_GBK" w:cs="方正仿宋_GBK"/>
                <w:b/>
                <w:sz w:val="30"/>
                <w:szCs w:val="30"/>
              </w:rPr>
            </w:pPr>
          </w:p>
        </w:tc>
      </w:tr>
      <w:tr>
        <w:tblPrEx>
          <w:tblCellMar>
            <w:top w:w="0" w:type="dxa"/>
            <w:left w:w="108" w:type="dxa"/>
            <w:bottom w:w="0" w:type="dxa"/>
            <w:right w:w="108" w:type="dxa"/>
          </w:tblCellMar>
        </w:tblPrEx>
        <w:trPr>
          <w:trHeight w:val="990" w:hRule="atLeast"/>
        </w:trPr>
        <w:tc>
          <w:tcPr>
            <w:tcW w:w="1839"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联系地址：</w:t>
            </w:r>
          </w:p>
        </w:tc>
        <w:tc>
          <w:tcPr>
            <w:tcW w:w="2889" w:type="dxa"/>
            <w:noWrap w:val="0"/>
            <w:vAlign w:val="top"/>
          </w:tcPr>
          <w:p>
            <w:pPr>
              <w:spacing w:line="560" w:lineRule="exact"/>
              <w:rPr>
                <w:rFonts w:hint="eastAsia" w:ascii="方正仿宋_GBK" w:hAnsi="方正仿宋_GBK" w:eastAsia="方正仿宋_GBK" w:cs="方正仿宋_GBK"/>
                <w:b/>
                <w:sz w:val="30"/>
                <w:szCs w:val="30"/>
              </w:rPr>
            </w:pPr>
          </w:p>
          <w:p>
            <w:pPr>
              <w:spacing w:line="560" w:lineRule="exact"/>
              <w:rPr>
                <w:rFonts w:hint="eastAsia" w:ascii="方正仿宋_GBK" w:hAnsi="方正仿宋_GBK" w:eastAsia="方正仿宋_GBK" w:cs="方正仿宋_GBK"/>
                <w:b/>
                <w:sz w:val="30"/>
                <w:szCs w:val="30"/>
              </w:rPr>
            </w:pPr>
          </w:p>
          <w:p>
            <w:pPr>
              <w:spacing w:line="560" w:lineRule="exact"/>
              <w:rPr>
                <w:rFonts w:hint="eastAsia" w:ascii="方正仿宋_GBK" w:hAnsi="方正仿宋_GBK" w:eastAsia="方正仿宋_GBK" w:cs="方正仿宋_GBK"/>
                <w:b/>
                <w:sz w:val="30"/>
                <w:szCs w:val="30"/>
              </w:rPr>
            </w:pPr>
          </w:p>
        </w:tc>
        <w:tc>
          <w:tcPr>
            <w:tcW w:w="1671" w:type="dxa"/>
            <w:noWrap w:val="0"/>
            <w:vAlign w:val="top"/>
          </w:tcPr>
          <w:p>
            <w:pPr>
              <w:spacing w:line="560" w:lineRule="exac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联系地址：</w:t>
            </w:r>
          </w:p>
        </w:tc>
        <w:tc>
          <w:tcPr>
            <w:tcW w:w="2469" w:type="dxa"/>
            <w:noWrap w:val="0"/>
            <w:vAlign w:val="top"/>
          </w:tcPr>
          <w:p>
            <w:pPr>
              <w:spacing w:line="560" w:lineRule="exact"/>
              <w:rPr>
                <w:rFonts w:hint="eastAsia" w:ascii="方正仿宋_GBK" w:hAnsi="方正仿宋_GBK" w:eastAsia="方正仿宋_GBK" w:cs="方正仿宋_GBK"/>
                <w:b/>
                <w:sz w:val="30"/>
                <w:szCs w:val="30"/>
              </w:rPr>
            </w:pPr>
          </w:p>
        </w:tc>
      </w:tr>
    </w:tbl>
    <w:p>
      <w:pPr>
        <w:jc w:val="both"/>
        <w:rPr>
          <w:rFonts w:hint="eastAsia"/>
        </w:rPr>
        <w:sectPr>
          <w:footerReference r:id="rId6" w:type="default"/>
          <w:pgSz w:w="11906" w:h="16838"/>
          <w:pgMar w:top="1304" w:right="1134" w:bottom="1304" w:left="1304" w:header="851" w:footer="992" w:gutter="0"/>
          <w:cols w:space="720" w:num="1"/>
          <w:docGrid w:type="lines" w:linePitch="312" w:charSpace="0"/>
        </w:sectPr>
      </w:pPr>
      <w:r>
        <w:rPr>
          <w:rFonts w:hint="eastAsia" w:ascii="方正仿宋_GBK" w:hAnsi="方正仿宋_GBK" w:eastAsia="方正仿宋_GBK" w:cs="方正仿宋_GBK"/>
          <w:sz w:val="30"/>
          <w:szCs w:val="30"/>
        </w:rPr>
        <w:t xml:space="preserve"> 年    月    日</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年    月    日</w:t>
      </w:r>
    </w:p>
    <w:p>
      <w:pPr>
        <w:spacing w:line="360" w:lineRule="auto"/>
        <w:rPr>
          <w:rFonts w:ascii="宋体" w:hAnsi="宋体"/>
          <w:szCs w:val="20"/>
          <w:highlight w:val="none"/>
        </w:rPr>
      </w:pPr>
    </w:p>
    <w:p>
      <w:pPr>
        <w:pStyle w:val="3"/>
        <w:spacing w:line="360" w:lineRule="auto"/>
        <w:jc w:val="center"/>
        <w:rPr>
          <w:rFonts w:hint="eastAsia" w:ascii="宋体" w:hAnsi="宋体" w:eastAsia="宋体"/>
          <w:highlight w:val="none"/>
          <w:lang w:eastAsia="zh-CN"/>
        </w:rPr>
      </w:pPr>
      <w:bookmarkStart w:id="355" w:name="招标文件06章图纸"/>
      <w:bookmarkEnd w:id="355"/>
      <w:bookmarkStart w:id="356" w:name="_Toc8087"/>
      <w:bookmarkStart w:id="357" w:name="_Toc509218846"/>
      <w:bookmarkStart w:id="358" w:name="_Toc22154"/>
      <w:bookmarkStart w:id="359" w:name="_Toc534185825"/>
      <w:bookmarkStart w:id="360" w:name="_Toc430530519"/>
      <w:bookmarkStart w:id="361" w:name="_Toc287607861"/>
      <w:bookmarkStart w:id="362" w:name="_Toc30298"/>
      <w:bookmarkStart w:id="363" w:name="_Toc287620803"/>
      <w:r>
        <w:rPr>
          <w:rFonts w:hint="eastAsia" w:ascii="宋体" w:hAnsi="宋体"/>
          <w:highlight w:val="none"/>
        </w:rPr>
        <w:t>第六章  图纸</w:t>
      </w:r>
      <w:bookmarkEnd w:id="356"/>
      <w:bookmarkEnd w:id="357"/>
      <w:bookmarkEnd w:id="358"/>
      <w:bookmarkEnd w:id="359"/>
      <w:bookmarkEnd w:id="360"/>
      <w:bookmarkEnd w:id="361"/>
      <w:bookmarkEnd w:id="362"/>
      <w:bookmarkEnd w:id="363"/>
      <w:r>
        <w:rPr>
          <w:rFonts w:hint="eastAsia" w:ascii="宋体" w:hAnsi="宋体"/>
          <w:highlight w:val="none"/>
          <w:lang w:eastAsia="zh-CN"/>
        </w:rPr>
        <w:t>（</w:t>
      </w:r>
      <w:r>
        <w:rPr>
          <w:rFonts w:hint="eastAsia" w:ascii="宋体" w:hAnsi="宋体"/>
          <w:highlight w:val="none"/>
          <w:lang w:val="en-US" w:eastAsia="zh-CN"/>
        </w:rPr>
        <w:t>如有</w:t>
      </w:r>
      <w:r>
        <w:rPr>
          <w:rFonts w:hint="eastAsia" w:ascii="宋体" w:hAnsi="宋体"/>
          <w:highlight w:val="none"/>
          <w:lang w:eastAsia="zh-CN"/>
        </w:rPr>
        <w:t>）</w:t>
      </w:r>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spacing w:line="360" w:lineRule="auto"/>
        <w:jc w:val="center"/>
        <w:rPr>
          <w:rFonts w:ascii="宋体" w:hAnsi="宋体"/>
          <w:szCs w:val="20"/>
          <w:highlight w:val="none"/>
        </w:rPr>
      </w:pPr>
    </w:p>
    <w:p>
      <w:pPr>
        <w:spacing w:line="360" w:lineRule="auto"/>
        <w:rPr>
          <w:rFonts w:ascii="宋体" w:hAnsi="宋体"/>
          <w:szCs w:val="20"/>
          <w:highlight w:val="none"/>
        </w:rPr>
      </w:pPr>
      <w:bookmarkStart w:id="364" w:name="招标文件06章图纸01"/>
      <w:bookmarkEnd w:id="364"/>
      <w:bookmarkStart w:id="365" w:name="_Toc430530520"/>
      <w:bookmarkStart w:id="366" w:name="_Toc287620804"/>
    </w:p>
    <w:bookmarkEnd w:id="365"/>
    <w:bookmarkEnd w:id="366"/>
    <w:p>
      <w:pPr>
        <w:spacing w:line="360" w:lineRule="auto"/>
        <w:rPr>
          <w:rFonts w:ascii="宋体" w:hAnsi="宋体"/>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367" w:name="招标文件07章技术标准和要求"/>
      <w:bookmarkEnd w:id="367"/>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Start w:id="368" w:name="招标文件07章技术标准和要求01"/>
      <w:bookmarkEnd w:id="368"/>
      <w:bookmarkStart w:id="369" w:name="_Toc430530524"/>
      <w:bookmarkStart w:id="370" w:name="_Toc287620808"/>
    </w:p>
    <w:bookmarkEnd w:id="369"/>
    <w:bookmarkEnd w:id="370"/>
    <w:p>
      <w:pPr>
        <w:spacing w:line="360" w:lineRule="auto"/>
        <w:jc w:val="center"/>
        <w:rPr>
          <w:rFonts w:ascii="宋体" w:hAnsi="宋体"/>
          <w:szCs w:val="21"/>
          <w:highlight w:val="none"/>
        </w:rPr>
      </w:pPr>
      <w:r>
        <w:rPr>
          <w:rFonts w:ascii="宋体" w:hAnsi="宋体"/>
          <w:szCs w:val="21"/>
          <w:highlight w:val="none"/>
        </w:rPr>
        <w:t>由</w:t>
      </w:r>
      <w:r>
        <w:rPr>
          <w:rFonts w:hint="eastAsia" w:ascii="宋体" w:hAnsi="宋体"/>
          <w:szCs w:val="21"/>
          <w:highlight w:val="none"/>
          <w:lang w:eastAsia="zh-CN"/>
        </w:rPr>
        <w:t>比选人</w:t>
      </w:r>
      <w:r>
        <w:rPr>
          <w:rFonts w:ascii="宋体" w:hAnsi="宋体"/>
          <w:szCs w:val="21"/>
          <w:highlight w:val="none"/>
        </w:rPr>
        <w:t>根据招标项目的实际情况编写</w:t>
      </w:r>
      <w:r>
        <w:rPr>
          <w:rFonts w:hint="eastAsia" w:ascii="宋体" w:hAnsi="宋体"/>
          <w:szCs w:val="21"/>
          <w:highlight w:val="none"/>
        </w:rPr>
        <w:t>（如有）。</w:t>
      </w:r>
    </w:p>
    <w:p>
      <w:pPr>
        <w:spacing w:line="360" w:lineRule="auto"/>
        <w:rPr>
          <w:rFonts w:ascii="宋体" w:hAnsi="宋体"/>
          <w:highlight w:val="none"/>
        </w:rPr>
      </w:pPr>
      <w:r>
        <w:rPr>
          <w:rFonts w:ascii="宋体" w:hAnsi="宋体"/>
          <w:highlight w:val="none"/>
        </w:rPr>
        <w:br w:type="page"/>
      </w:r>
    </w:p>
    <w:p>
      <w:pPr>
        <w:pStyle w:val="3"/>
        <w:spacing w:line="360" w:lineRule="auto"/>
        <w:jc w:val="center"/>
        <w:rPr>
          <w:rFonts w:ascii="宋体" w:hAnsi="宋体"/>
          <w:highlight w:val="none"/>
        </w:rPr>
      </w:pPr>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p>
    <w:bookmarkEnd w:id="344"/>
    <w:bookmarkEnd w:id="345"/>
    <w:bookmarkEnd w:id="346"/>
    <w:bookmarkEnd w:id="347"/>
    <w:bookmarkEnd w:id="348"/>
    <w:bookmarkEnd w:id="349"/>
    <w:bookmarkEnd w:id="350"/>
    <w:bookmarkEnd w:id="351"/>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bookmarkStart w:id="371" w:name="_Toc224103493"/>
      <w:r>
        <w:rPr>
          <w:rFonts w:hint="eastAsia" w:ascii="宋体" w:hAnsi="宋体"/>
          <w:sz w:val="36"/>
          <w:szCs w:val="36"/>
          <w:highlight w:val="none"/>
        </w:rPr>
        <w:t>目  录</w:t>
      </w:r>
      <w:bookmarkEnd w:id="371"/>
    </w:p>
    <w:p>
      <w:pPr>
        <w:spacing w:line="360" w:lineRule="auto"/>
        <w:jc w:val="center"/>
        <w:rPr>
          <w:rFonts w:ascii="宋体" w:hAnsi="宋体"/>
          <w:szCs w:val="20"/>
          <w:highlight w:val="none"/>
        </w:rPr>
      </w:pPr>
    </w:p>
    <w:p>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p>
    <w:p>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资格审查部分</w:t>
      </w: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pPr>
        <w:spacing w:line="360" w:lineRule="auto"/>
        <w:rPr>
          <w:rFonts w:ascii="宋体" w:hAnsi="宋体"/>
          <w:highlight w:val="none"/>
        </w:rPr>
      </w:pP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372" w:name="_Toc287620813"/>
      <w:bookmarkStart w:id="373" w:name="_Toc277082642"/>
      <w:bookmarkStart w:id="374" w:name="_Toc224103494"/>
      <w:bookmarkStart w:id="375" w:name="_Toc430530529"/>
      <w:bookmarkStart w:id="376" w:name="_Toc287607866"/>
    </w:p>
    <w:p>
      <w:pPr>
        <w:pStyle w:val="4"/>
        <w:spacing w:line="360" w:lineRule="auto"/>
        <w:jc w:val="center"/>
        <w:rPr>
          <w:rFonts w:ascii="宋体" w:hAnsi="宋体"/>
          <w:b w:val="0"/>
          <w:bCs w:val="0"/>
          <w:sz w:val="44"/>
          <w:szCs w:val="44"/>
          <w:highlight w:val="none"/>
        </w:rPr>
      </w:pPr>
      <w:bookmarkStart w:id="377" w:name="_Toc27035"/>
      <w:bookmarkStart w:id="378" w:name="_Toc19476"/>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372"/>
      <w:bookmarkEnd w:id="373"/>
      <w:bookmarkEnd w:id="374"/>
      <w:bookmarkEnd w:id="375"/>
      <w:bookmarkEnd w:id="376"/>
      <w:bookmarkEnd w:id="377"/>
      <w:bookmarkEnd w:id="37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5"/>
        <w:spacing w:before="0" w:after="0" w:line="400" w:lineRule="exact"/>
        <w:jc w:val="center"/>
        <w:rPr>
          <w:rFonts w:hint="eastAsia" w:ascii="宋体" w:hAnsi="宋体" w:eastAsia="宋体"/>
          <w:b w:val="0"/>
          <w:highlight w:val="none"/>
          <w:lang w:eastAsia="zh-CN"/>
        </w:rPr>
      </w:pPr>
      <w:bookmarkStart w:id="379" w:name="_Toc534185831"/>
      <w:bookmarkStart w:id="380" w:name="_Toc224103495"/>
      <w:bookmarkStart w:id="381" w:name="_Toc509218854"/>
      <w:bookmarkStart w:id="382" w:name="_Toc277082643"/>
      <w:bookmarkStart w:id="383" w:name="_Toc287607867"/>
      <w:bookmarkStart w:id="384" w:name="_Toc287620814"/>
      <w:bookmarkStart w:id="385" w:name="_Toc430530530"/>
      <w:r>
        <w:rPr>
          <w:rFonts w:ascii="宋体" w:hAnsi="宋体"/>
          <w:highlight w:val="none"/>
        </w:rPr>
        <w:br w:type="page"/>
      </w:r>
      <w:bookmarkStart w:id="386" w:name="_Toc26071"/>
      <w:bookmarkStart w:id="387" w:name="_Toc882"/>
      <w:r>
        <w:rPr>
          <w:rFonts w:hint="eastAsia"/>
          <w:highlight w:val="none"/>
        </w:rPr>
        <w:t>（一）</w:t>
      </w:r>
      <w:bookmarkEnd w:id="379"/>
      <w:bookmarkEnd w:id="380"/>
      <w:bookmarkEnd w:id="381"/>
      <w:bookmarkEnd w:id="382"/>
      <w:bookmarkEnd w:id="383"/>
      <w:bookmarkEnd w:id="384"/>
      <w:bookmarkEnd w:id="385"/>
      <w:bookmarkEnd w:id="386"/>
      <w:r>
        <w:rPr>
          <w:rFonts w:hint="eastAsia"/>
          <w:highlight w:val="none"/>
          <w:lang w:eastAsia="zh-CN"/>
        </w:rPr>
        <w:t>竞选函</w:t>
      </w:r>
      <w:bookmarkEnd w:id="387"/>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pPr>
        <w:tabs>
          <w:tab w:val="left" w:pos="546"/>
          <w:tab w:val="left" w:pos="711"/>
        </w:tabs>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w:t>
      </w:r>
      <w:r>
        <w:rPr>
          <w:rFonts w:hint="eastAsia" w:ascii="宋体" w:hAnsi="宋体"/>
          <w:snapToGrid w:val="0"/>
          <w:kern w:val="0"/>
          <w:szCs w:val="21"/>
          <w:highlight w:val="none"/>
          <w:lang w:val="en-US" w:eastAsia="zh-CN"/>
        </w:rPr>
        <w:t>固定费率</w:t>
      </w:r>
      <w:r>
        <w:rPr>
          <w:rFonts w:hint="eastAsia" w:ascii="宋体" w:hAnsi="宋体"/>
          <w:snapToGrid w:val="0"/>
          <w:kern w:val="0"/>
          <w:szCs w:val="21"/>
          <w:highlight w:val="none"/>
          <w:u w:val="single"/>
          <w:lang w:val="en-US" w:eastAsia="zh-CN"/>
        </w:rPr>
        <w:t xml:space="preserve">     %</w:t>
      </w:r>
      <w:r>
        <w:rPr>
          <w:rFonts w:ascii="宋体" w:hAnsi="宋体"/>
          <w:snapToGrid w:val="0"/>
          <w:kern w:val="0"/>
          <w:szCs w:val="21"/>
          <w:highlight w:val="none"/>
        </w:rPr>
        <w:t>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5"/>
        <w:jc w:val="center"/>
        <w:rPr>
          <w:rFonts w:ascii="宋体" w:hAnsi="宋体"/>
          <w:snapToGrid w:val="0"/>
          <w:kern w:val="0"/>
          <w:szCs w:val="21"/>
          <w:highlight w:val="none"/>
        </w:rPr>
      </w:pPr>
      <w:bookmarkStart w:id="388" w:name="_Toc287607868"/>
      <w:bookmarkStart w:id="389" w:name="_Toc277082644"/>
      <w:bookmarkStart w:id="390" w:name="_Toc287620815"/>
      <w:bookmarkStart w:id="391" w:name="_Toc430530531"/>
      <w:bookmarkStart w:id="392" w:name="_Toc224103496"/>
      <w:r>
        <w:rPr>
          <w:rFonts w:ascii="宋体" w:hAnsi="宋体"/>
          <w:sz w:val="28"/>
          <w:highlight w:val="none"/>
        </w:rPr>
        <w:br w:type="page"/>
      </w:r>
      <w:bookmarkStart w:id="393" w:name="_Toc30967"/>
      <w:bookmarkStart w:id="394" w:name="_Toc509218855"/>
      <w:bookmarkStart w:id="395" w:name="_Toc6045"/>
      <w:bookmarkStart w:id="396" w:name="_Toc534185832"/>
      <w:r>
        <w:rPr>
          <w:highlight w:val="none"/>
        </w:rPr>
        <w:t>（二）</w:t>
      </w:r>
      <w:r>
        <w:rPr>
          <w:rFonts w:hint="eastAsia"/>
          <w:highlight w:val="none"/>
          <w:lang w:eastAsia="zh-CN"/>
        </w:rPr>
        <w:t>竞选函</w:t>
      </w:r>
      <w:r>
        <w:rPr>
          <w:highlight w:val="none"/>
        </w:rPr>
        <w:t>附录</w:t>
      </w:r>
      <w:bookmarkEnd w:id="388"/>
      <w:bookmarkEnd w:id="389"/>
      <w:bookmarkEnd w:id="390"/>
      <w:bookmarkEnd w:id="391"/>
      <w:bookmarkEnd w:id="392"/>
      <w:bookmarkEnd w:id="393"/>
      <w:bookmarkEnd w:id="394"/>
      <w:bookmarkEnd w:id="395"/>
      <w:bookmarkEnd w:id="39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1.1.2.8</w:t>
            </w:r>
          </w:p>
        </w:tc>
        <w:tc>
          <w:tcPr>
            <w:tcW w:w="2987" w:type="dxa"/>
            <w:vAlign w:val="center"/>
          </w:tcPr>
          <w:p>
            <w:pPr>
              <w:tabs>
                <w:tab w:val="left" w:pos="2190"/>
              </w:tabs>
              <w:autoSpaceDE w:val="0"/>
              <w:autoSpaceDN w:val="0"/>
              <w:adjustRightInd w:val="0"/>
              <w:ind w:firstLine="420" w:firstLineChars="200"/>
              <w:jc w:val="left"/>
              <w:rPr>
                <w:rFonts w:hint="eastAsia" w:ascii="宋体" w:hAnsi="宋体" w:eastAsia="宋体"/>
                <w:snapToGrid w:val="0"/>
                <w:kern w:val="0"/>
                <w:szCs w:val="21"/>
                <w:highlight w:val="none"/>
                <w:lang w:val="en-US" w:eastAsia="zh-CN"/>
              </w:rPr>
            </w:pPr>
            <w:r>
              <w:rPr>
                <w:rFonts w:ascii="宋体" w:hAnsi="宋体"/>
                <w:snapToGrid w:val="0"/>
                <w:kern w:val="0"/>
                <w:sz w:val="21"/>
                <w:szCs w:val="21"/>
              </w:rPr>
              <w:t>姓名：</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2</w:t>
            </w:r>
          </w:p>
        </w:tc>
        <w:tc>
          <w:tcPr>
            <w:tcW w:w="2582" w:type="dxa"/>
            <w:vAlign w:val="center"/>
          </w:tcPr>
          <w:p>
            <w:pPr>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工期</w:t>
            </w:r>
          </w:p>
        </w:tc>
        <w:tc>
          <w:tcPr>
            <w:tcW w:w="2388" w:type="dxa"/>
            <w:vAlign w:val="center"/>
          </w:tcPr>
          <w:p>
            <w:pPr>
              <w:tabs>
                <w:tab w:val="left" w:pos="2051"/>
              </w:tabs>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1.1.4.3</w:t>
            </w:r>
          </w:p>
        </w:tc>
        <w:tc>
          <w:tcPr>
            <w:tcW w:w="2987" w:type="dxa"/>
            <w:vAlign w:val="center"/>
          </w:tcPr>
          <w:p>
            <w:pPr>
              <w:tabs>
                <w:tab w:val="left" w:pos="1560"/>
              </w:tabs>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天数：</w:t>
            </w:r>
            <w:r>
              <w:rPr>
                <w:rFonts w:ascii="宋体" w:hAnsi="宋体"/>
                <w:snapToGrid w:val="0"/>
                <w:kern w:val="0"/>
                <w:sz w:val="21"/>
                <w:szCs w:val="21"/>
                <w:u w:val="single"/>
              </w:rPr>
              <w:tab/>
            </w:r>
            <w:r>
              <w:rPr>
                <w:rFonts w:ascii="宋体" w:hAnsi="宋体"/>
                <w:snapToGrid w:val="0"/>
                <w:kern w:val="0"/>
                <w:sz w:val="21"/>
                <w:szCs w:val="21"/>
              </w:rPr>
              <w:t>日历天</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highlight w:val="none"/>
              </w:rPr>
            </w:pPr>
            <w:r>
              <w:rPr>
                <w:rFonts w:ascii="宋体" w:hAnsi="宋体"/>
                <w:snapToGrid w:val="0"/>
                <w:kern w:val="0"/>
                <w:sz w:val="21"/>
                <w:szCs w:val="21"/>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1.1.4.4</w:t>
            </w:r>
          </w:p>
        </w:tc>
        <w:tc>
          <w:tcPr>
            <w:tcW w:w="2987" w:type="dxa"/>
            <w:vAlign w:val="center"/>
          </w:tcPr>
          <w:p>
            <w:pPr>
              <w:autoSpaceDE w:val="0"/>
              <w:autoSpaceDN w:val="0"/>
              <w:adjustRightInd w:val="0"/>
              <w:jc w:val="center"/>
              <w:rPr>
                <w:rFonts w:hint="eastAsia" w:ascii="宋体" w:hAnsi="宋体"/>
                <w:snapToGrid w:val="0"/>
                <w:kern w:val="0"/>
                <w:szCs w:val="21"/>
                <w:highlight w:val="none"/>
                <w:lang w:val="en-US" w:eastAsia="zh-CN"/>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不允许</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合格</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bl>
    <w:p>
      <w:pPr>
        <w:spacing w:line="360" w:lineRule="auto"/>
        <w:rPr>
          <w:rFonts w:ascii="宋体" w:hAnsi="宋体"/>
          <w:snapToGrid w:val="0"/>
          <w:w w:val="99"/>
          <w:highlight w:val="none"/>
        </w:rPr>
      </w:pP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397" w:name="_Toc430530532"/>
      <w:bookmarkStart w:id="398" w:name="_Toc8650"/>
      <w:bookmarkStart w:id="399" w:name="_Toc277082645"/>
      <w:bookmarkStart w:id="400" w:name="_Toc287620816"/>
      <w:bookmarkStart w:id="401" w:name="_Toc20860"/>
      <w:bookmarkStart w:id="402" w:name="_Toc287607869"/>
      <w:bookmarkStart w:id="403" w:name="_Toc224103497"/>
      <w:r>
        <w:rPr>
          <w:sz w:val="30"/>
          <w:szCs w:val="30"/>
          <w:highlight w:val="none"/>
        </w:rPr>
        <w:t>（三）</w:t>
      </w:r>
      <w:r>
        <w:rPr>
          <w:rFonts w:hint="eastAsia"/>
          <w:sz w:val="30"/>
          <w:szCs w:val="30"/>
          <w:highlight w:val="none"/>
        </w:rPr>
        <w:t>法定代表人身份证明或附有法定代表人身份证明的授权委托书</w:t>
      </w:r>
      <w:bookmarkEnd w:id="397"/>
      <w:bookmarkEnd w:id="398"/>
      <w:bookmarkEnd w:id="399"/>
      <w:bookmarkEnd w:id="400"/>
      <w:bookmarkEnd w:id="401"/>
      <w:bookmarkEnd w:id="402"/>
      <w:bookmarkEnd w:id="403"/>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spacing w:line="360" w:lineRule="auto"/>
        <w:ind w:firstLine="420" w:firstLineChars="200"/>
        <w:rPr>
          <w:rFonts w:ascii="宋体" w:hAnsi="宋体"/>
          <w:highlight w:val="none"/>
        </w:rPr>
      </w:pPr>
      <w:r>
        <w:rPr>
          <w:rFonts w:ascii="宋体" w:hAnsi="宋体"/>
          <w:highlight w:val="none"/>
        </w:rPr>
        <w:br w:type="page"/>
      </w:r>
      <w:bookmarkStart w:id="404" w:name="_Toc224103500"/>
      <w:bookmarkStart w:id="405" w:name="_Toc287607872"/>
      <w:bookmarkStart w:id="406" w:name="_Toc430530534"/>
      <w:bookmarkStart w:id="407" w:name="_Toc287620819"/>
    </w:p>
    <w:bookmarkEnd w:id="404"/>
    <w:bookmarkEnd w:id="405"/>
    <w:bookmarkEnd w:id="406"/>
    <w:bookmarkEnd w:id="407"/>
    <w:p>
      <w:pPr>
        <w:pStyle w:val="4"/>
        <w:spacing w:line="360" w:lineRule="auto"/>
        <w:jc w:val="center"/>
        <w:rPr>
          <w:rFonts w:ascii="宋体" w:hAnsi="宋体"/>
          <w:b w:val="0"/>
          <w:bCs w:val="0"/>
          <w:sz w:val="44"/>
          <w:szCs w:val="44"/>
          <w:highlight w:val="none"/>
        </w:rPr>
      </w:pPr>
      <w:bookmarkStart w:id="408" w:name="_Toc277082656"/>
      <w:bookmarkStart w:id="409" w:name="_Toc287620829"/>
      <w:bookmarkStart w:id="410" w:name="_Toc430530545"/>
      <w:bookmarkStart w:id="411" w:name="_Toc224103510"/>
      <w:bookmarkStart w:id="412" w:name="_Toc287607882"/>
      <w:bookmarkStart w:id="413" w:name="_Toc27141"/>
      <w:bookmarkStart w:id="414" w:name="_Toc19372"/>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w:t>
      </w:r>
      <w:bookmarkEnd w:id="408"/>
      <w:bookmarkEnd w:id="409"/>
      <w:bookmarkEnd w:id="410"/>
      <w:bookmarkEnd w:id="411"/>
      <w:bookmarkEnd w:id="412"/>
      <w:r>
        <w:rPr>
          <w:rFonts w:hint="eastAsia" w:ascii="宋体" w:hAnsi="宋体"/>
          <w:b w:val="0"/>
          <w:bCs w:val="0"/>
          <w:sz w:val="44"/>
          <w:szCs w:val="44"/>
          <w:highlight w:val="none"/>
        </w:rPr>
        <w:t>资格审查部分</w:t>
      </w:r>
      <w:bookmarkEnd w:id="413"/>
      <w:bookmarkEnd w:id="414"/>
    </w:p>
    <w:p>
      <w:pPr>
        <w:spacing w:line="360" w:lineRule="auto"/>
        <w:rPr>
          <w:rFonts w:ascii="宋体" w:hAnsi="宋体"/>
          <w:sz w:val="32"/>
          <w:szCs w:val="32"/>
          <w:highlight w:val="none"/>
        </w:rPr>
      </w:pPr>
    </w:p>
    <w:p>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hint="eastAsia" w:ascii="宋体" w:hAnsi="宋体"/>
          <w:kern w:val="0"/>
          <w:sz w:val="36"/>
          <w:szCs w:val="36"/>
          <w:highlight w:val="none"/>
        </w:rPr>
      </w:pP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）类似项目情况表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5"/>
        <w:jc w:val="center"/>
        <w:rPr>
          <w:rFonts w:ascii="宋体" w:hAnsi="宋体"/>
          <w:snapToGrid w:val="0"/>
          <w:kern w:val="0"/>
          <w:sz w:val="30"/>
          <w:szCs w:val="30"/>
          <w:highlight w:val="none"/>
        </w:rPr>
      </w:pPr>
      <w:r>
        <w:rPr>
          <w:rFonts w:ascii="宋体" w:hAnsi="宋体"/>
          <w:highlight w:val="none"/>
        </w:rPr>
        <w:br w:type="page"/>
      </w:r>
      <w:bookmarkStart w:id="415" w:name="_Toc5633"/>
      <w:bookmarkStart w:id="416" w:name="_Toc26444"/>
      <w:bookmarkStart w:id="417" w:name="_Toc277082657"/>
      <w:bookmarkStart w:id="418" w:name="_Toc287620830"/>
      <w:bookmarkStart w:id="419" w:name="_Toc287607883"/>
      <w:bookmarkStart w:id="420" w:name="_Toc430530546"/>
      <w:bookmarkStart w:id="421" w:name="_Toc224103511"/>
      <w:r>
        <w:rPr>
          <w:sz w:val="30"/>
          <w:szCs w:val="30"/>
          <w:highlight w:val="none"/>
        </w:rPr>
        <w:t>（一）</w:t>
      </w:r>
      <w:r>
        <w:rPr>
          <w:rFonts w:hint="eastAsia"/>
          <w:sz w:val="30"/>
          <w:szCs w:val="30"/>
          <w:highlight w:val="none"/>
        </w:rPr>
        <w:t>法定代表人身份证明或附有法定代表人身份证明的授权委托书</w:t>
      </w:r>
      <w:bookmarkEnd w:id="415"/>
      <w:bookmarkEnd w:id="416"/>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pStyle w:val="18"/>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17"/>
      <w:bookmarkEnd w:id="418"/>
      <w:bookmarkEnd w:id="419"/>
      <w:bookmarkEnd w:id="420"/>
      <w:bookmarkEnd w:id="421"/>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spacing w:before="0" w:after="0" w:line="240" w:lineRule="auto"/>
        <w:jc w:val="center"/>
        <w:rPr>
          <w:rFonts w:ascii="宋体" w:hAnsi="宋体"/>
          <w:highlight w:val="none"/>
        </w:rPr>
      </w:pPr>
      <w:bookmarkStart w:id="422" w:name="_Toc287607884"/>
      <w:bookmarkStart w:id="423" w:name="_Toc287620831"/>
      <w:bookmarkStart w:id="424" w:name="_Toc430530547"/>
      <w:bookmarkStart w:id="425" w:name="_Toc277082658"/>
      <w:bookmarkStart w:id="426" w:name="_Toc224103512"/>
      <w:bookmarkStart w:id="427" w:name="_Toc2153"/>
      <w:r>
        <w:rPr>
          <w:highlight w:val="none"/>
        </w:rPr>
        <w:t>（二）</w:t>
      </w:r>
      <w:bookmarkEnd w:id="422"/>
      <w:bookmarkEnd w:id="423"/>
      <w:bookmarkEnd w:id="424"/>
      <w:bookmarkEnd w:id="425"/>
      <w:bookmarkEnd w:id="426"/>
      <w:bookmarkStart w:id="428" w:name="_Toc287607887"/>
      <w:bookmarkStart w:id="429" w:name="_Toc277082659"/>
      <w:r>
        <w:rPr>
          <w:rFonts w:hint="eastAsia" w:ascii="宋体" w:hAnsi="宋体"/>
          <w:b w:val="0"/>
          <w:bCs w:val="0"/>
          <w:highlight w:val="none"/>
          <w:lang w:eastAsia="zh-CN"/>
        </w:rPr>
        <w:t>竞选人</w:t>
      </w:r>
      <w:r>
        <w:rPr>
          <w:rFonts w:hint="eastAsia" w:ascii="宋体" w:hAnsi="宋体"/>
          <w:b w:val="0"/>
          <w:bCs w:val="0"/>
          <w:highlight w:val="none"/>
        </w:rPr>
        <w:t>基本情况表</w:t>
      </w:r>
      <w:bookmarkEnd w:id="427"/>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pStyle w:val="5"/>
        <w:spacing w:before="0" w:after="0" w:line="240" w:lineRule="auto"/>
        <w:jc w:val="center"/>
        <w:rPr>
          <w:rFonts w:ascii="宋体" w:hAnsi="宋体"/>
          <w:b w:val="0"/>
          <w:bCs w:val="0"/>
          <w:highlight w:val="none"/>
        </w:rPr>
      </w:pPr>
      <w:r>
        <w:rPr>
          <w:rFonts w:ascii="宋体" w:hAnsi="宋体"/>
          <w:szCs w:val="21"/>
          <w:highlight w:val="none"/>
        </w:rPr>
        <w:br w:type="page"/>
      </w:r>
      <w:bookmarkEnd w:id="428"/>
      <w:bookmarkEnd w:id="429"/>
      <w:bookmarkStart w:id="430" w:name="_Toc509218863"/>
      <w:bookmarkStart w:id="431" w:name="_Toc534185840"/>
      <w:bookmarkStart w:id="432" w:name="_Toc31370"/>
      <w:bookmarkStart w:id="433" w:name="_Toc287620839"/>
      <w:bookmarkStart w:id="434" w:name="_Toc430530552"/>
      <w:bookmarkStart w:id="435" w:name="_Toc277082663"/>
      <w:bookmarkStart w:id="436" w:name="_Toc224103520"/>
      <w:bookmarkStart w:id="437" w:name="_Toc287607893"/>
      <w:bookmarkStart w:id="438" w:name="_Toc534185843"/>
      <w:bookmarkStart w:id="439" w:name="_Toc509218866"/>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430"/>
      <w:bookmarkEnd w:id="431"/>
      <w:bookmarkEnd w:id="432"/>
    </w:p>
    <w:p>
      <w:pPr>
        <w:spacing w:line="360" w:lineRule="auto"/>
        <w:rPr>
          <w:rFonts w:ascii="宋体" w:hAnsi="宋体"/>
          <w:highlight w:val="none"/>
        </w:rPr>
      </w:pPr>
    </w:p>
    <w:p>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highlight w:val="none"/>
              </w:rPr>
            </w:pPr>
          </w:p>
        </w:tc>
        <w:tc>
          <w:tcPr>
            <w:tcW w:w="734" w:type="dxa"/>
            <w:vMerge w:val="continue"/>
          </w:tcPr>
          <w:p>
            <w:pPr>
              <w:autoSpaceDE w:val="0"/>
              <w:autoSpaceDN w:val="0"/>
              <w:adjustRightInd w:val="0"/>
              <w:snapToGrid w:val="0"/>
              <w:jc w:val="left"/>
              <w:rPr>
                <w:rFonts w:ascii="宋体" w:hAnsi="宋体"/>
                <w:kern w:val="0"/>
                <w:szCs w:val="21"/>
                <w:highlight w:val="none"/>
              </w:rPr>
            </w:pPr>
          </w:p>
        </w:tc>
        <w:tc>
          <w:tcPr>
            <w:tcW w:w="776" w:type="dxa"/>
            <w:vMerge w:val="continue"/>
          </w:tcPr>
          <w:p>
            <w:pPr>
              <w:autoSpaceDE w:val="0"/>
              <w:autoSpaceDN w:val="0"/>
              <w:adjustRightInd w:val="0"/>
              <w:snapToGrid w:val="0"/>
              <w:jc w:val="left"/>
              <w:rPr>
                <w:rFonts w:ascii="宋体" w:hAnsi="宋体"/>
                <w:kern w:val="0"/>
                <w:szCs w:val="21"/>
                <w:highlight w:val="none"/>
              </w:rPr>
            </w:pPr>
          </w:p>
        </w:tc>
        <w:tc>
          <w:tcPr>
            <w:tcW w:w="11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bl>
    <w:p>
      <w:pPr>
        <w:spacing w:line="20" w:lineRule="exact"/>
        <w:jc w:val="center"/>
        <w:rPr>
          <w:rFonts w:ascii="宋体" w:hAnsi="宋体"/>
          <w:szCs w:val="21"/>
          <w:highlight w:val="none"/>
        </w:rPr>
      </w:pPr>
    </w:p>
    <w:p>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w:t>
      </w:r>
      <w:r>
        <w:rPr>
          <w:rFonts w:hint="eastAsia" w:ascii="宋体" w:hAnsi="宋体"/>
          <w:szCs w:val="21"/>
          <w:highlight w:val="none"/>
          <w:lang w:val="en-US" w:eastAsia="zh-CN"/>
        </w:rPr>
        <w:t>主要管理人员</w:t>
      </w:r>
      <w:r>
        <w:rPr>
          <w:rFonts w:hint="eastAsia" w:ascii="宋体" w:hAnsi="宋体"/>
          <w:szCs w:val="21"/>
          <w:highlight w:val="none"/>
        </w:rPr>
        <w:t>相关信息</w:t>
      </w:r>
      <w:r>
        <w:rPr>
          <w:rFonts w:ascii="宋体" w:hAnsi="宋体"/>
          <w:sz w:val="32"/>
          <w:szCs w:val="32"/>
          <w:highlight w:val="none"/>
        </w:rPr>
        <w:br w:type="page"/>
      </w:r>
      <w:r>
        <w:rPr>
          <w:rFonts w:hint="eastAsia" w:ascii="宋体" w:hAnsi="宋体"/>
          <w:sz w:val="32"/>
          <w:szCs w:val="32"/>
          <w:highlight w:val="none"/>
        </w:rPr>
        <w:t>项目经理简历表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bl>
    <w:p>
      <w:pPr>
        <w:spacing w:line="360" w:lineRule="auto"/>
        <w:rPr>
          <w:rFonts w:ascii="宋体" w:hAnsi="宋体"/>
          <w:highlight w:val="none"/>
        </w:rPr>
      </w:pPr>
      <w:bookmarkStart w:id="440" w:name="_Toc224103515"/>
    </w:p>
    <w:bookmarkEnd w:id="440"/>
    <w:p>
      <w:pPr>
        <w:adjustRightInd w:val="0"/>
        <w:snapToGrid w:val="0"/>
        <w:spacing w:line="360" w:lineRule="auto"/>
        <w:rPr>
          <w:rFonts w:ascii="宋体" w:hAnsi="宋体"/>
          <w:highlight w:val="none"/>
        </w:rPr>
      </w:pPr>
    </w:p>
    <w:bookmarkEnd w:id="433"/>
    <w:bookmarkEnd w:id="434"/>
    <w:bookmarkEnd w:id="435"/>
    <w:bookmarkEnd w:id="436"/>
    <w:bookmarkEnd w:id="437"/>
    <w:p>
      <w:pPr>
        <w:pStyle w:val="5"/>
        <w:spacing w:before="0" w:after="0" w:line="360" w:lineRule="auto"/>
        <w:jc w:val="center"/>
        <w:rPr>
          <w:rFonts w:ascii="宋体" w:hAnsi="宋体"/>
          <w:b w:val="0"/>
          <w:highlight w:val="none"/>
        </w:rPr>
      </w:pPr>
      <w:bookmarkStart w:id="441" w:name="_Toc11964"/>
      <w:r>
        <w:rPr>
          <w:rFonts w:ascii="宋体" w:hAnsi="宋体"/>
          <w:b w:val="0"/>
          <w:highlight w:val="none"/>
        </w:rPr>
        <w:t>（</w:t>
      </w:r>
      <w:r>
        <w:rPr>
          <w:rFonts w:hint="eastAsia" w:ascii="宋体" w:hAnsi="宋体"/>
          <w:b w:val="0"/>
          <w:highlight w:val="none"/>
          <w:lang w:val="en-US" w:eastAsia="zh-CN"/>
        </w:rPr>
        <w:t>四</w:t>
      </w:r>
      <w:r>
        <w:rPr>
          <w:rFonts w:ascii="宋体" w:hAnsi="宋体"/>
          <w:b w:val="0"/>
          <w:highlight w:val="none"/>
        </w:rPr>
        <w:t>）</w:t>
      </w:r>
      <w:r>
        <w:rPr>
          <w:rFonts w:hint="eastAsia" w:ascii="宋体" w:hAnsi="宋体"/>
          <w:b w:val="0"/>
          <w:highlight w:val="none"/>
        </w:rPr>
        <w:t>承诺</w:t>
      </w:r>
      <w:bookmarkEnd w:id="441"/>
    </w:p>
    <w:p>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w:t>
      </w:r>
      <w:r>
        <w:rPr>
          <w:rFonts w:hint="eastAsia" w:ascii="宋体" w:hAnsi="宋体"/>
          <w:szCs w:val="21"/>
          <w:highlight w:val="none"/>
          <w:u w:val="single"/>
          <w:lang w:eastAsia="zh-CN"/>
        </w:rPr>
        <w:t>比选人</w:t>
      </w:r>
      <w:r>
        <w:rPr>
          <w:rFonts w:hint="eastAsia" w:ascii="宋体" w:hAnsi="宋体"/>
          <w:szCs w:val="21"/>
          <w:highlight w:val="none"/>
          <w:u w:val="single"/>
        </w:rPr>
        <w:t>名称）</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pPr>
        <w:numPr>
          <w:ilvl w:val="0"/>
          <w:numId w:val="3"/>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pPr>
        <w:numPr>
          <w:ilvl w:val="0"/>
          <w:numId w:val="3"/>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w:t>
      </w:r>
      <w:r>
        <w:rPr>
          <w:rFonts w:hint="eastAsia" w:ascii="宋体" w:hAnsi="宋体"/>
          <w:szCs w:val="21"/>
          <w:highlight w:val="none"/>
          <w:lang w:val="en-US" w:eastAsia="zh-CN"/>
        </w:rPr>
        <w:t>技术标准</w:t>
      </w:r>
      <w:r>
        <w:rPr>
          <w:rFonts w:hint="eastAsia" w:ascii="宋体" w:hAnsi="宋体"/>
          <w:szCs w:val="21"/>
          <w:highlight w:val="none"/>
        </w:rPr>
        <w:t>给出的范围及数量内容不得修改，每项综合单价报价不得高于对应综合单价最高限价。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w:t>
      </w:r>
      <w:r>
        <w:rPr>
          <w:rFonts w:hint="eastAsia" w:ascii="宋体" w:hAnsi="宋体"/>
          <w:szCs w:val="21"/>
          <w:highlight w:val="none"/>
          <w:lang w:val="en-US" w:eastAsia="zh-CN"/>
        </w:rPr>
        <w:t>综合单价</w:t>
      </w:r>
      <w:r>
        <w:rPr>
          <w:rFonts w:hint="eastAsia" w:ascii="宋体" w:hAnsi="宋体"/>
          <w:szCs w:val="21"/>
          <w:highlight w:val="none"/>
        </w:rPr>
        <w:t>进行清标。若发现我公司的综合单价报价超过</w:t>
      </w:r>
      <w:r>
        <w:rPr>
          <w:rFonts w:hint="eastAsia" w:ascii="宋体" w:hAnsi="宋体"/>
          <w:szCs w:val="21"/>
          <w:highlight w:val="none"/>
          <w:lang w:val="en-US" w:eastAsia="zh-CN"/>
        </w:rPr>
        <w:t>比选</w:t>
      </w:r>
      <w:r>
        <w:rPr>
          <w:rFonts w:hint="eastAsia" w:ascii="宋体" w:hAnsi="宋体"/>
          <w:szCs w:val="21"/>
          <w:highlight w:val="none"/>
        </w:rPr>
        <w:t>时给出的综合单价最高限价的，在工程结算时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9、我公司的投标文件符合第七章 技术标准和要求（如有）。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10、我公司接受招标文件中关于“不平衡报价”的相关约定（如有）。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11、我公司接受招标文件中关于“不允许负数报价”的相关要求（如有）</w:t>
      </w:r>
      <w:r>
        <w:rPr>
          <w:rFonts w:hint="eastAsia" w:ascii="宋体" w:hAnsi="宋体"/>
          <w:szCs w:val="21"/>
          <w:highlight w:val="none"/>
        </w:rPr>
        <w:t>。</w:t>
      </w:r>
    </w:p>
    <w:p>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438"/>
    <w:bookmarkEnd w:id="439"/>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pPr>
        <w:rPr>
          <w:highlight w:val="none"/>
        </w:rPr>
      </w:pPr>
      <w:r>
        <w:rPr>
          <w:highlight w:val="none"/>
        </w:rPr>
        <w:br w:type="page"/>
      </w:r>
    </w:p>
    <w:p>
      <w:pPr>
        <w:pStyle w:val="5"/>
        <w:spacing w:before="0" w:line="360" w:lineRule="auto"/>
        <w:jc w:val="center"/>
        <w:rPr>
          <w:rFonts w:ascii="宋体" w:hAnsi="宋体"/>
          <w:b w:val="0"/>
          <w:highlight w:val="none"/>
        </w:rPr>
      </w:pPr>
      <w:bookmarkStart w:id="442" w:name="_Toc25182"/>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442"/>
    </w:p>
    <w:bookmarkEnd w:id="352"/>
    <w:bookmarkEnd w:id="353"/>
    <w:bookmarkEnd w:id="354"/>
    <w:p>
      <w:pPr>
        <w:rPr>
          <w:rFonts w:hint="eastAsia"/>
          <w:sz w:val="32"/>
          <w:szCs w:val="32"/>
          <w:highlight w:val="none"/>
          <w:lang w:val="en-US" w:eastAsia="zh-CN"/>
        </w:rPr>
      </w:pPr>
    </w:p>
    <w:p>
      <w:pPr>
        <w:pStyle w:val="31"/>
        <w:rPr>
          <w:rFonts w:hint="default"/>
          <w:sz w:val="32"/>
          <w:szCs w:val="32"/>
          <w:lang w:val="en-US" w:eastAsia="zh-CN"/>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F4765"/>
    <w:multiLevelType w:val="singleLevel"/>
    <w:tmpl w:val="2A0F4765"/>
    <w:lvl w:ilvl="0" w:tentative="0">
      <w:start w:val="1"/>
      <w:numFmt w:val="decimal"/>
      <w:suff w:val="nothing"/>
      <w:lvlText w:val="（%1）"/>
      <w:lvlJc w:val="left"/>
    </w:lvl>
  </w:abstractNum>
  <w:abstractNum w:abstractNumId="1">
    <w:nsid w:val="3F415704"/>
    <w:multiLevelType w:val="singleLevel"/>
    <w:tmpl w:val="3F415704"/>
    <w:lvl w:ilvl="0" w:tentative="0">
      <w:start w:val="1"/>
      <w:numFmt w:val="decimal"/>
      <w:suff w:val="nothing"/>
      <w:lvlText w:val="%1、"/>
      <w:lvlJc w:val="left"/>
    </w:lvl>
  </w:abstractNum>
  <w:abstractNum w:abstractNumId="2">
    <w:nsid w:val="5F471D00"/>
    <w:multiLevelType w:val="singleLevel"/>
    <w:tmpl w:val="5F471D00"/>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1F26009"/>
    <w:rsid w:val="02497534"/>
    <w:rsid w:val="029A7643"/>
    <w:rsid w:val="02CB3070"/>
    <w:rsid w:val="03712D21"/>
    <w:rsid w:val="043C1EA8"/>
    <w:rsid w:val="057364D8"/>
    <w:rsid w:val="059D388C"/>
    <w:rsid w:val="0650605B"/>
    <w:rsid w:val="067018B8"/>
    <w:rsid w:val="07146850"/>
    <w:rsid w:val="0747316B"/>
    <w:rsid w:val="08D852DC"/>
    <w:rsid w:val="093046DF"/>
    <w:rsid w:val="09D667D3"/>
    <w:rsid w:val="0AC34A23"/>
    <w:rsid w:val="0B374AB7"/>
    <w:rsid w:val="0B8A12CF"/>
    <w:rsid w:val="0F3118B1"/>
    <w:rsid w:val="0FED2443"/>
    <w:rsid w:val="102C328E"/>
    <w:rsid w:val="10662E20"/>
    <w:rsid w:val="13CA799C"/>
    <w:rsid w:val="13DD62E6"/>
    <w:rsid w:val="155F0AA1"/>
    <w:rsid w:val="17072F54"/>
    <w:rsid w:val="185276F3"/>
    <w:rsid w:val="18E152D3"/>
    <w:rsid w:val="1BFF6A6B"/>
    <w:rsid w:val="1D9E2B66"/>
    <w:rsid w:val="1EB93EB5"/>
    <w:rsid w:val="1F996596"/>
    <w:rsid w:val="202820DF"/>
    <w:rsid w:val="210618F0"/>
    <w:rsid w:val="21270CC2"/>
    <w:rsid w:val="24266EC9"/>
    <w:rsid w:val="248F3D0B"/>
    <w:rsid w:val="26D36140"/>
    <w:rsid w:val="28AF528E"/>
    <w:rsid w:val="29BC2B47"/>
    <w:rsid w:val="2B24412B"/>
    <w:rsid w:val="2D316018"/>
    <w:rsid w:val="2D397AFE"/>
    <w:rsid w:val="2EBF07A0"/>
    <w:rsid w:val="2F3F0791"/>
    <w:rsid w:val="2FE62A0A"/>
    <w:rsid w:val="30BF31A0"/>
    <w:rsid w:val="316600C5"/>
    <w:rsid w:val="317353D0"/>
    <w:rsid w:val="3300448E"/>
    <w:rsid w:val="33CB0DB0"/>
    <w:rsid w:val="344A7EB3"/>
    <w:rsid w:val="39D637AE"/>
    <w:rsid w:val="3D3F248B"/>
    <w:rsid w:val="3E485474"/>
    <w:rsid w:val="424A2B87"/>
    <w:rsid w:val="43BE2B8A"/>
    <w:rsid w:val="46277859"/>
    <w:rsid w:val="46884147"/>
    <w:rsid w:val="48093C71"/>
    <w:rsid w:val="49CE7107"/>
    <w:rsid w:val="4B3F6D5D"/>
    <w:rsid w:val="4D864ED8"/>
    <w:rsid w:val="4D920C64"/>
    <w:rsid w:val="4E185430"/>
    <w:rsid w:val="4F305D57"/>
    <w:rsid w:val="4F79447E"/>
    <w:rsid w:val="522A6FE1"/>
    <w:rsid w:val="53394028"/>
    <w:rsid w:val="53B03160"/>
    <w:rsid w:val="566209E7"/>
    <w:rsid w:val="56CC3E96"/>
    <w:rsid w:val="570263B4"/>
    <w:rsid w:val="59101798"/>
    <w:rsid w:val="591F4667"/>
    <w:rsid w:val="59952F94"/>
    <w:rsid w:val="5ACA7162"/>
    <w:rsid w:val="5CBC4428"/>
    <w:rsid w:val="5F370970"/>
    <w:rsid w:val="618D4BBE"/>
    <w:rsid w:val="63091321"/>
    <w:rsid w:val="64087B99"/>
    <w:rsid w:val="6534707B"/>
    <w:rsid w:val="66707909"/>
    <w:rsid w:val="671764AB"/>
    <w:rsid w:val="68233E92"/>
    <w:rsid w:val="6A9774F1"/>
    <w:rsid w:val="6B9D26D7"/>
    <w:rsid w:val="6BA64352"/>
    <w:rsid w:val="6D6C1709"/>
    <w:rsid w:val="6DFC5F6C"/>
    <w:rsid w:val="6F00293A"/>
    <w:rsid w:val="6F0D49D1"/>
    <w:rsid w:val="760A6969"/>
    <w:rsid w:val="78BB630B"/>
    <w:rsid w:val="7A4160FC"/>
    <w:rsid w:val="7AFE0EDA"/>
    <w:rsid w:val="7B5A49FB"/>
    <w:rsid w:val="7D271CAE"/>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6"/>
    <w:autoRedefine/>
    <w:qFormat/>
    <w:uiPriority w:val="0"/>
    <w:pPr>
      <w:keepNext/>
      <w:keepLines/>
      <w:ind w:firstLine="200" w:firstLineChars="200"/>
      <w:outlineLvl w:val="5"/>
    </w:pPr>
    <w:rPr>
      <w:rFonts w:hAnsi="Arial"/>
    </w:rPr>
  </w:style>
  <w:style w:type="paragraph" w:styleId="10">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2">
    <w:name w:val="Plain Text"/>
    <w:basedOn w:val="1"/>
    <w:link w:val="305"/>
    <w:autoRedefine/>
    <w:qFormat/>
    <w:uiPriority w:val="0"/>
    <w:rPr>
      <w:rFonts w:ascii="宋体" w:hAnsi="Courier New" w:cs="Courier New"/>
      <w:szCs w:val="21"/>
    </w:rPr>
  </w:style>
  <w:style w:type="paragraph" w:styleId="9">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autoRedefine/>
    <w:qFormat/>
    <w:uiPriority w:val="39"/>
    <w:pPr>
      <w:ind w:left="1260"/>
      <w:jc w:val="left"/>
    </w:pPr>
    <w:rPr>
      <w:sz w:val="18"/>
      <w:szCs w:val="18"/>
    </w:r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205"/>
    <w:autoRedefine/>
    <w:qFormat/>
    <w:uiPriority w:val="0"/>
    <w:pPr>
      <w:shd w:val="clear" w:color="auto" w:fill="000080"/>
    </w:pPr>
  </w:style>
  <w:style w:type="paragraph" w:styleId="16">
    <w:name w:val="annotation text"/>
    <w:basedOn w:val="1"/>
    <w:link w:val="290"/>
    <w:autoRedefine/>
    <w:qFormat/>
    <w:uiPriority w:val="99"/>
    <w:pPr>
      <w:jc w:val="left"/>
    </w:pPr>
  </w:style>
  <w:style w:type="paragraph" w:styleId="17">
    <w:name w:val="Body Text 3"/>
    <w:basedOn w:val="1"/>
    <w:link w:val="309"/>
    <w:autoRedefine/>
    <w:qFormat/>
    <w:uiPriority w:val="0"/>
    <w:pPr>
      <w:spacing w:after="120"/>
    </w:pPr>
    <w:rPr>
      <w:sz w:val="16"/>
      <w:szCs w:val="16"/>
    </w:rPr>
  </w:style>
  <w:style w:type="paragraph" w:styleId="18">
    <w:name w:val="Body Text"/>
    <w:basedOn w:val="1"/>
    <w:link w:val="215"/>
    <w:autoRedefine/>
    <w:qFormat/>
    <w:uiPriority w:val="0"/>
    <w:pPr>
      <w:spacing w:after="120"/>
    </w:pPr>
  </w:style>
  <w:style w:type="paragraph" w:styleId="19">
    <w:name w:val="Body Text Indent"/>
    <w:basedOn w:val="1"/>
    <w:link w:val="270"/>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5"/>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4"/>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2"/>
    <w:autoRedefine/>
    <w:qFormat/>
    <w:uiPriority w:val="0"/>
    <w:pPr>
      <w:widowControl/>
      <w:jc w:val="center"/>
    </w:pPr>
    <w:rPr>
      <w:kern w:val="0"/>
      <w:sz w:val="20"/>
      <w:u w:val="single"/>
      <w:lang w:eastAsia="en-US"/>
    </w:rPr>
  </w:style>
  <w:style w:type="paragraph" w:styleId="44">
    <w:name w:val="annotation subject"/>
    <w:basedOn w:val="16"/>
    <w:next w:val="16"/>
    <w:link w:val="264"/>
    <w:autoRedefine/>
    <w:qFormat/>
    <w:uiPriority w:val="0"/>
    <w:rPr>
      <w:b/>
      <w:bCs/>
    </w:rPr>
  </w:style>
  <w:style w:type="paragraph" w:styleId="45">
    <w:name w:val="Body Text First Indent"/>
    <w:basedOn w:val="18"/>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5"/>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6"/>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5"/>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4"/>
    <w:next w:val="21"/>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5"/>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5"/>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3"/>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5"/>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5"/>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5"/>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6"/>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5"/>
    <w:autoRedefine/>
    <w:qFormat/>
    <w:uiPriority w:val="0"/>
    <w:rPr>
      <w:rFonts w:eastAsia="宋体"/>
      <w:b/>
      <w:bCs/>
      <w:kern w:val="2"/>
      <w:sz w:val="32"/>
      <w:szCs w:val="32"/>
      <w:lang w:val="en-US" w:eastAsia="zh-CN" w:bidi="ar-SA"/>
    </w:rPr>
  </w:style>
  <w:style w:type="character" w:customStyle="1" w:styleId="195">
    <w:name w:val="标题 2 字符"/>
    <w:link w:val="4"/>
    <w:autoRedefine/>
    <w:qFormat/>
    <w:uiPriority w:val="0"/>
    <w:rPr>
      <w:rFonts w:ascii="Cambria" w:hAnsi="Cambria" w:eastAsia="宋体"/>
      <w:b/>
      <w:bCs/>
      <w:kern w:val="2"/>
      <w:sz w:val="32"/>
      <w:szCs w:val="32"/>
      <w:lang w:val="en-US" w:eastAsia="zh-CN" w:bidi="ar-SA"/>
    </w:rPr>
  </w:style>
  <w:style w:type="character" w:customStyle="1" w:styleId="196">
    <w:name w:val="标题 6 字符"/>
    <w:link w:val="8"/>
    <w:autoRedefine/>
    <w:qFormat/>
    <w:uiPriority w:val="0"/>
    <w:rPr>
      <w:rFonts w:hAnsi="Arial" w:eastAsia="仿宋_GB2312"/>
      <w:sz w:val="30"/>
      <w:lang w:val="en-US" w:eastAsia="zh-CN" w:bidi="ar-SA"/>
    </w:rPr>
  </w:style>
  <w:style w:type="character" w:customStyle="1" w:styleId="197">
    <w:name w:val="页脚 字符"/>
    <w:link w:val="29"/>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2"/>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5"/>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8"/>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1"/>
    <w:autoRedefine/>
    <w:qFormat/>
    <w:uiPriority w:val="0"/>
    <w:rPr>
      <w:rFonts w:hAnsi="Arial" w:eastAsia="仿宋_GB2312"/>
      <w:sz w:val="30"/>
      <w:lang w:val="en-US" w:eastAsia="zh-CN" w:bidi="ar-SA"/>
    </w:rPr>
  </w:style>
  <w:style w:type="character" w:customStyle="1" w:styleId="269">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70">
    <w:name w:val="正文文本缩进 字符"/>
    <w:link w:val="19"/>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6"/>
    <w:autoRedefine/>
    <w:qFormat/>
    <w:uiPriority w:val="0"/>
    <w:rPr>
      <w:rFonts w:eastAsia="宋体"/>
      <w:sz w:val="28"/>
      <w:szCs w:val="24"/>
      <w:lang w:val="en-US" w:eastAsia="zh-CN" w:bidi="ar-SA"/>
    </w:rPr>
  </w:style>
  <w:style w:type="character" w:customStyle="1" w:styleId="273">
    <w:name w:val="标题 7 字符"/>
    <w:link w:val="10"/>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6"/>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7"/>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3"/>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7"/>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68</Pages>
  <Words>81330</Words>
  <Characters>85666</Characters>
  <Paragraphs>4432</Paragraphs>
  <TotalTime>15</TotalTime>
  <ScaleCrop>false</ScaleCrop>
  <LinksUpToDate>false</LinksUpToDate>
  <CharactersWithSpaces>93476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2024-05-10T01:30:25Z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FDEAA9FE4E604F8B8783D62997FB36E7_13</vt:lpwstr>
  </property>
</Properties>
</file>