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sz w:val="44"/>
          <w:szCs w:val="44"/>
          <w:highlight w:val="none"/>
          <w:lang w:val="en-US" w:eastAsia="zh-CN"/>
        </w:rPr>
      </w:pPr>
      <w:r>
        <w:rPr>
          <w:rFonts w:hint="eastAsia" w:ascii="宋体" w:hAnsi="宋体"/>
          <w:b/>
          <w:sz w:val="44"/>
          <w:szCs w:val="44"/>
          <w:highlight w:val="none"/>
          <w:lang w:val="en-US" w:eastAsia="zh-CN"/>
        </w:rPr>
        <w:t xml:space="preserve"> </w:t>
      </w:r>
    </w:p>
    <w:p>
      <w:pPr>
        <w:spacing w:line="360" w:lineRule="auto"/>
        <w:jc w:val="center"/>
        <w:rPr>
          <w:rFonts w:ascii="宋体" w:hAnsi="宋体"/>
          <w:kern w:val="0"/>
          <w:sz w:val="32"/>
          <w:szCs w:val="32"/>
          <w:highlight w:val="none"/>
        </w:rPr>
      </w:pPr>
      <w:r>
        <w:rPr>
          <w:rFonts w:hint="eastAsia" w:ascii="宋体" w:hAnsi="宋体"/>
          <w:color w:val="0000FF"/>
          <w:kern w:val="0"/>
          <w:sz w:val="32"/>
          <w:szCs w:val="32"/>
          <w:highlight w:val="none"/>
          <w:u w:val="single"/>
          <w:lang w:eastAsia="zh-CN"/>
        </w:rPr>
        <w:t>迎龙医药城一期项目新增健康跑道施工 （</w:t>
      </w:r>
      <w:r>
        <w:rPr>
          <w:rFonts w:hint="eastAsia" w:ascii="宋体" w:hAnsi="宋体"/>
          <w:color w:val="0000FF"/>
          <w:kern w:val="0"/>
          <w:sz w:val="32"/>
          <w:szCs w:val="32"/>
          <w:highlight w:val="none"/>
          <w:u w:val="single"/>
          <w:lang w:val="en-US" w:eastAsia="zh-CN"/>
        </w:rPr>
        <w:t>第二次</w:t>
      </w:r>
      <w:r>
        <w:rPr>
          <w:rFonts w:hint="eastAsia" w:ascii="宋体" w:hAnsi="宋体"/>
          <w:color w:val="0000FF"/>
          <w:kern w:val="0"/>
          <w:sz w:val="32"/>
          <w:szCs w:val="32"/>
          <w:highlight w:val="none"/>
          <w:u w:val="single"/>
          <w:lang w:eastAsia="zh-CN"/>
        </w:rPr>
        <w:t>）</w:t>
      </w:r>
      <w:r>
        <w:rPr>
          <w:rFonts w:hint="eastAsia" w:ascii="宋体" w:hAnsi="宋体"/>
          <w:kern w:val="0"/>
          <w:sz w:val="32"/>
          <w:szCs w:val="32"/>
          <w:highlight w:val="none"/>
          <w:u w:val="single"/>
        </w:rPr>
        <w:t>（项目名称）</w:t>
      </w: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center"/>
        <w:outlineLvl w:val="0"/>
        <w:rPr>
          <w:rFonts w:ascii="宋体" w:hAnsi="宋体"/>
          <w:kern w:val="0"/>
          <w:sz w:val="72"/>
          <w:szCs w:val="72"/>
          <w:highlight w:val="none"/>
        </w:rPr>
      </w:pPr>
      <w:bookmarkStart w:id="0" w:name="_Toc13180"/>
      <w:r>
        <w:rPr>
          <w:rFonts w:hint="eastAsia" w:ascii="宋体" w:hAnsi="宋体"/>
          <w:kern w:val="0"/>
          <w:sz w:val="72"/>
          <w:szCs w:val="72"/>
          <w:highlight w:val="none"/>
          <w:lang w:val="en-US" w:eastAsia="zh-CN"/>
        </w:rPr>
        <w:t>竞争性比选</w:t>
      </w:r>
      <w:r>
        <w:rPr>
          <w:rFonts w:ascii="宋体" w:hAnsi="宋体"/>
          <w:kern w:val="0"/>
          <w:sz w:val="72"/>
          <w:szCs w:val="72"/>
          <w:highlight w:val="none"/>
        </w:rPr>
        <w:t>文件</w:t>
      </w:r>
      <w:bookmarkEnd w:id="0"/>
      <w:bookmarkStart w:id="1321" w:name="_GoBack"/>
      <w:bookmarkEnd w:id="1321"/>
    </w:p>
    <w:p>
      <w:pPr>
        <w:autoSpaceDE w:val="0"/>
        <w:autoSpaceDN w:val="0"/>
        <w:adjustRightInd w:val="0"/>
        <w:snapToGrid w:val="0"/>
        <w:spacing w:line="360" w:lineRule="auto"/>
        <w:jc w:val="left"/>
        <w:rPr>
          <w:rFonts w:ascii="宋体" w:hAnsi="宋体"/>
          <w:kern w:val="0"/>
          <w:sz w:val="10"/>
          <w:szCs w:val="1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rPr>
          <w:rFonts w:ascii="宋体" w:hAnsi="宋体"/>
          <w:kern w:val="0"/>
          <w:sz w:val="20"/>
          <w:szCs w:val="20"/>
          <w:highlight w:val="none"/>
        </w:rPr>
      </w:pPr>
    </w:p>
    <w:p>
      <w:pPr>
        <w:autoSpaceDE w:val="0"/>
        <w:autoSpaceDN w:val="0"/>
        <w:adjustRightInd w:val="0"/>
        <w:snapToGrid w:val="0"/>
        <w:spacing w:line="360" w:lineRule="auto"/>
        <w:rPr>
          <w:rFonts w:ascii="宋体" w:hAnsi="宋体"/>
          <w:kern w:val="0"/>
          <w:sz w:val="20"/>
          <w:szCs w:val="20"/>
          <w:highlight w:val="none"/>
        </w:rPr>
      </w:pPr>
    </w:p>
    <w:p>
      <w:pPr>
        <w:autoSpaceDE w:val="0"/>
        <w:autoSpaceDN w:val="0"/>
        <w:adjustRightInd w:val="0"/>
        <w:snapToGrid w:val="0"/>
        <w:spacing w:line="360" w:lineRule="auto"/>
        <w:rPr>
          <w:rFonts w:ascii="宋体" w:hAnsi="宋体"/>
          <w:kern w:val="0"/>
          <w:sz w:val="20"/>
          <w:szCs w:val="20"/>
          <w:highlight w:val="none"/>
        </w:rPr>
      </w:pPr>
    </w:p>
    <w:p>
      <w:pPr>
        <w:tabs>
          <w:tab w:val="left" w:pos="6219"/>
        </w:tabs>
        <w:autoSpaceDE w:val="0"/>
        <w:autoSpaceDN w:val="0"/>
        <w:adjustRightInd w:val="0"/>
        <w:snapToGrid w:val="0"/>
        <w:spacing w:line="360" w:lineRule="auto"/>
        <w:jc w:val="center"/>
        <w:outlineLvl w:val="0"/>
        <w:rPr>
          <w:rFonts w:ascii="宋体" w:hAnsi="宋体"/>
          <w:b/>
          <w:w w:val="99"/>
          <w:kern w:val="0"/>
          <w:sz w:val="28"/>
          <w:szCs w:val="28"/>
          <w:highlight w:val="none"/>
        </w:rPr>
      </w:pPr>
      <w:bookmarkStart w:id="1" w:name="_Toc22934"/>
      <w:r>
        <w:rPr>
          <w:rFonts w:hint="eastAsia" w:ascii="宋体" w:hAnsi="宋体"/>
          <w:b/>
          <w:w w:val="99"/>
          <w:kern w:val="0"/>
          <w:sz w:val="28"/>
          <w:szCs w:val="28"/>
          <w:highlight w:val="none"/>
          <w:lang w:val="en-US" w:eastAsia="zh-CN"/>
        </w:rPr>
        <w:t>比选</w:t>
      </w:r>
      <w:r>
        <w:rPr>
          <w:rFonts w:ascii="宋体" w:hAnsi="宋体"/>
          <w:b/>
          <w:w w:val="99"/>
          <w:kern w:val="0"/>
          <w:sz w:val="28"/>
          <w:szCs w:val="28"/>
          <w:highlight w:val="none"/>
        </w:rPr>
        <w:t>人：</w:t>
      </w:r>
      <w:r>
        <w:rPr>
          <w:rFonts w:hint="eastAsia" w:ascii="宋体" w:hAnsi="宋体"/>
          <w:b/>
          <w:w w:val="99"/>
          <w:kern w:val="0"/>
          <w:sz w:val="28"/>
          <w:szCs w:val="28"/>
          <w:highlight w:val="none"/>
        </w:rPr>
        <w:t>重庆</w:t>
      </w:r>
      <w:r>
        <w:rPr>
          <w:rFonts w:hint="eastAsia" w:ascii="宋体" w:hAnsi="宋体"/>
          <w:b/>
          <w:w w:val="99"/>
          <w:kern w:val="0"/>
          <w:sz w:val="28"/>
          <w:szCs w:val="28"/>
          <w:highlight w:val="none"/>
          <w:lang w:val="en-US" w:eastAsia="zh-CN"/>
        </w:rPr>
        <w:t>新汇商实业</w:t>
      </w:r>
      <w:r>
        <w:rPr>
          <w:rFonts w:hint="eastAsia" w:ascii="宋体" w:hAnsi="宋体"/>
          <w:b/>
          <w:w w:val="99"/>
          <w:kern w:val="0"/>
          <w:sz w:val="28"/>
          <w:szCs w:val="28"/>
          <w:highlight w:val="none"/>
        </w:rPr>
        <w:t>有限公司</w:t>
      </w:r>
      <w:r>
        <w:rPr>
          <w:rFonts w:ascii="宋体" w:hAnsi="宋体"/>
          <w:b/>
          <w:w w:val="99"/>
          <w:kern w:val="0"/>
          <w:sz w:val="28"/>
          <w:szCs w:val="28"/>
          <w:highlight w:val="none"/>
        </w:rPr>
        <w:t>（盖单位法人章）</w:t>
      </w:r>
      <w:bookmarkEnd w:id="1"/>
    </w:p>
    <w:p>
      <w:pPr>
        <w:autoSpaceDE w:val="0"/>
        <w:autoSpaceDN w:val="0"/>
        <w:adjustRightInd w:val="0"/>
        <w:snapToGrid w:val="0"/>
        <w:spacing w:line="360" w:lineRule="auto"/>
        <w:jc w:val="center"/>
        <w:rPr>
          <w:rFonts w:ascii="宋体" w:hAnsi="宋体"/>
          <w:b/>
          <w:kern w:val="0"/>
          <w:sz w:val="20"/>
          <w:szCs w:val="20"/>
          <w:highlight w:val="none"/>
        </w:rPr>
      </w:pPr>
    </w:p>
    <w:p>
      <w:pPr>
        <w:autoSpaceDE w:val="0"/>
        <w:autoSpaceDN w:val="0"/>
        <w:adjustRightInd w:val="0"/>
        <w:snapToGrid w:val="0"/>
        <w:spacing w:line="360" w:lineRule="auto"/>
        <w:jc w:val="center"/>
        <w:rPr>
          <w:rFonts w:ascii="宋体" w:hAnsi="宋体"/>
          <w:b/>
          <w:kern w:val="0"/>
          <w:sz w:val="28"/>
          <w:szCs w:val="28"/>
          <w:highlight w:val="none"/>
        </w:rPr>
      </w:pPr>
    </w:p>
    <w:p>
      <w:pPr>
        <w:autoSpaceDE w:val="0"/>
        <w:autoSpaceDN w:val="0"/>
        <w:adjustRightInd w:val="0"/>
        <w:snapToGrid w:val="0"/>
        <w:spacing w:line="360" w:lineRule="auto"/>
        <w:jc w:val="center"/>
        <w:rPr>
          <w:rFonts w:ascii="宋体" w:hAnsi="宋体"/>
          <w:b/>
          <w:kern w:val="0"/>
          <w:sz w:val="28"/>
          <w:szCs w:val="28"/>
          <w:highlight w:val="none"/>
        </w:rPr>
      </w:pPr>
    </w:p>
    <w:p>
      <w:pPr>
        <w:autoSpaceDE w:val="0"/>
        <w:autoSpaceDN w:val="0"/>
        <w:adjustRightInd w:val="0"/>
        <w:snapToGrid w:val="0"/>
        <w:spacing w:line="360" w:lineRule="auto"/>
        <w:rPr>
          <w:rFonts w:ascii="宋体" w:hAnsi="宋体"/>
          <w:b/>
          <w:kern w:val="0"/>
          <w:sz w:val="20"/>
          <w:szCs w:val="20"/>
          <w:highlight w:val="none"/>
        </w:rPr>
      </w:pPr>
    </w:p>
    <w:p>
      <w:pPr>
        <w:tabs>
          <w:tab w:val="left" w:pos="6252"/>
        </w:tabs>
        <w:autoSpaceDE w:val="0"/>
        <w:autoSpaceDN w:val="0"/>
        <w:adjustRightInd w:val="0"/>
        <w:snapToGrid w:val="0"/>
        <w:spacing w:line="360" w:lineRule="auto"/>
        <w:jc w:val="center"/>
        <w:rPr>
          <w:rFonts w:ascii="宋体" w:hAnsi="宋体"/>
          <w:bCs/>
          <w:spacing w:val="8"/>
          <w:kern w:val="0"/>
          <w:sz w:val="28"/>
          <w:szCs w:val="28"/>
          <w:highlight w:val="none"/>
        </w:rPr>
      </w:pPr>
      <w:bookmarkStart w:id="2" w:name="_Toc536797277"/>
      <w:bookmarkStart w:id="3" w:name="_Toc536796736"/>
      <w:bookmarkStart w:id="4" w:name="_Toc13210649"/>
      <w:bookmarkStart w:id="5" w:name="_Toc509218549"/>
      <w:bookmarkStart w:id="6" w:name="_Toc536621766"/>
      <w:r>
        <w:rPr>
          <w:rFonts w:hint="eastAsia" w:ascii="宋体" w:hAnsi="宋体"/>
          <w:b/>
          <w:spacing w:val="8"/>
          <w:kern w:val="0"/>
          <w:sz w:val="28"/>
          <w:szCs w:val="28"/>
          <w:highlight w:val="none"/>
          <w:u w:val="single"/>
          <w:lang w:val="en-US" w:eastAsia="zh-CN"/>
        </w:rPr>
        <w:t>2024</w:t>
      </w:r>
      <w:r>
        <w:rPr>
          <w:rFonts w:ascii="宋体" w:hAnsi="宋体"/>
          <w:b/>
          <w:spacing w:val="8"/>
          <w:kern w:val="0"/>
          <w:sz w:val="28"/>
          <w:szCs w:val="28"/>
          <w:highlight w:val="none"/>
        </w:rPr>
        <w:t>年</w:t>
      </w:r>
      <w:r>
        <w:rPr>
          <w:rFonts w:hint="eastAsia" w:ascii="宋体" w:hAnsi="宋体"/>
          <w:b/>
          <w:spacing w:val="8"/>
          <w:kern w:val="0"/>
          <w:sz w:val="28"/>
          <w:szCs w:val="28"/>
          <w:highlight w:val="none"/>
          <w:u w:val="single"/>
          <w:lang w:val="en-US" w:eastAsia="zh-CN"/>
        </w:rPr>
        <w:t>5</w:t>
      </w:r>
      <w:r>
        <w:rPr>
          <w:rFonts w:ascii="宋体" w:hAnsi="宋体"/>
          <w:b/>
          <w:spacing w:val="8"/>
          <w:kern w:val="0"/>
          <w:sz w:val="28"/>
          <w:szCs w:val="28"/>
          <w:highlight w:val="none"/>
        </w:rPr>
        <w:t>月</w:t>
      </w:r>
      <w:bookmarkEnd w:id="2"/>
      <w:bookmarkEnd w:id="3"/>
      <w:bookmarkEnd w:id="4"/>
      <w:bookmarkEnd w:id="5"/>
      <w:bookmarkEnd w:id="6"/>
    </w:p>
    <w:p>
      <w:pPr>
        <w:pStyle w:val="3"/>
        <w:spacing w:line="360" w:lineRule="auto"/>
        <w:jc w:val="center"/>
        <w:outlineLvl w:val="9"/>
        <w:rPr>
          <w:rFonts w:ascii="宋体" w:hAnsi="宋体"/>
          <w:w w:val="99"/>
          <w:kern w:val="0"/>
          <w:sz w:val="24"/>
          <w:highlight w:val="none"/>
        </w:rPr>
        <w:sectPr>
          <w:headerReference r:id="rId4" w:type="default"/>
          <w:footerReference r:id="rId5" w:type="default"/>
          <w:pgSz w:w="11907" w:h="16840"/>
          <w:pgMar w:top="1304" w:right="1134" w:bottom="1304" w:left="1304" w:header="851" w:footer="992" w:gutter="0"/>
          <w:pgNumType w:fmt="numberInDash" w:start="1"/>
          <w:cols w:space="720" w:num="1"/>
          <w:docGrid w:linePitch="312" w:charSpace="0"/>
        </w:sectPr>
      </w:pPr>
    </w:p>
    <w:p>
      <w:pPr>
        <w:pStyle w:val="120"/>
        <w:jc w:val="center"/>
        <w:rPr>
          <w:rFonts w:ascii="宋体" w:hAnsi="宋体"/>
          <w:color w:val="auto"/>
          <w:sz w:val="44"/>
          <w:szCs w:val="44"/>
          <w:highlight w:val="none"/>
          <w:lang w:val="zh-CN"/>
        </w:rPr>
      </w:pPr>
      <w:bookmarkStart w:id="7" w:name="_Toc5767"/>
      <w:bookmarkStart w:id="8" w:name="_Toc28843"/>
      <w:r>
        <w:rPr>
          <w:rFonts w:ascii="宋体" w:hAnsi="宋体"/>
          <w:color w:val="auto"/>
          <w:sz w:val="44"/>
          <w:szCs w:val="44"/>
          <w:highlight w:val="none"/>
          <w:lang w:val="zh-CN"/>
        </w:rPr>
        <w:t>目</w:t>
      </w:r>
      <w:r>
        <w:rPr>
          <w:rFonts w:hint="eastAsia" w:ascii="宋体" w:hAnsi="宋体"/>
          <w:color w:val="auto"/>
          <w:sz w:val="44"/>
          <w:szCs w:val="44"/>
          <w:highlight w:val="none"/>
          <w:lang w:val="zh-CN"/>
        </w:rPr>
        <w:t xml:space="preserve"> </w:t>
      </w:r>
      <w:r>
        <w:rPr>
          <w:rFonts w:ascii="宋体" w:hAnsi="宋体"/>
          <w:color w:val="auto"/>
          <w:sz w:val="44"/>
          <w:szCs w:val="44"/>
          <w:highlight w:val="none"/>
          <w:lang w:val="zh-CN"/>
        </w:rPr>
        <w:t>录</w:t>
      </w:r>
      <w:bookmarkEnd w:id="7"/>
      <w:bookmarkEnd w:id="8"/>
    </w:p>
    <w:sdt>
      <w:sdtPr>
        <w:rPr>
          <w:rFonts w:ascii="宋体" w:hAnsi="宋体" w:eastAsia="宋体" w:cs="Times New Roman"/>
          <w:kern w:val="2"/>
          <w:sz w:val="21"/>
          <w:szCs w:val="24"/>
          <w:lang w:val="en-US" w:eastAsia="zh-CN" w:bidi="ar-SA"/>
        </w:rPr>
        <w:id w:val="147460355"/>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bookmarkStart w:id="9" w:name="_Toc7997"/>
          <w:bookmarkStart w:id="10" w:name="_Toc12819"/>
          <w:bookmarkStart w:id="11" w:name="_Toc509218691"/>
          <w:bookmarkStart w:id="12" w:name="_Toc287620666"/>
          <w:bookmarkStart w:id="13" w:name="_Toc287607727"/>
          <w:bookmarkStart w:id="14" w:name="_Toc224103298"/>
          <w:bookmarkStart w:id="15" w:name="_Toc430530415"/>
          <w:bookmarkStart w:id="16" w:name="_Toc277082535"/>
        </w:p>
        <w:p>
          <w:pPr>
            <w:pStyle w:val="31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TOC \o "1-1" \h \u </w:instrText>
          </w:r>
          <w:r>
            <w:rPr>
              <w:sz w:val="24"/>
              <w:szCs w:val="24"/>
            </w:rPr>
            <w:fldChar w:fldCharType="separate"/>
          </w:r>
          <w:r>
            <w:rPr>
              <w:sz w:val="24"/>
              <w:szCs w:val="24"/>
            </w:rPr>
            <w:fldChar w:fldCharType="begin"/>
          </w:r>
          <w:r>
            <w:rPr>
              <w:sz w:val="24"/>
              <w:szCs w:val="24"/>
            </w:rPr>
            <w:instrText xml:space="preserve"> HYPERLINK \l _Toc13180 </w:instrText>
          </w:r>
          <w:r>
            <w:rPr>
              <w:sz w:val="24"/>
              <w:szCs w:val="24"/>
            </w:rPr>
            <w:fldChar w:fldCharType="separate"/>
          </w:r>
          <w:r>
            <w:rPr>
              <w:rFonts w:hint="eastAsia" w:ascii="宋体" w:hAnsi="宋体"/>
              <w:kern w:val="0"/>
              <w:sz w:val="24"/>
              <w:szCs w:val="24"/>
              <w:highlight w:val="none"/>
              <w:lang w:val="en-US" w:eastAsia="zh-CN"/>
            </w:rPr>
            <w:t>竞争性比选</w:t>
          </w:r>
          <w:r>
            <w:rPr>
              <w:rFonts w:ascii="宋体" w:hAnsi="宋体"/>
              <w:kern w:val="0"/>
              <w:sz w:val="24"/>
              <w:szCs w:val="24"/>
              <w:highlight w:val="none"/>
            </w:rPr>
            <w:t>文件</w:t>
          </w:r>
          <w:r>
            <w:rPr>
              <w:sz w:val="24"/>
              <w:szCs w:val="24"/>
            </w:rPr>
            <w:tab/>
          </w:r>
          <w:r>
            <w:rPr>
              <w:sz w:val="24"/>
              <w:szCs w:val="24"/>
            </w:rPr>
            <w:fldChar w:fldCharType="begin"/>
          </w:r>
          <w:r>
            <w:rPr>
              <w:sz w:val="24"/>
              <w:szCs w:val="24"/>
            </w:rPr>
            <w:instrText xml:space="preserve"> PAGEREF _Toc13180 \h </w:instrText>
          </w:r>
          <w:r>
            <w:rPr>
              <w:sz w:val="24"/>
              <w:szCs w:val="24"/>
            </w:rPr>
            <w:fldChar w:fldCharType="separate"/>
          </w:r>
          <w:r>
            <w:rPr>
              <w:sz w:val="24"/>
              <w:szCs w:val="24"/>
            </w:rPr>
            <w:t>- 1 -</w:t>
          </w:r>
          <w:r>
            <w:rPr>
              <w:sz w:val="24"/>
              <w:szCs w:val="24"/>
            </w:rPr>
            <w:fldChar w:fldCharType="end"/>
          </w:r>
          <w:r>
            <w:rPr>
              <w:sz w:val="24"/>
              <w:szCs w:val="24"/>
            </w:rPr>
            <w:fldChar w:fldCharType="end"/>
          </w:r>
        </w:p>
        <w:p>
          <w:pPr>
            <w:pStyle w:val="31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_Toc21307 </w:instrText>
          </w:r>
          <w:r>
            <w:rPr>
              <w:sz w:val="24"/>
              <w:szCs w:val="24"/>
            </w:rPr>
            <w:fldChar w:fldCharType="separate"/>
          </w:r>
          <w:r>
            <w:rPr>
              <w:rFonts w:ascii="宋体" w:hAnsi="宋体"/>
              <w:snapToGrid w:val="0"/>
              <w:kern w:val="0"/>
              <w:sz w:val="24"/>
              <w:szCs w:val="24"/>
              <w:highlight w:val="none"/>
            </w:rPr>
            <w:t xml:space="preserve">第一章  </w:t>
          </w:r>
          <w:r>
            <w:rPr>
              <w:rFonts w:hint="eastAsia" w:ascii="宋体" w:hAnsi="宋体"/>
              <w:snapToGrid w:val="0"/>
              <w:kern w:val="0"/>
              <w:sz w:val="24"/>
              <w:szCs w:val="24"/>
              <w:highlight w:val="none"/>
              <w:lang w:eastAsia="zh-CN"/>
            </w:rPr>
            <w:t>比选公告</w:t>
          </w:r>
          <w:r>
            <w:rPr>
              <w:sz w:val="24"/>
              <w:szCs w:val="24"/>
            </w:rPr>
            <w:tab/>
          </w:r>
          <w:r>
            <w:rPr>
              <w:sz w:val="24"/>
              <w:szCs w:val="24"/>
            </w:rPr>
            <w:fldChar w:fldCharType="begin"/>
          </w:r>
          <w:r>
            <w:rPr>
              <w:sz w:val="24"/>
              <w:szCs w:val="24"/>
            </w:rPr>
            <w:instrText xml:space="preserve"> PAGEREF _Toc21307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31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_Toc22622 </w:instrText>
          </w:r>
          <w:r>
            <w:rPr>
              <w:sz w:val="24"/>
              <w:szCs w:val="24"/>
            </w:rPr>
            <w:fldChar w:fldCharType="separate"/>
          </w:r>
          <w:r>
            <w:rPr>
              <w:rFonts w:ascii="宋体" w:hAnsi="宋体"/>
              <w:snapToGrid w:val="0"/>
              <w:kern w:val="0"/>
              <w:sz w:val="24"/>
              <w:szCs w:val="24"/>
              <w:highlight w:val="none"/>
            </w:rPr>
            <w:t xml:space="preserve">第二章  </w:t>
          </w:r>
          <w:r>
            <w:rPr>
              <w:rFonts w:hint="eastAsia" w:ascii="宋体" w:hAnsi="宋体"/>
              <w:snapToGrid w:val="0"/>
              <w:kern w:val="0"/>
              <w:sz w:val="24"/>
              <w:szCs w:val="24"/>
              <w:highlight w:val="none"/>
              <w:lang w:eastAsia="zh-CN"/>
            </w:rPr>
            <w:t>竞选人</w:t>
          </w:r>
          <w:r>
            <w:rPr>
              <w:rFonts w:ascii="宋体" w:hAnsi="宋体"/>
              <w:snapToGrid w:val="0"/>
              <w:kern w:val="0"/>
              <w:sz w:val="24"/>
              <w:szCs w:val="24"/>
              <w:highlight w:val="none"/>
            </w:rPr>
            <w:t>须知</w:t>
          </w:r>
          <w:r>
            <w:rPr>
              <w:sz w:val="24"/>
              <w:szCs w:val="24"/>
            </w:rPr>
            <w:tab/>
          </w:r>
          <w:r>
            <w:rPr>
              <w:sz w:val="24"/>
              <w:szCs w:val="24"/>
            </w:rPr>
            <w:fldChar w:fldCharType="begin"/>
          </w:r>
          <w:r>
            <w:rPr>
              <w:sz w:val="24"/>
              <w:szCs w:val="24"/>
            </w:rPr>
            <w:instrText xml:space="preserve"> PAGEREF _Toc22622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31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_Toc4335 </w:instrText>
          </w:r>
          <w:r>
            <w:rPr>
              <w:sz w:val="24"/>
              <w:szCs w:val="24"/>
            </w:rPr>
            <w:fldChar w:fldCharType="separate"/>
          </w:r>
          <w:r>
            <w:rPr>
              <w:rFonts w:ascii="宋体" w:hAnsi="宋体"/>
              <w:sz w:val="24"/>
              <w:szCs w:val="24"/>
              <w:highlight w:val="none"/>
            </w:rPr>
            <w:t xml:space="preserve">第三章 </w:t>
          </w:r>
          <w:r>
            <w:rPr>
              <w:rFonts w:hint="eastAsia" w:ascii="宋体" w:hAnsi="宋体"/>
              <w:sz w:val="24"/>
              <w:szCs w:val="24"/>
              <w:highlight w:val="none"/>
            </w:rPr>
            <w:t xml:space="preserve"> </w:t>
          </w:r>
          <w:r>
            <w:rPr>
              <w:rFonts w:ascii="宋体" w:hAnsi="宋体"/>
              <w:sz w:val="24"/>
              <w:szCs w:val="24"/>
              <w:highlight w:val="none"/>
            </w:rPr>
            <w:t>评标办法（综合评估法）</w:t>
          </w:r>
          <w:r>
            <w:rPr>
              <w:sz w:val="24"/>
              <w:szCs w:val="24"/>
            </w:rPr>
            <w:tab/>
          </w:r>
          <w:r>
            <w:rPr>
              <w:sz w:val="24"/>
              <w:szCs w:val="24"/>
            </w:rPr>
            <w:fldChar w:fldCharType="begin"/>
          </w:r>
          <w:r>
            <w:rPr>
              <w:sz w:val="24"/>
              <w:szCs w:val="24"/>
            </w:rPr>
            <w:instrText xml:space="preserve"> PAGEREF _Toc4335 \h </w:instrText>
          </w:r>
          <w:r>
            <w:rPr>
              <w:sz w:val="24"/>
              <w:szCs w:val="24"/>
            </w:rPr>
            <w:fldChar w:fldCharType="separate"/>
          </w:r>
          <w:r>
            <w:rPr>
              <w:sz w:val="24"/>
              <w:szCs w:val="24"/>
            </w:rPr>
            <w:t>27</w:t>
          </w:r>
          <w:r>
            <w:rPr>
              <w:sz w:val="24"/>
              <w:szCs w:val="24"/>
            </w:rPr>
            <w:fldChar w:fldCharType="end"/>
          </w:r>
          <w:r>
            <w:rPr>
              <w:sz w:val="24"/>
              <w:szCs w:val="24"/>
            </w:rPr>
            <w:fldChar w:fldCharType="end"/>
          </w:r>
        </w:p>
        <w:p>
          <w:pPr>
            <w:pStyle w:val="31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_Toc29884 </w:instrText>
          </w:r>
          <w:r>
            <w:rPr>
              <w:sz w:val="24"/>
              <w:szCs w:val="24"/>
            </w:rPr>
            <w:fldChar w:fldCharType="separate"/>
          </w:r>
          <w:r>
            <w:rPr>
              <w:rFonts w:ascii="宋体" w:hAnsi="宋体"/>
              <w:sz w:val="24"/>
              <w:szCs w:val="24"/>
              <w:highlight w:val="none"/>
              <w:lang w:eastAsia="zh-CN"/>
            </w:rPr>
            <w:t>附件A：综合评估法否决投标情况一览表</w:t>
          </w:r>
          <w:r>
            <w:rPr>
              <w:sz w:val="24"/>
              <w:szCs w:val="24"/>
            </w:rPr>
            <w:tab/>
          </w:r>
          <w:r>
            <w:rPr>
              <w:sz w:val="24"/>
              <w:szCs w:val="24"/>
            </w:rPr>
            <w:fldChar w:fldCharType="begin"/>
          </w:r>
          <w:r>
            <w:rPr>
              <w:sz w:val="24"/>
              <w:szCs w:val="24"/>
            </w:rPr>
            <w:instrText xml:space="preserve"> PAGEREF _Toc29884 \h </w:instrText>
          </w:r>
          <w:r>
            <w:rPr>
              <w:sz w:val="24"/>
              <w:szCs w:val="24"/>
            </w:rPr>
            <w:fldChar w:fldCharType="separate"/>
          </w:r>
          <w:r>
            <w:rPr>
              <w:sz w:val="24"/>
              <w:szCs w:val="24"/>
            </w:rPr>
            <w:t>33</w:t>
          </w:r>
          <w:r>
            <w:rPr>
              <w:sz w:val="24"/>
              <w:szCs w:val="24"/>
            </w:rPr>
            <w:fldChar w:fldCharType="end"/>
          </w:r>
          <w:r>
            <w:rPr>
              <w:sz w:val="24"/>
              <w:szCs w:val="24"/>
            </w:rPr>
            <w:fldChar w:fldCharType="end"/>
          </w:r>
        </w:p>
        <w:p>
          <w:pPr>
            <w:pStyle w:val="31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_Toc12421 </w:instrText>
          </w:r>
          <w:r>
            <w:rPr>
              <w:sz w:val="24"/>
              <w:szCs w:val="24"/>
            </w:rPr>
            <w:fldChar w:fldCharType="separate"/>
          </w:r>
          <w:r>
            <w:rPr>
              <w:rFonts w:hint="eastAsia" w:ascii="宋体" w:hAnsi="宋体"/>
              <w:kern w:val="0"/>
              <w:sz w:val="24"/>
              <w:szCs w:val="24"/>
              <w:highlight w:val="none"/>
            </w:rPr>
            <w:t>第四章  合同条款及格式</w:t>
          </w:r>
          <w:r>
            <w:rPr>
              <w:sz w:val="24"/>
              <w:szCs w:val="24"/>
            </w:rPr>
            <w:tab/>
          </w:r>
          <w:r>
            <w:rPr>
              <w:sz w:val="24"/>
              <w:szCs w:val="24"/>
            </w:rPr>
            <w:fldChar w:fldCharType="begin"/>
          </w:r>
          <w:r>
            <w:rPr>
              <w:sz w:val="24"/>
              <w:szCs w:val="24"/>
            </w:rPr>
            <w:instrText xml:space="preserve"> PAGEREF _Toc12421 \h </w:instrText>
          </w:r>
          <w:r>
            <w:rPr>
              <w:sz w:val="24"/>
              <w:szCs w:val="24"/>
            </w:rPr>
            <w:fldChar w:fldCharType="separate"/>
          </w:r>
          <w:r>
            <w:rPr>
              <w:sz w:val="24"/>
              <w:szCs w:val="24"/>
            </w:rPr>
            <w:t>36</w:t>
          </w:r>
          <w:r>
            <w:rPr>
              <w:sz w:val="24"/>
              <w:szCs w:val="24"/>
            </w:rPr>
            <w:fldChar w:fldCharType="end"/>
          </w:r>
          <w:r>
            <w:rPr>
              <w:sz w:val="24"/>
              <w:szCs w:val="24"/>
            </w:rPr>
            <w:fldChar w:fldCharType="end"/>
          </w:r>
        </w:p>
        <w:p>
          <w:pPr>
            <w:pStyle w:val="31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_Toc28155 </w:instrText>
          </w:r>
          <w:r>
            <w:rPr>
              <w:sz w:val="24"/>
              <w:szCs w:val="24"/>
            </w:rPr>
            <w:fldChar w:fldCharType="separate"/>
          </w:r>
          <w:r>
            <w:rPr>
              <w:rFonts w:ascii="宋体" w:hAnsi="宋体"/>
              <w:sz w:val="24"/>
              <w:szCs w:val="24"/>
              <w:highlight w:val="none"/>
            </w:rPr>
            <w:t>第</w:t>
          </w:r>
          <w:r>
            <w:rPr>
              <w:rFonts w:hint="eastAsia" w:ascii="宋体" w:hAnsi="宋体"/>
              <w:sz w:val="24"/>
              <w:szCs w:val="24"/>
              <w:highlight w:val="none"/>
              <w:lang w:val="en-US" w:eastAsia="zh-CN"/>
            </w:rPr>
            <w:t>五</w:t>
          </w:r>
          <w:r>
            <w:rPr>
              <w:rFonts w:ascii="宋体" w:hAnsi="宋体"/>
              <w:sz w:val="24"/>
              <w:szCs w:val="24"/>
              <w:highlight w:val="none"/>
            </w:rPr>
            <w:t>章</w:t>
          </w:r>
          <w:r>
            <w:rPr>
              <w:rFonts w:hint="eastAsia" w:ascii="宋体" w:hAnsi="宋体"/>
              <w:sz w:val="24"/>
              <w:szCs w:val="24"/>
              <w:highlight w:val="none"/>
            </w:rPr>
            <w:t xml:space="preserve">  </w:t>
          </w:r>
          <w:r>
            <w:rPr>
              <w:rFonts w:ascii="宋体" w:hAnsi="宋体"/>
              <w:sz w:val="24"/>
              <w:szCs w:val="24"/>
              <w:highlight w:val="none"/>
            </w:rPr>
            <w:t>技术标准和要求</w:t>
          </w:r>
          <w:r>
            <w:rPr>
              <w:sz w:val="24"/>
              <w:szCs w:val="24"/>
            </w:rPr>
            <w:tab/>
          </w:r>
          <w:r>
            <w:rPr>
              <w:sz w:val="24"/>
              <w:szCs w:val="24"/>
            </w:rPr>
            <w:fldChar w:fldCharType="begin"/>
          </w:r>
          <w:r>
            <w:rPr>
              <w:sz w:val="24"/>
              <w:szCs w:val="24"/>
            </w:rPr>
            <w:instrText xml:space="preserve"> PAGEREF _Toc28155 \h </w:instrText>
          </w:r>
          <w:r>
            <w:rPr>
              <w:sz w:val="24"/>
              <w:szCs w:val="24"/>
            </w:rPr>
            <w:fldChar w:fldCharType="separate"/>
          </w:r>
          <w:r>
            <w:rPr>
              <w:sz w:val="24"/>
              <w:szCs w:val="24"/>
            </w:rPr>
            <w:t>109</w:t>
          </w:r>
          <w:r>
            <w:rPr>
              <w:sz w:val="24"/>
              <w:szCs w:val="24"/>
            </w:rPr>
            <w:fldChar w:fldCharType="end"/>
          </w:r>
          <w:r>
            <w:rPr>
              <w:sz w:val="24"/>
              <w:szCs w:val="24"/>
            </w:rPr>
            <w:fldChar w:fldCharType="end"/>
          </w:r>
        </w:p>
        <w:p>
          <w:pPr>
            <w:pStyle w:val="31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_Toc3098 </w:instrText>
          </w:r>
          <w:r>
            <w:rPr>
              <w:sz w:val="24"/>
              <w:szCs w:val="24"/>
            </w:rPr>
            <w:fldChar w:fldCharType="separate"/>
          </w:r>
          <w:r>
            <w:rPr>
              <w:rFonts w:hint="eastAsia" w:ascii="宋体" w:hAnsi="宋体"/>
              <w:sz w:val="24"/>
              <w:szCs w:val="24"/>
              <w:highlight w:val="none"/>
            </w:rPr>
            <w:t>第</w:t>
          </w:r>
          <w:r>
            <w:rPr>
              <w:rFonts w:hint="eastAsia" w:ascii="宋体" w:hAnsi="宋体"/>
              <w:sz w:val="24"/>
              <w:szCs w:val="24"/>
              <w:highlight w:val="none"/>
              <w:lang w:val="en-US" w:eastAsia="zh-CN"/>
            </w:rPr>
            <w:t>六</w:t>
          </w:r>
          <w:r>
            <w:rPr>
              <w:rFonts w:hint="eastAsia" w:ascii="宋体" w:hAnsi="宋体"/>
              <w:sz w:val="24"/>
              <w:szCs w:val="24"/>
              <w:highlight w:val="none"/>
            </w:rPr>
            <w:t xml:space="preserve">章  </w:t>
          </w:r>
          <w:r>
            <w:rPr>
              <w:rFonts w:hint="eastAsia" w:ascii="宋体" w:hAnsi="宋体"/>
              <w:sz w:val="24"/>
              <w:szCs w:val="24"/>
              <w:highlight w:val="none"/>
              <w:lang w:eastAsia="zh-CN"/>
            </w:rPr>
            <w:t>竞选文件</w:t>
          </w:r>
          <w:r>
            <w:rPr>
              <w:rFonts w:hint="eastAsia" w:ascii="宋体" w:hAnsi="宋体"/>
              <w:sz w:val="24"/>
              <w:szCs w:val="24"/>
              <w:highlight w:val="none"/>
            </w:rPr>
            <w:t>格式</w:t>
          </w:r>
          <w:r>
            <w:rPr>
              <w:sz w:val="24"/>
              <w:szCs w:val="24"/>
            </w:rPr>
            <w:tab/>
          </w:r>
          <w:r>
            <w:rPr>
              <w:sz w:val="24"/>
              <w:szCs w:val="24"/>
            </w:rPr>
            <w:fldChar w:fldCharType="begin"/>
          </w:r>
          <w:r>
            <w:rPr>
              <w:sz w:val="24"/>
              <w:szCs w:val="24"/>
            </w:rPr>
            <w:instrText xml:space="preserve"> PAGEREF _Toc3098 \h </w:instrText>
          </w:r>
          <w:r>
            <w:rPr>
              <w:sz w:val="24"/>
              <w:szCs w:val="24"/>
            </w:rPr>
            <w:fldChar w:fldCharType="separate"/>
          </w:r>
          <w:r>
            <w:rPr>
              <w:sz w:val="24"/>
              <w:szCs w:val="24"/>
            </w:rPr>
            <w:t>110</w:t>
          </w:r>
          <w:r>
            <w:rPr>
              <w:sz w:val="24"/>
              <w:szCs w:val="24"/>
            </w:rPr>
            <w:fldChar w:fldCharType="end"/>
          </w:r>
          <w:r>
            <w:rPr>
              <w:sz w:val="24"/>
              <w:szCs w:val="24"/>
            </w:rPr>
            <w:fldChar w:fldCharType="end"/>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snapToGrid w:val="0"/>
              <w:kern w:val="0"/>
              <w:highlight w:val="none"/>
            </w:rPr>
            <w:sectPr>
              <w:footerReference r:id="rId6" w:type="default"/>
              <w:pgSz w:w="11906" w:h="16838"/>
              <w:pgMar w:top="1134" w:right="1418" w:bottom="1134" w:left="1418" w:header="851" w:footer="992" w:gutter="0"/>
              <w:cols w:space="720" w:num="1"/>
              <w:docGrid w:type="lines" w:linePitch="312" w:charSpace="0"/>
            </w:sectPr>
          </w:pPr>
          <w:r>
            <w:rPr>
              <w:sz w:val="24"/>
              <w:szCs w:val="24"/>
            </w:rPr>
            <w:fldChar w:fldCharType="end"/>
          </w:r>
          <w:bookmarkStart w:id="17" w:name="_Toc21307"/>
        </w:p>
      </w:sdtContent>
    </w:sdt>
    <w:p>
      <w:pPr>
        <w:pStyle w:val="3"/>
        <w:spacing w:line="360" w:lineRule="auto"/>
        <w:jc w:val="center"/>
        <w:rPr>
          <w:rFonts w:ascii="宋体" w:hAnsi="宋体"/>
          <w:snapToGrid w:val="0"/>
          <w:kern w:val="0"/>
          <w:highlight w:val="none"/>
        </w:rPr>
      </w:pPr>
      <w:r>
        <w:rPr>
          <w:rFonts w:ascii="宋体" w:hAnsi="宋体"/>
          <w:snapToGrid w:val="0"/>
          <w:kern w:val="0"/>
          <w:highlight w:val="none"/>
        </w:rPr>
        <w:t xml:space="preserve">第一章  </w:t>
      </w:r>
      <w:r>
        <w:rPr>
          <w:rFonts w:hint="eastAsia" w:ascii="宋体" w:hAnsi="宋体"/>
          <w:snapToGrid w:val="0"/>
          <w:kern w:val="0"/>
          <w:highlight w:val="none"/>
          <w:lang w:eastAsia="zh-CN"/>
        </w:rPr>
        <w:t>比选公告</w:t>
      </w:r>
      <w:bookmarkEnd w:id="9"/>
      <w:bookmarkEnd w:id="10"/>
      <w:bookmarkEnd w:id="11"/>
      <w:bookmarkEnd w:id="12"/>
      <w:bookmarkEnd w:id="13"/>
      <w:bookmarkEnd w:id="14"/>
      <w:bookmarkEnd w:id="15"/>
      <w:bookmarkEnd w:id="16"/>
      <w:bookmarkEnd w:id="17"/>
    </w:p>
    <w:p>
      <w:pPr>
        <w:pStyle w:val="4"/>
        <w:spacing w:before="100" w:after="100" w:line="460" w:lineRule="exact"/>
        <w:jc w:val="center"/>
        <w:rPr>
          <w:rFonts w:hint="eastAsia" w:ascii="宋体" w:hAnsi="宋体"/>
          <w:color w:val="0000FF"/>
          <w:kern w:val="0"/>
          <w:sz w:val="32"/>
          <w:szCs w:val="32"/>
          <w:highlight w:val="none"/>
          <w:u w:val="single"/>
          <w:lang w:val="en-US" w:eastAsia="zh-CN"/>
        </w:rPr>
      </w:pPr>
      <w:bookmarkStart w:id="18" w:name="_Toc287607728"/>
      <w:bookmarkStart w:id="19" w:name="_Toc277082536"/>
      <w:bookmarkStart w:id="20" w:name="_Toc430530416"/>
      <w:bookmarkStart w:id="21" w:name="_Toc287620667"/>
      <w:bookmarkStart w:id="22" w:name="_Toc224103299"/>
      <w:bookmarkStart w:id="23" w:name="_Toc27491"/>
      <w:bookmarkStart w:id="24" w:name="_Toc200359427"/>
      <w:bookmarkStart w:id="25" w:name="_Toc26523"/>
      <w:bookmarkStart w:id="26" w:name="_Toc200359238"/>
      <w:bookmarkStart w:id="27" w:name="_Toc509218692"/>
      <w:r>
        <w:rPr>
          <w:rFonts w:hint="eastAsia" w:ascii="宋体" w:hAnsi="宋体"/>
          <w:color w:val="0000FF"/>
          <w:kern w:val="0"/>
          <w:sz w:val="32"/>
          <w:szCs w:val="32"/>
          <w:highlight w:val="none"/>
          <w:u w:val="single"/>
          <w:lang w:eastAsia="zh-CN"/>
        </w:rPr>
        <w:t>迎龙医药城一期项目新增健康跑道施工（</w:t>
      </w:r>
      <w:r>
        <w:rPr>
          <w:rFonts w:hint="eastAsia" w:ascii="宋体" w:hAnsi="宋体"/>
          <w:color w:val="0000FF"/>
          <w:kern w:val="0"/>
          <w:sz w:val="32"/>
          <w:szCs w:val="32"/>
          <w:highlight w:val="none"/>
          <w:u w:val="single"/>
          <w:lang w:val="en-US" w:eastAsia="zh-CN"/>
        </w:rPr>
        <w:t>第二次</w:t>
      </w:r>
      <w:r>
        <w:rPr>
          <w:rFonts w:hint="eastAsia" w:ascii="宋体" w:hAnsi="宋体"/>
          <w:color w:val="0000FF"/>
          <w:kern w:val="0"/>
          <w:sz w:val="32"/>
          <w:szCs w:val="32"/>
          <w:highlight w:val="none"/>
          <w:u w:val="single"/>
          <w:lang w:eastAsia="zh-CN"/>
        </w:rPr>
        <w:t>）</w:t>
      </w:r>
    </w:p>
    <w:p>
      <w:pPr>
        <w:pStyle w:val="4"/>
        <w:spacing w:before="100" w:after="100" w:line="460" w:lineRule="exact"/>
        <w:jc w:val="both"/>
        <w:rPr>
          <w:rFonts w:ascii="宋体" w:hAnsi="宋体"/>
          <w:snapToGrid w:val="0"/>
          <w:color w:val="auto"/>
          <w:sz w:val="28"/>
          <w:szCs w:val="28"/>
          <w:highlight w:val="none"/>
        </w:rPr>
      </w:pPr>
      <w:r>
        <w:rPr>
          <w:rFonts w:ascii="宋体" w:hAnsi="宋体"/>
          <w:snapToGrid w:val="0"/>
          <w:color w:val="auto"/>
          <w:sz w:val="28"/>
          <w:szCs w:val="28"/>
          <w:highlight w:val="none"/>
        </w:rPr>
        <w:t xml:space="preserve">1.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招标条件</w:t>
      </w:r>
      <w:bookmarkEnd w:id="18"/>
      <w:bookmarkEnd w:id="19"/>
      <w:bookmarkEnd w:id="20"/>
      <w:bookmarkEnd w:id="21"/>
      <w:bookmarkEnd w:id="22"/>
      <w:bookmarkEnd w:id="23"/>
      <w:bookmarkEnd w:id="24"/>
      <w:bookmarkEnd w:id="25"/>
      <w:bookmarkEnd w:id="26"/>
      <w:bookmarkEnd w:id="27"/>
    </w:p>
    <w:p>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color w:val="auto"/>
          <w:kern w:val="0"/>
          <w:szCs w:val="21"/>
          <w:highlight w:val="none"/>
        </w:rPr>
      </w:pPr>
      <w:r>
        <w:rPr>
          <w:rFonts w:ascii="宋体" w:hAnsi="宋体"/>
          <w:snapToGrid w:val="0"/>
          <w:color w:val="auto"/>
          <w:kern w:val="0"/>
          <w:szCs w:val="21"/>
          <w:highlight w:val="none"/>
        </w:rPr>
        <w:t>本招标项目</w:t>
      </w:r>
      <w:r>
        <w:rPr>
          <w:rFonts w:hint="eastAsia" w:ascii="宋体" w:hAnsi="宋体"/>
          <w:snapToGrid w:val="0"/>
          <w:color w:val="auto"/>
          <w:kern w:val="0"/>
          <w:szCs w:val="21"/>
          <w:highlight w:val="none"/>
          <w:u w:val="single"/>
        </w:rPr>
        <w:t>迎龙医药城一期项目新增健康跑道施工</w:t>
      </w:r>
      <w:r>
        <w:rPr>
          <w:rFonts w:hint="eastAsia" w:ascii="宋体" w:hAnsi="宋体"/>
          <w:snapToGrid w:val="0"/>
          <w:color w:val="auto"/>
          <w:kern w:val="0"/>
          <w:szCs w:val="21"/>
          <w:highlight w:val="none"/>
          <w:u w:val="single"/>
          <w:lang w:eastAsia="zh-CN"/>
        </w:rPr>
        <w:t>（</w:t>
      </w:r>
      <w:r>
        <w:rPr>
          <w:rFonts w:hint="eastAsia" w:ascii="宋体" w:hAnsi="宋体"/>
          <w:snapToGrid w:val="0"/>
          <w:color w:val="auto"/>
          <w:kern w:val="0"/>
          <w:szCs w:val="21"/>
          <w:highlight w:val="none"/>
          <w:u w:val="single"/>
          <w:lang w:val="en-US" w:eastAsia="zh-CN"/>
        </w:rPr>
        <w:t>第二次</w:t>
      </w:r>
      <w:r>
        <w:rPr>
          <w:rFonts w:hint="eastAsia" w:ascii="宋体" w:hAnsi="宋体"/>
          <w:snapToGrid w:val="0"/>
          <w:color w:val="auto"/>
          <w:kern w:val="0"/>
          <w:szCs w:val="21"/>
          <w:highlight w:val="none"/>
          <w:u w:val="single"/>
          <w:lang w:eastAsia="zh-CN"/>
        </w:rPr>
        <w:t>）</w:t>
      </w:r>
      <w:r>
        <w:rPr>
          <w:rFonts w:ascii="宋体" w:hAnsi="宋体"/>
          <w:snapToGrid w:val="0"/>
          <w:color w:val="auto"/>
          <w:kern w:val="0"/>
          <w:szCs w:val="21"/>
          <w:highlight w:val="none"/>
          <w:u w:val="single"/>
        </w:rPr>
        <w:t>（项目名称）</w:t>
      </w:r>
      <w:r>
        <w:rPr>
          <w:rFonts w:ascii="宋体" w:hAnsi="宋体"/>
          <w:snapToGrid w:val="0"/>
          <w:color w:val="auto"/>
          <w:kern w:val="0"/>
          <w:szCs w:val="21"/>
          <w:highlight w:val="none"/>
        </w:rPr>
        <w:t>项目业主为</w:t>
      </w:r>
      <w:r>
        <w:rPr>
          <w:rFonts w:hint="eastAsia" w:ascii="宋体" w:hAnsi="宋体"/>
          <w:snapToGrid w:val="0"/>
          <w:color w:val="auto"/>
          <w:kern w:val="0"/>
          <w:szCs w:val="21"/>
          <w:highlight w:val="none"/>
          <w:u w:val="single"/>
        </w:rPr>
        <w:t xml:space="preserve"> </w:t>
      </w:r>
      <w:r>
        <w:rPr>
          <w:rFonts w:ascii="宋体" w:hAnsi="宋体" w:eastAsia="宋体" w:cs="宋体"/>
          <w:spacing w:val="-4"/>
          <w:sz w:val="21"/>
          <w:szCs w:val="21"/>
          <w:u w:val="single" w:color="auto"/>
        </w:rPr>
        <w:t>重庆</w:t>
      </w:r>
      <w:r>
        <w:rPr>
          <w:rFonts w:hint="eastAsia" w:ascii="宋体" w:hAnsi="宋体" w:cs="宋体"/>
          <w:spacing w:val="-4"/>
          <w:sz w:val="21"/>
          <w:szCs w:val="21"/>
          <w:u w:val="single" w:color="auto"/>
          <w:lang w:val="en-US" w:eastAsia="zh-CN"/>
        </w:rPr>
        <w:t>新汇商实业</w:t>
      </w:r>
      <w:r>
        <w:rPr>
          <w:rFonts w:ascii="宋体" w:hAnsi="宋体" w:eastAsia="宋体" w:cs="宋体"/>
          <w:spacing w:val="-4"/>
          <w:sz w:val="21"/>
          <w:szCs w:val="21"/>
          <w:u w:val="single" w:color="auto"/>
        </w:rPr>
        <w:t>有限公司</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，建设资金来自</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业主自筹</w:t>
      </w:r>
      <w:r>
        <w:rPr>
          <w:rFonts w:ascii="宋体" w:hAnsi="宋体"/>
          <w:snapToGrid w:val="0"/>
          <w:color w:val="auto"/>
          <w:kern w:val="0"/>
          <w:szCs w:val="21"/>
          <w:highlight w:val="none"/>
          <w:u w:val="single"/>
        </w:rPr>
        <w:t>（资金来源）</w:t>
      </w:r>
      <w:r>
        <w:rPr>
          <w:rFonts w:ascii="宋体" w:hAnsi="宋体"/>
          <w:snapToGrid w:val="0"/>
          <w:color w:val="auto"/>
          <w:kern w:val="0"/>
          <w:szCs w:val="21"/>
          <w:highlight w:val="none"/>
        </w:rPr>
        <w:t>，项目出资比例为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100%</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比选人</w:t>
      </w:r>
      <w:r>
        <w:rPr>
          <w:rFonts w:ascii="宋体" w:hAnsi="宋体"/>
          <w:snapToGrid w:val="0"/>
          <w:color w:val="auto"/>
          <w:kern w:val="0"/>
          <w:position w:val="-2"/>
          <w:szCs w:val="21"/>
          <w:highlight w:val="none"/>
        </w:rPr>
        <w:t>为</w:t>
      </w:r>
      <w:r>
        <w:rPr>
          <w:rFonts w:hint="eastAsia" w:ascii="宋体" w:hAnsi="宋体"/>
          <w:snapToGrid w:val="0"/>
          <w:color w:val="auto"/>
          <w:kern w:val="0"/>
          <w:szCs w:val="21"/>
          <w:highlight w:val="none"/>
          <w:u w:val="single"/>
        </w:rPr>
        <w:t xml:space="preserve"> </w:t>
      </w:r>
      <w:r>
        <w:rPr>
          <w:rFonts w:ascii="宋体" w:hAnsi="宋体" w:eastAsia="宋体" w:cs="宋体"/>
          <w:spacing w:val="-4"/>
          <w:sz w:val="21"/>
          <w:szCs w:val="21"/>
          <w:u w:val="single" w:color="auto"/>
        </w:rPr>
        <w:t>重庆</w:t>
      </w:r>
      <w:r>
        <w:rPr>
          <w:rFonts w:hint="eastAsia" w:ascii="宋体" w:hAnsi="宋体" w:cs="宋体"/>
          <w:spacing w:val="-4"/>
          <w:sz w:val="21"/>
          <w:szCs w:val="21"/>
          <w:u w:val="single" w:color="auto"/>
          <w:lang w:val="en-US" w:eastAsia="zh-CN"/>
        </w:rPr>
        <w:t>新汇商实业</w:t>
      </w:r>
      <w:r>
        <w:rPr>
          <w:rFonts w:ascii="宋体" w:hAnsi="宋体" w:eastAsia="宋体" w:cs="宋体"/>
          <w:spacing w:val="-4"/>
          <w:sz w:val="21"/>
          <w:szCs w:val="21"/>
          <w:u w:val="single" w:color="auto"/>
        </w:rPr>
        <w:t>有限公司</w:t>
      </w:r>
      <w:r>
        <w:rPr>
          <w:rFonts w:hint="eastAsia" w:ascii="宋体" w:hAnsi="宋体"/>
          <w:snapToGrid w:val="0"/>
          <w:color w:val="auto"/>
          <w:kern w:val="0"/>
          <w:szCs w:val="21"/>
          <w:highlight w:val="none"/>
          <w:u w:val="single"/>
        </w:rPr>
        <w:t xml:space="preserve"> </w:t>
      </w:r>
      <w:r>
        <w:rPr>
          <w:rFonts w:ascii="宋体" w:hAnsi="宋体"/>
          <w:snapToGrid w:val="0"/>
          <w:color w:val="auto"/>
          <w:kern w:val="0"/>
          <w:position w:val="-2"/>
          <w:szCs w:val="21"/>
          <w:highlight w:val="none"/>
        </w:rPr>
        <w:t>。项目已具备招标条件，现对</w:t>
      </w:r>
      <w:r>
        <w:rPr>
          <w:rFonts w:hint="eastAsia" w:ascii="宋体" w:hAnsi="宋体"/>
          <w:snapToGrid w:val="0"/>
          <w:color w:val="auto"/>
          <w:kern w:val="0"/>
          <w:position w:val="-2"/>
          <w:szCs w:val="21"/>
          <w:highlight w:val="none"/>
          <w:u w:val="none"/>
        </w:rPr>
        <w:t>该项目</w:t>
      </w:r>
      <w:r>
        <w:rPr>
          <w:rFonts w:ascii="宋体" w:hAnsi="宋体"/>
          <w:snapToGrid w:val="0"/>
          <w:color w:val="auto"/>
          <w:kern w:val="0"/>
          <w:position w:val="-2"/>
          <w:szCs w:val="21"/>
          <w:highlight w:val="none"/>
        </w:rPr>
        <w:t>进行公开</w:t>
      </w:r>
      <w:r>
        <w:rPr>
          <w:rFonts w:hint="eastAsia" w:ascii="宋体" w:hAnsi="宋体"/>
          <w:snapToGrid w:val="0"/>
          <w:color w:val="auto"/>
          <w:kern w:val="0"/>
          <w:position w:val="-2"/>
          <w:szCs w:val="21"/>
          <w:highlight w:val="none"/>
          <w:lang w:val="en-US" w:eastAsia="zh-CN"/>
        </w:rPr>
        <w:t>比选</w:t>
      </w:r>
      <w:r>
        <w:rPr>
          <w:rFonts w:ascii="宋体" w:hAnsi="宋体"/>
          <w:snapToGrid w:val="0"/>
          <w:color w:val="auto"/>
          <w:kern w:val="0"/>
          <w:position w:val="-2"/>
          <w:szCs w:val="21"/>
          <w:highlight w:val="none"/>
        </w:rPr>
        <w:t>。</w:t>
      </w:r>
    </w:p>
    <w:p>
      <w:pPr>
        <w:pStyle w:val="4"/>
        <w:spacing w:before="100" w:after="100" w:line="460" w:lineRule="exact"/>
        <w:rPr>
          <w:rFonts w:ascii="宋体" w:hAnsi="宋体"/>
          <w:snapToGrid w:val="0"/>
          <w:color w:val="auto"/>
          <w:sz w:val="28"/>
          <w:szCs w:val="28"/>
          <w:highlight w:val="none"/>
        </w:rPr>
      </w:pPr>
      <w:bookmarkStart w:id="28" w:name="_Toc509218693"/>
      <w:bookmarkStart w:id="29" w:name="_Toc287607729"/>
      <w:bookmarkStart w:id="30" w:name="_Toc16344"/>
      <w:bookmarkStart w:id="31" w:name="_Toc277082537"/>
      <w:bookmarkStart w:id="32" w:name="_Toc22556"/>
      <w:bookmarkStart w:id="33" w:name="_Toc430530417"/>
      <w:bookmarkStart w:id="34" w:name="_Toc200359428"/>
      <w:bookmarkStart w:id="35" w:name="_Toc224103300"/>
      <w:bookmarkStart w:id="36" w:name="_Toc200359239"/>
      <w:bookmarkStart w:id="37" w:name="_Toc287620668"/>
      <w:r>
        <w:rPr>
          <w:rFonts w:ascii="宋体" w:hAnsi="宋体"/>
          <w:snapToGrid w:val="0"/>
          <w:color w:val="auto"/>
          <w:sz w:val="28"/>
          <w:szCs w:val="28"/>
          <w:highlight w:val="none"/>
        </w:rPr>
        <w:t>2.</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 xml:space="preserve"> 项目概况与招标范围</w:t>
      </w:r>
      <w:bookmarkEnd w:id="28"/>
      <w:bookmarkEnd w:id="29"/>
      <w:bookmarkEnd w:id="30"/>
      <w:bookmarkEnd w:id="31"/>
      <w:bookmarkEnd w:id="32"/>
      <w:bookmarkEnd w:id="33"/>
      <w:bookmarkEnd w:id="34"/>
      <w:bookmarkEnd w:id="35"/>
      <w:bookmarkEnd w:id="36"/>
      <w:bookmarkEnd w:id="37"/>
    </w:p>
    <w:p>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eastAsia="宋体"/>
          <w:snapToGrid w:val="0"/>
          <w:color w:val="auto"/>
          <w:kern w:val="0"/>
          <w:szCs w:val="21"/>
          <w:highlight w:val="none"/>
          <w:u w:val="single"/>
          <w:lang w:val="en-US" w:eastAsia="zh-CN"/>
        </w:rPr>
      </w:pPr>
      <w:r>
        <w:rPr>
          <w:rFonts w:hint="eastAsia" w:ascii="宋体" w:hAnsi="宋体"/>
          <w:snapToGrid w:val="0"/>
          <w:color w:val="auto"/>
          <w:kern w:val="0"/>
          <w:szCs w:val="21"/>
          <w:highlight w:val="none"/>
          <w:u w:val="single"/>
        </w:rPr>
        <w:t>2.1 建设地点：</w:t>
      </w:r>
      <w:r>
        <w:rPr>
          <w:rFonts w:hint="eastAsia" w:ascii="宋体" w:hAnsi="宋体"/>
          <w:snapToGrid w:val="0"/>
          <w:color w:val="auto"/>
          <w:kern w:val="0"/>
          <w:szCs w:val="21"/>
          <w:highlight w:val="none"/>
          <w:u w:val="single"/>
          <w:lang w:val="en-US" w:eastAsia="zh-CN"/>
        </w:rPr>
        <w:t>经开区</w:t>
      </w:r>
      <w:r>
        <w:rPr>
          <w:rFonts w:hint="eastAsia" w:ascii="宋体" w:hAnsi="宋体"/>
          <w:snapToGrid w:val="0"/>
          <w:color w:val="auto"/>
          <w:kern w:val="0"/>
          <w:szCs w:val="21"/>
          <w:highlight w:val="none"/>
          <w:u w:val="single"/>
        </w:rPr>
        <w:t>迎龙</w:t>
      </w:r>
      <w:r>
        <w:rPr>
          <w:rFonts w:hint="eastAsia" w:ascii="宋体" w:hAnsi="宋体"/>
          <w:snapToGrid w:val="0"/>
          <w:color w:val="auto"/>
          <w:kern w:val="0"/>
          <w:szCs w:val="21"/>
          <w:highlight w:val="none"/>
          <w:u w:val="single"/>
          <w:lang w:val="en-US" w:eastAsia="zh-CN"/>
        </w:rPr>
        <w:t>医药城</w:t>
      </w:r>
    </w:p>
    <w:p>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auto"/>
          <w:kern w:val="0"/>
          <w:szCs w:val="21"/>
          <w:highlight w:val="none"/>
          <w:u w:val="single"/>
        </w:rPr>
      </w:pPr>
      <w:r>
        <w:rPr>
          <w:rFonts w:hint="eastAsia" w:ascii="宋体" w:hAnsi="宋体"/>
          <w:snapToGrid w:val="0"/>
          <w:color w:val="auto"/>
          <w:kern w:val="0"/>
          <w:szCs w:val="21"/>
          <w:highlight w:val="none"/>
          <w:u w:val="single"/>
        </w:rPr>
        <w:t>2.2 项目概况与建设规模：</w:t>
      </w:r>
    </w:p>
    <w:p>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eastAsia="宋体"/>
          <w:i w:val="0"/>
          <w:iCs w:val="0"/>
          <w:caps w:val="0"/>
          <w:color w:val="auto"/>
          <w:spacing w:val="0"/>
          <w:sz w:val="21"/>
          <w:szCs w:val="21"/>
          <w:lang w:eastAsia="zh-CN"/>
        </w:rPr>
      </w:pPr>
      <w:r>
        <w:rPr>
          <w:rFonts w:hint="eastAsia" w:ascii="宋体" w:hAnsi="宋体"/>
          <w:snapToGrid w:val="0"/>
          <w:color w:val="auto"/>
          <w:kern w:val="0"/>
          <w:szCs w:val="21"/>
          <w:highlight w:val="none"/>
          <w:u w:val="single"/>
          <w:lang w:val="en-US" w:eastAsia="zh-CN"/>
        </w:rPr>
        <w:t>重邮科技园市政道路北源路、星环路沿市政人行道增设户外健康跑道615米</w:t>
      </w:r>
      <w:r>
        <w:rPr>
          <w:rFonts w:hint="eastAsia" w:ascii="宋体" w:hAnsi="宋体"/>
          <w:snapToGrid w:val="0"/>
          <w:color w:val="auto"/>
          <w:kern w:val="0"/>
          <w:szCs w:val="21"/>
          <w:highlight w:val="none"/>
          <w:u w:val="single"/>
        </w:rPr>
        <w:t>。（详见</w:t>
      </w:r>
      <w:r>
        <w:rPr>
          <w:rFonts w:hint="eastAsia" w:ascii="宋体" w:hAnsi="宋体"/>
          <w:snapToGrid w:val="0"/>
          <w:color w:val="auto"/>
          <w:kern w:val="0"/>
          <w:szCs w:val="21"/>
          <w:highlight w:val="none"/>
          <w:u w:val="single"/>
          <w:lang w:val="en-US" w:eastAsia="zh-CN"/>
        </w:rPr>
        <w:t>工程量清单</w:t>
      </w:r>
      <w:r>
        <w:rPr>
          <w:rFonts w:hint="eastAsia" w:ascii="宋体" w:hAnsi="宋体"/>
          <w:snapToGrid w:val="0"/>
          <w:color w:val="auto"/>
          <w:kern w:val="0"/>
          <w:szCs w:val="21"/>
          <w:highlight w:val="none"/>
          <w:u w:val="single"/>
        </w:rPr>
        <w:t>）</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2.3 本次招标项目合同估算金额：</w:t>
      </w:r>
      <w:r>
        <w:rPr>
          <w:rFonts w:hint="eastAsia" w:ascii="宋体" w:hAnsi="宋体"/>
          <w:snapToGrid w:val="0"/>
          <w:color w:val="auto"/>
          <w:kern w:val="0"/>
          <w:szCs w:val="21"/>
          <w:highlight w:val="none"/>
          <w:u w:val="single"/>
          <w:lang w:val="en-US" w:eastAsia="zh-CN"/>
        </w:rPr>
        <w:t>12.07万</w:t>
      </w:r>
      <w:r>
        <w:rPr>
          <w:rFonts w:hint="eastAsia" w:ascii="宋体" w:hAnsi="宋体"/>
          <w:snapToGrid w:val="0"/>
          <w:color w:val="auto"/>
          <w:kern w:val="0"/>
          <w:szCs w:val="21"/>
          <w:highlight w:val="none"/>
          <w:u w:val="single"/>
        </w:rPr>
        <w:t>元</w:t>
      </w:r>
    </w:p>
    <w:p>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color w:val="auto"/>
          <w:kern w:val="0"/>
          <w:szCs w:val="21"/>
          <w:highlight w:val="none"/>
          <w:u w:val="none"/>
        </w:rPr>
      </w:pPr>
      <w:r>
        <w:rPr>
          <w:rFonts w:hint="eastAsia" w:ascii="宋体" w:hAnsi="宋体"/>
          <w:snapToGrid w:val="0"/>
          <w:color w:val="auto"/>
          <w:kern w:val="0"/>
          <w:szCs w:val="21"/>
          <w:highlight w:val="none"/>
        </w:rPr>
        <w:t xml:space="preserve">2.4 </w:t>
      </w:r>
      <w:r>
        <w:rPr>
          <w:rFonts w:hint="eastAsia" w:ascii="宋体" w:hAnsi="宋体"/>
          <w:snapToGrid w:val="0"/>
          <w:color w:val="auto"/>
          <w:kern w:val="0"/>
          <w:szCs w:val="21"/>
          <w:highlight w:val="none"/>
          <w:lang w:val="en-US" w:eastAsia="zh-CN"/>
        </w:rPr>
        <w:t>比选</w:t>
      </w:r>
      <w:r>
        <w:rPr>
          <w:rFonts w:hint="eastAsia" w:ascii="宋体" w:hAnsi="宋体"/>
          <w:snapToGrid w:val="0"/>
          <w:color w:val="auto"/>
          <w:kern w:val="0"/>
          <w:szCs w:val="21"/>
          <w:highlight w:val="none"/>
        </w:rPr>
        <w:t>范围：</w:t>
      </w:r>
      <w:r>
        <w:rPr>
          <w:rFonts w:hint="eastAsia" w:ascii="宋体" w:hAnsi="宋体"/>
          <w:snapToGrid w:val="0"/>
          <w:color w:val="auto"/>
          <w:kern w:val="0"/>
          <w:szCs w:val="21"/>
          <w:highlight w:val="none"/>
          <w:u w:val="single"/>
          <w:lang w:val="en-US" w:eastAsia="zh-CN"/>
        </w:rPr>
        <w:t>重邮科技园市政道路北源路、星环路沿市政人行道增设户外健康跑道615米</w:t>
      </w:r>
      <w:r>
        <w:rPr>
          <w:rFonts w:hint="eastAsia" w:ascii="宋体" w:hAnsi="宋体"/>
          <w:snapToGrid w:val="0"/>
          <w:color w:val="auto"/>
          <w:kern w:val="0"/>
          <w:szCs w:val="21"/>
          <w:highlight w:val="none"/>
          <w:u w:val="single"/>
        </w:rPr>
        <w:t>。（详见</w:t>
      </w:r>
      <w:r>
        <w:rPr>
          <w:rFonts w:hint="eastAsia" w:ascii="宋体" w:hAnsi="宋体"/>
          <w:snapToGrid w:val="0"/>
          <w:color w:val="auto"/>
          <w:kern w:val="0"/>
          <w:szCs w:val="21"/>
          <w:highlight w:val="none"/>
          <w:u w:val="single"/>
          <w:lang w:val="en-US" w:eastAsia="zh-CN"/>
        </w:rPr>
        <w:t>工程量清单</w:t>
      </w:r>
      <w:r>
        <w:rPr>
          <w:rFonts w:hint="eastAsia" w:ascii="宋体" w:hAnsi="宋体"/>
          <w:snapToGrid w:val="0"/>
          <w:color w:val="auto"/>
          <w:kern w:val="0"/>
          <w:szCs w:val="21"/>
          <w:highlight w:val="none"/>
          <w:u w:val="single"/>
        </w:rPr>
        <w:t>）</w:t>
      </w:r>
    </w:p>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auto"/>
          <w:kern w:val="0"/>
          <w:szCs w:val="21"/>
          <w:highlight w:val="none"/>
          <w:u w:val="single"/>
          <w:lang w:eastAsia="zh-CN"/>
        </w:rPr>
      </w:pPr>
      <w:r>
        <w:rPr>
          <w:rFonts w:hint="eastAsia" w:ascii="宋体" w:hAnsi="宋体"/>
          <w:snapToGrid w:val="0"/>
          <w:color w:val="auto"/>
          <w:kern w:val="0"/>
          <w:szCs w:val="21"/>
          <w:highlight w:val="none"/>
        </w:rPr>
        <w:t>2.5 工期要求：</w:t>
      </w:r>
      <w:r>
        <w:rPr>
          <w:rFonts w:hint="eastAsia" w:ascii="宋体" w:hAnsi="宋体"/>
          <w:snapToGrid w:val="0"/>
          <w:color w:val="auto"/>
          <w:kern w:val="0"/>
          <w:szCs w:val="21"/>
          <w:highlight w:val="none"/>
          <w:u w:val="single"/>
          <w:lang w:val="en-US" w:eastAsia="zh-CN"/>
        </w:rPr>
        <w:t>50日历天（从中标通知书发出之日起算，2024年7月10日前完工）。（未按时完工的承担违约金1000元/天，比选人同意延期的，以双方确定的延期时间为准）。</w:t>
      </w:r>
    </w:p>
    <w:p>
      <w:pPr>
        <w:tabs>
          <w:tab w:val="left" w:pos="3840"/>
          <w:tab w:val="left" w:pos="5300"/>
        </w:tabs>
        <w:autoSpaceDE w:val="0"/>
        <w:autoSpaceDN w:val="0"/>
        <w:adjustRightInd w:val="0"/>
        <w:snapToGrid w:val="0"/>
        <w:spacing w:line="460" w:lineRule="exact"/>
        <w:ind w:firstLine="840" w:firstLineChars="4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缺陷责任期要求：</w:t>
      </w:r>
      <w:r>
        <w:rPr>
          <w:rFonts w:hint="eastAsia" w:ascii="宋体" w:hAnsi="宋体"/>
          <w:snapToGrid w:val="0"/>
          <w:color w:val="auto"/>
          <w:kern w:val="0"/>
          <w:szCs w:val="21"/>
          <w:highlight w:val="none"/>
          <w:u w:val="single"/>
          <w:lang w:val="en-US" w:eastAsia="zh-CN"/>
        </w:rPr>
        <w:t xml:space="preserve">2年 </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2.6 标段划分（如有）：</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w:t>
      </w:r>
      <w:r>
        <w:rPr>
          <w:rFonts w:hint="eastAsia" w:ascii="宋体" w:hAnsi="宋体"/>
          <w:snapToGrid w:val="0"/>
          <w:color w:val="auto"/>
          <w:kern w:val="0"/>
          <w:szCs w:val="21"/>
          <w:highlight w:val="none"/>
          <w:u w:val="single"/>
        </w:rPr>
        <w:t xml:space="preserve">    </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2.7 其他：</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w:t>
      </w:r>
      <w:r>
        <w:rPr>
          <w:rFonts w:hint="eastAsia" w:ascii="宋体" w:hAnsi="宋体"/>
          <w:snapToGrid w:val="0"/>
          <w:color w:val="auto"/>
          <w:kern w:val="0"/>
          <w:szCs w:val="21"/>
          <w:highlight w:val="none"/>
          <w:u w:val="single"/>
        </w:rPr>
        <w:t xml:space="preserve">    </w:t>
      </w:r>
    </w:p>
    <w:p>
      <w:pPr>
        <w:pStyle w:val="4"/>
        <w:spacing w:before="100" w:after="100" w:line="460" w:lineRule="exact"/>
        <w:rPr>
          <w:rFonts w:ascii="宋体" w:hAnsi="宋体"/>
          <w:snapToGrid w:val="0"/>
          <w:sz w:val="28"/>
          <w:szCs w:val="28"/>
          <w:highlight w:val="none"/>
        </w:rPr>
      </w:pPr>
      <w:bookmarkStart w:id="38" w:name="_Toc277082538"/>
      <w:bookmarkStart w:id="39" w:name="_Toc200359240"/>
      <w:bookmarkStart w:id="40" w:name="_Toc5240"/>
      <w:bookmarkStart w:id="41" w:name="_Toc430530418"/>
      <w:bookmarkStart w:id="42" w:name="_Toc287607730"/>
      <w:bookmarkStart w:id="43" w:name="_Toc19513"/>
      <w:bookmarkStart w:id="44" w:name="_Toc287620669"/>
      <w:bookmarkStart w:id="45" w:name="_Toc200359429"/>
      <w:bookmarkStart w:id="46" w:name="_Toc224103301"/>
      <w:bookmarkStart w:id="47" w:name="_Toc509218694"/>
      <w:r>
        <w:rPr>
          <w:rFonts w:ascii="宋体" w:hAnsi="宋体"/>
          <w:snapToGrid w:val="0"/>
          <w:sz w:val="28"/>
          <w:szCs w:val="28"/>
          <w:highlight w:val="none"/>
        </w:rPr>
        <w:t xml:space="preserve">3. </w:t>
      </w:r>
      <w:r>
        <w:rPr>
          <w:rFonts w:hint="eastAsia" w:ascii="宋体" w:hAnsi="宋体"/>
          <w:snapToGrid w:val="0"/>
          <w:sz w:val="28"/>
          <w:szCs w:val="28"/>
          <w:highlight w:val="none"/>
        </w:rPr>
        <w:t xml:space="preserve"> </w:t>
      </w:r>
      <w:r>
        <w:rPr>
          <w:rFonts w:hint="eastAsia" w:ascii="宋体" w:hAnsi="宋体"/>
          <w:snapToGrid w:val="0"/>
          <w:sz w:val="28"/>
          <w:szCs w:val="28"/>
          <w:highlight w:val="none"/>
          <w:lang w:eastAsia="zh-CN"/>
        </w:rPr>
        <w:t>竞选人</w:t>
      </w:r>
      <w:r>
        <w:rPr>
          <w:rFonts w:ascii="宋体" w:hAnsi="宋体"/>
          <w:snapToGrid w:val="0"/>
          <w:sz w:val="28"/>
          <w:szCs w:val="28"/>
          <w:highlight w:val="none"/>
        </w:rPr>
        <w:t>资格要求</w:t>
      </w:r>
      <w:bookmarkEnd w:id="38"/>
      <w:bookmarkEnd w:id="39"/>
      <w:bookmarkEnd w:id="40"/>
      <w:bookmarkEnd w:id="41"/>
      <w:bookmarkEnd w:id="42"/>
      <w:bookmarkEnd w:id="43"/>
      <w:bookmarkEnd w:id="44"/>
      <w:bookmarkEnd w:id="45"/>
      <w:bookmarkEnd w:id="46"/>
      <w:bookmarkEnd w:id="47"/>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highlight w:val="none"/>
        </w:rPr>
      </w:pPr>
      <w:r>
        <w:rPr>
          <w:rFonts w:ascii="宋体" w:hAnsi="宋体"/>
          <w:snapToGrid w:val="0"/>
          <w:kern w:val="0"/>
          <w:szCs w:val="21"/>
          <w:highlight w:val="none"/>
        </w:rPr>
        <w:t>3.1  本次招标要求</w:t>
      </w:r>
      <w:r>
        <w:rPr>
          <w:rFonts w:hint="eastAsia" w:ascii="宋体" w:hAnsi="宋体"/>
          <w:snapToGrid w:val="0"/>
          <w:kern w:val="0"/>
          <w:szCs w:val="21"/>
          <w:highlight w:val="none"/>
          <w:lang w:eastAsia="zh-CN"/>
        </w:rPr>
        <w:t>竞选人</w:t>
      </w:r>
      <w:r>
        <w:rPr>
          <w:rFonts w:ascii="宋体" w:hAnsi="宋体"/>
          <w:snapToGrid w:val="0"/>
          <w:kern w:val="0"/>
          <w:szCs w:val="21"/>
          <w:highlight w:val="none"/>
        </w:rPr>
        <w:t>须具备</w:t>
      </w:r>
      <w:r>
        <w:rPr>
          <w:rFonts w:hint="eastAsia" w:ascii="宋体" w:hAnsi="宋体"/>
          <w:snapToGrid w:val="0"/>
          <w:kern w:val="0"/>
          <w:szCs w:val="21"/>
          <w:highlight w:val="none"/>
        </w:rPr>
        <w:t>以下条件：</w:t>
      </w:r>
    </w:p>
    <w:p>
      <w:pPr>
        <w:spacing w:line="360" w:lineRule="auto"/>
        <w:ind w:firstLine="315" w:firstLineChars="150"/>
        <w:rPr>
          <w:rFonts w:hint="eastAsia" w:ascii="宋体" w:hAnsi="宋体"/>
          <w:strike w:val="0"/>
          <w:dstrike w:val="0"/>
          <w:color w:val="auto"/>
          <w:szCs w:val="21"/>
          <w:highlight w:val="none"/>
          <w:u w:val="single"/>
        </w:rPr>
      </w:pPr>
      <w:r>
        <w:rPr>
          <w:rFonts w:hint="eastAsia" w:ascii="宋体" w:hAnsi="宋体"/>
          <w:snapToGrid w:val="0"/>
          <w:kern w:val="0"/>
          <w:szCs w:val="21"/>
          <w:highlight w:val="none"/>
        </w:rPr>
        <w:t>3.1.1 本次招标要求</w:t>
      </w:r>
      <w:r>
        <w:rPr>
          <w:rFonts w:hint="eastAsia" w:ascii="宋体" w:hAnsi="宋体"/>
          <w:snapToGrid w:val="0"/>
          <w:kern w:val="0"/>
          <w:szCs w:val="21"/>
          <w:highlight w:val="none"/>
          <w:lang w:eastAsia="zh-CN"/>
        </w:rPr>
        <w:t>竞选人</w:t>
      </w:r>
      <w:r>
        <w:rPr>
          <w:rFonts w:hint="eastAsia" w:ascii="宋体" w:hAnsi="宋体"/>
          <w:snapToGrid w:val="0"/>
          <w:kern w:val="0"/>
          <w:szCs w:val="21"/>
          <w:highlight w:val="none"/>
        </w:rPr>
        <w:t>具备的资质条件</w:t>
      </w:r>
      <w:r>
        <w:rPr>
          <w:rFonts w:hint="eastAsia" w:ascii="宋体" w:hAnsi="宋体"/>
          <w:snapToGrid w:val="0"/>
          <w:color w:val="auto"/>
          <w:kern w:val="0"/>
          <w:szCs w:val="21"/>
          <w:highlight w:val="none"/>
        </w:rPr>
        <w:t>：</w:t>
      </w:r>
      <w:r>
        <w:rPr>
          <w:rFonts w:hint="eastAsia" w:ascii="宋体" w:hAnsi="宋体"/>
          <w:snapToGrid w:val="0"/>
          <w:color w:val="auto"/>
          <w:kern w:val="0"/>
          <w:szCs w:val="21"/>
          <w:highlight w:val="none"/>
          <w:u w:val="single"/>
          <w:lang w:val="en-US" w:eastAsia="zh-CN"/>
        </w:rPr>
        <w:t>具</w:t>
      </w:r>
      <w:r>
        <w:rPr>
          <w:rFonts w:hint="eastAsia" w:ascii="宋体" w:hAnsi="宋体"/>
          <w:snapToGrid w:val="0"/>
          <w:color w:val="auto"/>
          <w:kern w:val="0"/>
          <w:szCs w:val="21"/>
          <w:highlight w:val="none"/>
          <w:u w:val="single"/>
        </w:rPr>
        <w:t>备建设行政主管部门颁发的</w:t>
      </w:r>
      <w:r>
        <w:rPr>
          <w:rFonts w:hint="eastAsia" w:ascii="宋体" w:hAnsi="宋体"/>
          <w:snapToGrid w:val="0"/>
          <w:color w:val="auto"/>
          <w:kern w:val="0"/>
          <w:szCs w:val="21"/>
          <w:highlight w:val="none"/>
          <w:u w:val="single"/>
          <w:lang w:val="en-US" w:eastAsia="zh-CN"/>
        </w:rPr>
        <w:t>市政公用工程</w:t>
      </w:r>
      <w:r>
        <w:rPr>
          <w:rFonts w:hint="eastAsia" w:ascii="宋体" w:hAnsi="宋体"/>
          <w:snapToGrid w:val="0"/>
          <w:color w:val="auto"/>
          <w:kern w:val="0"/>
          <w:szCs w:val="21"/>
          <w:highlight w:val="none"/>
          <w:u w:val="single"/>
        </w:rPr>
        <w:t>施工总承包三级及以上资质；</w:t>
      </w:r>
      <w:r>
        <w:rPr>
          <w:rFonts w:hint="eastAsia" w:asciiTheme="minorEastAsia" w:hAnsiTheme="minorEastAsia" w:eastAsiaTheme="minorEastAsia" w:cstheme="minorEastAsia"/>
          <w:sz w:val="21"/>
          <w:szCs w:val="21"/>
          <w:u w:val="single"/>
        </w:rPr>
        <w:t>202</w:t>
      </w:r>
      <w:r>
        <w:rPr>
          <w:rFonts w:hint="eastAsia" w:asciiTheme="minorEastAsia" w:hAnsiTheme="minorEastAsia" w:eastAsiaTheme="minorEastAsia" w:cstheme="minorEastAsia"/>
          <w:sz w:val="21"/>
          <w:szCs w:val="21"/>
          <w:u w:val="single"/>
          <w:lang w:val="en-US" w:eastAsia="zh-CN"/>
        </w:rPr>
        <w:t>0</w:t>
      </w:r>
      <w:r>
        <w:rPr>
          <w:rFonts w:hint="eastAsia" w:asciiTheme="minorEastAsia" w:hAnsiTheme="minorEastAsia" w:eastAsiaTheme="minorEastAsia" w:cstheme="minorEastAsia"/>
          <w:sz w:val="21"/>
          <w:szCs w:val="21"/>
          <w:u w:val="single"/>
        </w:rPr>
        <w:t>年1月1日至</w:t>
      </w:r>
      <w:r>
        <w:rPr>
          <w:rFonts w:hint="eastAsia" w:ascii="宋体" w:hAnsi="宋体"/>
          <w:strike w:val="0"/>
          <w:dstrike w:val="0"/>
          <w:color w:val="auto"/>
          <w:szCs w:val="21"/>
          <w:highlight w:val="none"/>
          <w:u w:val="single"/>
        </w:rPr>
        <w:t>投标截止日止（以竣工时间为准）</w:t>
      </w:r>
      <w:r>
        <w:rPr>
          <w:rFonts w:hint="eastAsia" w:ascii="宋体" w:hAnsi="宋体"/>
          <w:strike w:val="0"/>
          <w:dstrike w:val="0"/>
          <w:color w:val="auto"/>
          <w:szCs w:val="21"/>
          <w:highlight w:val="none"/>
          <w:u w:val="single"/>
          <w:lang w:val="en-US" w:eastAsia="zh-CN"/>
        </w:rPr>
        <w:t>完成</w:t>
      </w:r>
      <w:r>
        <w:rPr>
          <w:rFonts w:hint="eastAsia" w:ascii="宋体" w:hAnsi="宋体"/>
          <w:strike w:val="0"/>
          <w:dstrike w:val="0"/>
          <w:color w:val="auto"/>
          <w:szCs w:val="21"/>
          <w:highlight w:val="none"/>
          <w:u w:val="single"/>
        </w:rPr>
        <w:t>的</w:t>
      </w:r>
      <w:r>
        <w:rPr>
          <w:rFonts w:hint="eastAsia" w:ascii="宋体" w:hAnsi="宋体"/>
          <w:strike w:val="0"/>
          <w:dstrike w:val="0"/>
          <w:color w:val="auto"/>
          <w:szCs w:val="21"/>
          <w:highlight w:val="none"/>
          <w:u w:val="single"/>
          <w:lang w:val="en-US" w:eastAsia="zh-CN"/>
        </w:rPr>
        <w:t>3</w:t>
      </w:r>
      <w:r>
        <w:rPr>
          <w:rFonts w:hint="eastAsia" w:ascii="宋体" w:hAnsi="宋体"/>
          <w:strike w:val="0"/>
          <w:dstrike w:val="0"/>
          <w:color w:val="auto"/>
          <w:szCs w:val="21"/>
          <w:highlight w:val="none"/>
          <w:u w:val="single"/>
        </w:rPr>
        <w:t>个类似项目业绩。</w:t>
      </w:r>
    </w:p>
    <w:p>
      <w:pPr>
        <w:tabs>
          <w:tab w:val="left" w:pos="3840"/>
          <w:tab w:val="left" w:pos="5300"/>
        </w:tabs>
        <w:autoSpaceDE w:val="0"/>
        <w:autoSpaceDN w:val="0"/>
        <w:adjustRightInd w:val="0"/>
        <w:snapToGrid w:val="0"/>
        <w:spacing w:line="460" w:lineRule="exact"/>
        <w:ind w:firstLine="420" w:firstLineChars="200"/>
        <w:jc w:val="left"/>
        <w:rPr>
          <w:rFonts w:ascii="宋体" w:hAnsi="宋体"/>
          <w:szCs w:val="21"/>
          <w:highlight w:val="none"/>
        </w:rPr>
      </w:pPr>
      <w:r>
        <w:rPr>
          <w:rFonts w:hint="eastAsia" w:ascii="宋体" w:hAnsi="宋体"/>
          <w:snapToGrid w:val="0"/>
          <w:kern w:val="0"/>
          <w:szCs w:val="21"/>
          <w:highlight w:val="none"/>
        </w:rPr>
        <w:t>3.1.</w:t>
      </w:r>
      <w:r>
        <w:rPr>
          <w:rFonts w:hint="eastAsia" w:ascii="宋体" w:hAnsi="宋体"/>
          <w:snapToGrid w:val="0"/>
          <w:kern w:val="0"/>
          <w:szCs w:val="21"/>
          <w:highlight w:val="none"/>
          <w:lang w:val="en-US" w:eastAsia="zh-CN"/>
        </w:rPr>
        <w:t>2</w:t>
      </w:r>
      <w:r>
        <w:rPr>
          <w:rFonts w:hint="eastAsia" w:ascii="宋体" w:hAnsi="宋体"/>
          <w:snapToGrid w:val="0"/>
          <w:kern w:val="0"/>
          <w:szCs w:val="21"/>
          <w:highlight w:val="none"/>
        </w:rPr>
        <w:t xml:space="preserve"> </w:t>
      </w:r>
      <w:r>
        <w:rPr>
          <w:rFonts w:hint="eastAsia" w:ascii="宋体" w:hAnsi="宋体"/>
          <w:snapToGrid w:val="0"/>
          <w:kern w:val="0"/>
          <w:szCs w:val="21"/>
          <w:highlight w:val="none"/>
          <w:lang w:eastAsia="zh-CN"/>
        </w:rPr>
        <w:t>竞选人</w:t>
      </w:r>
      <w:r>
        <w:rPr>
          <w:rFonts w:hint="eastAsia" w:ascii="宋体" w:hAnsi="宋体"/>
          <w:snapToGrid w:val="0"/>
          <w:kern w:val="0"/>
          <w:szCs w:val="21"/>
          <w:highlight w:val="none"/>
        </w:rPr>
        <w:t>还应在人员、设备、资金等方面具有相应的施工能力，详见招标文件第二章</w:t>
      </w:r>
      <w:r>
        <w:rPr>
          <w:rFonts w:hint="eastAsia" w:ascii="宋体" w:hAnsi="宋体"/>
          <w:snapToGrid w:val="0"/>
          <w:kern w:val="0"/>
          <w:szCs w:val="21"/>
          <w:highlight w:val="none"/>
          <w:lang w:eastAsia="zh-CN"/>
        </w:rPr>
        <w:t>竞选人</w:t>
      </w:r>
      <w:r>
        <w:rPr>
          <w:rFonts w:hint="eastAsia" w:ascii="宋体" w:hAnsi="宋体"/>
          <w:snapToGrid w:val="0"/>
          <w:kern w:val="0"/>
          <w:szCs w:val="21"/>
          <w:highlight w:val="none"/>
        </w:rPr>
        <w:t>须知前附表第1.4.1项内容。</w:t>
      </w:r>
    </w:p>
    <w:p>
      <w:pPr>
        <w:tabs>
          <w:tab w:val="left" w:pos="3045"/>
          <w:tab w:val="left" w:pos="8310"/>
        </w:tabs>
        <w:autoSpaceDE w:val="0"/>
        <w:autoSpaceDN w:val="0"/>
        <w:adjustRightInd w:val="0"/>
        <w:snapToGrid w:val="0"/>
        <w:spacing w:line="460" w:lineRule="exact"/>
        <w:ind w:firstLine="420" w:firstLineChars="200"/>
        <w:rPr>
          <w:rFonts w:ascii="宋体" w:hAnsi="宋体"/>
          <w:snapToGrid w:val="0"/>
          <w:kern w:val="0"/>
          <w:szCs w:val="21"/>
          <w:highlight w:val="none"/>
        </w:rPr>
      </w:pPr>
      <w:r>
        <w:rPr>
          <w:rFonts w:ascii="宋体" w:hAnsi="宋体"/>
          <w:snapToGrid w:val="0"/>
          <w:kern w:val="0"/>
          <w:szCs w:val="21"/>
          <w:highlight w:val="none"/>
        </w:rPr>
        <w:t>3.2  本次招标</w:t>
      </w:r>
      <w:r>
        <w:rPr>
          <w:rFonts w:hint="eastAsia" w:ascii="宋体" w:hAnsi="宋体"/>
          <w:snapToGrid w:val="0"/>
          <w:kern w:val="0"/>
          <w:szCs w:val="21"/>
          <w:highlight w:val="none"/>
        </w:rPr>
        <w:t xml:space="preserve">□接受 </w:t>
      </w:r>
      <w:r>
        <w:rPr>
          <w:rFonts w:hint="eastAsia" w:ascii="宋体" w:hAnsi="宋体"/>
          <w:snapToGrid w:val="0"/>
          <w:kern w:val="0"/>
          <w:szCs w:val="21"/>
          <w:highlight w:val="none"/>
          <w:lang w:eastAsia="zh-CN"/>
        </w:rPr>
        <w:t>☑</w:t>
      </w:r>
      <w:r>
        <w:rPr>
          <w:rFonts w:hint="eastAsia" w:ascii="宋体" w:hAnsi="宋体"/>
          <w:snapToGrid w:val="0"/>
          <w:kern w:val="0"/>
          <w:szCs w:val="21"/>
          <w:highlight w:val="none"/>
        </w:rPr>
        <w:t>不接受</w:t>
      </w:r>
      <w:r>
        <w:rPr>
          <w:rFonts w:ascii="宋体" w:hAnsi="宋体"/>
          <w:snapToGrid w:val="0"/>
          <w:kern w:val="0"/>
          <w:szCs w:val="21"/>
          <w:highlight w:val="none"/>
        </w:rPr>
        <w:t>联合体投标。联合体投标的，应满足下列要求：</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u w:val="single"/>
          <w:lang w:val="en-US" w:eastAsia="zh-CN"/>
        </w:rPr>
        <w:t>/</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w:t>
      </w:r>
    </w:p>
    <w:p>
      <w:pPr>
        <w:pStyle w:val="4"/>
        <w:spacing w:before="100" w:after="100" w:line="460" w:lineRule="exact"/>
        <w:rPr>
          <w:rFonts w:ascii="宋体" w:hAnsi="宋体"/>
          <w:snapToGrid w:val="0"/>
          <w:sz w:val="28"/>
          <w:szCs w:val="28"/>
          <w:highlight w:val="none"/>
        </w:rPr>
      </w:pPr>
      <w:bookmarkStart w:id="48" w:name="_Toc287620670"/>
      <w:bookmarkStart w:id="49" w:name="_Toc10508"/>
      <w:bookmarkStart w:id="50" w:name="_Toc430530419"/>
      <w:bookmarkStart w:id="51" w:name="_Toc277082539"/>
      <w:bookmarkStart w:id="52" w:name="_Toc200359430"/>
      <w:bookmarkStart w:id="53" w:name="_Toc200359241"/>
      <w:bookmarkStart w:id="54" w:name="_Toc509218695"/>
      <w:bookmarkStart w:id="55" w:name="_Toc287607731"/>
      <w:bookmarkStart w:id="56" w:name="_Toc224103302"/>
      <w:bookmarkStart w:id="57" w:name="_Toc13751"/>
      <w:r>
        <w:rPr>
          <w:rFonts w:ascii="宋体" w:hAnsi="宋体"/>
          <w:snapToGrid w:val="0"/>
          <w:sz w:val="28"/>
          <w:szCs w:val="28"/>
          <w:highlight w:val="none"/>
        </w:rPr>
        <w:t xml:space="preserve">4. </w:t>
      </w:r>
      <w:r>
        <w:rPr>
          <w:rFonts w:hint="eastAsia" w:ascii="宋体" w:hAnsi="宋体"/>
          <w:snapToGrid w:val="0"/>
          <w:sz w:val="28"/>
          <w:szCs w:val="28"/>
          <w:highlight w:val="none"/>
        </w:rPr>
        <w:t xml:space="preserve"> </w:t>
      </w:r>
      <w:r>
        <w:rPr>
          <w:rFonts w:hint="eastAsia" w:ascii="宋体" w:hAnsi="宋体"/>
          <w:snapToGrid w:val="0"/>
          <w:sz w:val="28"/>
          <w:szCs w:val="28"/>
          <w:highlight w:val="none"/>
          <w:lang w:val="en-US" w:eastAsia="zh-CN"/>
        </w:rPr>
        <w:t>比选</w:t>
      </w:r>
      <w:r>
        <w:rPr>
          <w:rFonts w:ascii="宋体" w:hAnsi="宋体"/>
          <w:snapToGrid w:val="0"/>
          <w:sz w:val="28"/>
          <w:szCs w:val="28"/>
          <w:highlight w:val="none"/>
        </w:rPr>
        <w:t>文件的获取</w:t>
      </w:r>
      <w:bookmarkEnd w:id="48"/>
      <w:bookmarkEnd w:id="49"/>
      <w:bookmarkEnd w:id="50"/>
      <w:bookmarkEnd w:id="51"/>
      <w:bookmarkEnd w:id="52"/>
      <w:bookmarkEnd w:id="53"/>
      <w:bookmarkEnd w:id="54"/>
      <w:bookmarkEnd w:id="55"/>
      <w:bookmarkEnd w:id="56"/>
      <w:bookmarkEnd w:id="57"/>
    </w:p>
    <w:p>
      <w:pPr>
        <w:widowControl/>
        <w:spacing w:line="360" w:lineRule="auto"/>
        <w:ind w:firstLine="420" w:firstLineChars="200"/>
        <w:rPr>
          <w:rFonts w:cs="宋体" w:asciiTheme="minorEastAsia" w:hAnsiTheme="minorEastAsia" w:eastAsiaTheme="minorEastAsia"/>
          <w:kern w:val="0"/>
          <w:sz w:val="21"/>
          <w:szCs w:val="21"/>
        </w:rPr>
      </w:pPr>
      <w:bookmarkStart w:id="58" w:name="_Toc3893"/>
      <w:bookmarkStart w:id="59" w:name="_Toc224103303"/>
      <w:bookmarkStart w:id="60" w:name="_Toc200359431"/>
      <w:bookmarkStart w:id="61" w:name="_Toc287607732"/>
      <w:bookmarkStart w:id="62" w:name="_Toc509218696"/>
      <w:bookmarkStart w:id="63" w:name="_Toc277082540"/>
      <w:bookmarkStart w:id="64" w:name="_Toc430530420"/>
      <w:bookmarkStart w:id="65" w:name="_Toc28449"/>
      <w:bookmarkStart w:id="66" w:name="_Toc287620671"/>
      <w:bookmarkStart w:id="67" w:name="_Toc200359242"/>
      <w:r>
        <w:rPr>
          <w:rFonts w:hint="eastAsia" w:cs="宋体" w:asciiTheme="minorEastAsia" w:hAnsiTheme="minorEastAsia" w:eastAsiaTheme="minorEastAsia"/>
          <w:kern w:val="0"/>
          <w:sz w:val="21"/>
          <w:szCs w:val="21"/>
        </w:rPr>
        <w:t>4.1 凡有意参加投标者，请于公告发布之日起至至投标截止时间前，</w:t>
      </w:r>
      <w:r>
        <w:rPr>
          <w:rFonts w:hint="eastAsia" w:cs="宋体" w:asciiTheme="minorEastAsia" w:hAnsiTheme="minorEastAsia" w:eastAsiaTheme="minorEastAsia"/>
          <w:color w:val="auto"/>
          <w:kern w:val="0"/>
          <w:sz w:val="21"/>
          <w:szCs w:val="21"/>
        </w:rPr>
        <w:t xml:space="preserve">均可在行采家 (https://www.gec123.com/) </w:t>
      </w:r>
      <w:r>
        <w:rPr>
          <w:rFonts w:hint="eastAsia" w:cs="宋体" w:asciiTheme="minorEastAsia" w:hAnsiTheme="minorEastAsia" w:eastAsiaTheme="minorEastAsia"/>
          <w:color w:val="auto"/>
          <w:kern w:val="0"/>
          <w:sz w:val="21"/>
          <w:szCs w:val="21"/>
          <w:lang w:val="en-US" w:eastAsia="zh-CN"/>
        </w:rPr>
        <w:t>和</w:t>
      </w:r>
      <w:r>
        <w:rPr>
          <w:rFonts w:hint="eastAsia" w:cs="宋体" w:asciiTheme="minorEastAsia" w:hAnsiTheme="minorEastAsia" w:eastAsiaTheme="minorEastAsia"/>
          <w:color w:val="auto"/>
          <w:kern w:val="0"/>
          <w:sz w:val="21"/>
          <w:szCs w:val="21"/>
        </w:rPr>
        <w:t>重庆经开区投资集团官网（http://www.cetzig.com/）上下载本项目竞争性比选文件、答疑、补遗等开标</w:t>
      </w:r>
      <w:r>
        <w:rPr>
          <w:rFonts w:hint="eastAsia" w:cs="宋体" w:asciiTheme="minorEastAsia" w:hAnsiTheme="minorEastAsia" w:eastAsiaTheme="minorEastAsia"/>
          <w:kern w:val="0"/>
          <w:sz w:val="21"/>
          <w:szCs w:val="21"/>
        </w:rPr>
        <w:t>前公布的所有相关资料。在公告期间，各竞标人应随时关注网上发布的竞争性比选文件答疑、补遗、澄清等文件内容，不管竞标人下载与否都视为潜在投标人全部知晓有关招投标过程和全部内容。</w:t>
      </w:r>
    </w:p>
    <w:p>
      <w:pPr>
        <w:pStyle w:val="4"/>
        <w:spacing w:before="100" w:after="100" w:line="460" w:lineRule="exact"/>
        <w:rPr>
          <w:rFonts w:ascii="宋体" w:hAnsi="宋体"/>
          <w:snapToGrid w:val="0"/>
          <w:sz w:val="28"/>
          <w:szCs w:val="28"/>
          <w:highlight w:val="none"/>
        </w:rPr>
      </w:pPr>
      <w:r>
        <w:rPr>
          <w:rFonts w:ascii="宋体" w:hAnsi="宋体"/>
          <w:snapToGrid w:val="0"/>
          <w:sz w:val="28"/>
          <w:szCs w:val="28"/>
          <w:highlight w:val="none"/>
        </w:rPr>
        <w:t xml:space="preserve">5. </w:t>
      </w:r>
      <w:r>
        <w:rPr>
          <w:rFonts w:hint="eastAsia" w:ascii="宋体" w:hAnsi="宋体"/>
          <w:snapToGrid w:val="0"/>
          <w:sz w:val="28"/>
          <w:szCs w:val="28"/>
          <w:highlight w:val="none"/>
        </w:rPr>
        <w:t xml:space="preserve"> </w:t>
      </w:r>
      <w:r>
        <w:rPr>
          <w:rFonts w:hint="eastAsia" w:ascii="宋体" w:hAnsi="宋体"/>
          <w:snapToGrid w:val="0"/>
          <w:sz w:val="28"/>
          <w:szCs w:val="28"/>
          <w:highlight w:val="none"/>
          <w:lang w:eastAsia="zh-CN"/>
        </w:rPr>
        <w:t>竞选文件</w:t>
      </w:r>
      <w:r>
        <w:rPr>
          <w:rFonts w:ascii="宋体" w:hAnsi="宋体"/>
          <w:snapToGrid w:val="0"/>
          <w:sz w:val="28"/>
          <w:szCs w:val="28"/>
          <w:highlight w:val="none"/>
        </w:rPr>
        <w:t>的递交</w:t>
      </w:r>
      <w:bookmarkEnd w:id="58"/>
      <w:bookmarkEnd w:id="59"/>
      <w:bookmarkEnd w:id="60"/>
      <w:bookmarkEnd w:id="61"/>
      <w:bookmarkEnd w:id="62"/>
      <w:bookmarkEnd w:id="63"/>
      <w:bookmarkEnd w:id="64"/>
      <w:bookmarkEnd w:id="65"/>
      <w:bookmarkEnd w:id="66"/>
      <w:bookmarkEnd w:id="67"/>
    </w:p>
    <w:p>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kern w:val="0"/>
          <w:szCs w:val="21"/>
          <w:highlight w:val="none"/>
        </w:rPr>
      </w:pPr>
      <w:r>
        <w:rPr>
          <w:rFonts w:ascii="宋体" w:hAnsi="宋体"/>
          <w:snapToGrid w:val="0"/>
          <w:kern w:val="0"/>
          <w:szCs w:val="21"/>
          <w:highlight w:val="none"/>
        </w:rPr>
        <w:t xml:space="preserve">5.1  </w:t>
      </w:r>
      <w:r>
        <w:rPr>
          <w:rFonts w:hint="eastAsia" w:ascii="宋体" w:hAnsi="宋体"/>
          <w:snapToGrid w:val="0"/>
          <w:kern w:val="0"/>
          <w:szCs w:val="21"/>
          <w:highlight w:val="none"/>
          <w:lang w:eastAsia="zh-CN"/>
        </w:rPr>
        <w:t>竞选文件</w:t>
      </w:r>
      <w:r>
        <w:rPr>
          <w:rFonts w:ascii="宋体" w:hAnsi="宋体"/>
          <w:snapToGrid w:val="0"/>
          <w:kern w:val="0"/>
          <w:szCs w:val="21"/>
          <w:highlight w:val="none"/>
        </w:rPr>
        <w:t>递交的截止时间（投标截止时间，下同）为</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u w:val="single"/>
          <w:lang w:val="en-US" w:eastAsia="zh-CN"/>
        </w:rPr>
        <w:t>2024</w:t>
      </w:r>
      <w:r>
        <w:rPr>
          <w:rFonts w:ascii="宋体" w:hAnsi="宋体"/>
          <w:snapToGrid w:val="0"/>
          <w:kern w:val="0"/>
          <w:szCs w:val="21"/>
          <w:highlight w:val="none"/>
        </w:rPr>
        <w:t>年</w:t>
      </w:r>
      <w:r>
        <w:rPr>
          <w:rFonts w:hint="eastAsia" w:ascii="宋体" w:hAnsi="宋体"/>
          <w:snapToGrid w:val="0"/>
          <w:kern w:val="0"/>
          <w:szCs w:val="21"/>
          <w:highlight w:val="none"/>
          <w:u w:val="single"/>
          <w:lang w:val="en-US" w:eastAsia="zh-CN"/>
        </w:rPr>
        <w:t>5</w:t>
      </w:r>
      <w:r>
        <w:rPr>
          <w:rFonts w:ascii="宋体" w:hAnsi="宋体"/>
          <w:snapToGrid w:val="0"/>
          <w:kern w:val="0"/>
          <w:szCs w:val="21"/>
          <w:highlight w:val="none"/>
        </w:rPr>
        <w:t>月</w:t>
      </w:r>
      <w:r>
        <w:rPr>
          <w:rFonts w:hint="eastAsia" w:ascii="宋体" w:hAnsi="宋体"/>
          <w:snapToGrid w:val="0"/>
          <w:kern w:val="0"/>
          <w:szCs w:val="21"/>
          <w:highlight w:val="none"/>
          <w:u w:val="single"/>
          <w:lang w:val="en-US" w:eastAsia="zh-CN"/>
        </w:rPr>
        <w:t>23</w:t>
      </w:r>
      <w:r>
        <w:rPr>
          <w:rFonts w:ascii="宋体" w:hAnsi="宋体"/>
          <w:snapToGrid w:val="0"/>
          <w:kern w:val="0"/>
          <w:szCs w:val="21"/>
          <w:highlight w:val="none"/>
        </w:rPr>
        <w:t>日</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u w:val="single"/>
          <w:lang w:val="en-US" w:eastAsia="zh-CN"/>
        </w:rPr>
        <w:t>10</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时</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u w:val="single"/>
          <w:lang w:val="en-US" w:eastAsia="zh-CN"/>
        </w:rPr>
        <w:t>00</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分，地点为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重庆经开区投资集团有限公司</w:t>
      </w:r>
      <w:r>
        <w:rPr>
          <w:rFonts w:hint="eastAsia" w:ascii="宋体" w:hAnsi="宋体"/>
          <w:snapToGrid w:val="0"/>
          <w:color w:val="auto"/>
          <w:kern w:val="0"/>
          <w:szCs w:val="21"/>
          <w:highlight w:val="none"/>
          <w:u w:val="single"/>
          <w:lang w:val="en-US" w:eastAsia="zh-CN"/>
        </w:rPr>
        <w:t>15楼接待室</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pPr>
        <w:autoSpaceDE w:val="0"/>
        <w:autoSpaceDN w:val="0"/>
        <w:adjustRightInd w:val="0"/>
        <w:snapToGrid w:val="0"/>
        <w:spacing w:line="450" w:lineRule="exact"/>
        <w:ind w:firstLine="420" w:firstLineChars="200"/>
        <w:rPr>
          <w:rFonts w:hint="eastAsia" w:ascii="宋体" w:hAnsi="宋体" w:eastAsia="宋体"/>
          <w:snapToGrid w:val="0"/>
          <w:kern w:val="0"/>
          <w:szCs w:val="21"/>
          <w:highlight w:val="none"/>
          <w:lang w:val="en-US" w:eastAsia="zh-CN"/>
        </w:rPr>
      </w:pPr>
      <w:r>
        <w:rPr>
          <w:rFonts w:ascii="宋体" w:hAnsi="宋体"/>
          <w:snapToGrid w:val="0"/>
          <w:kern w:val="0"/>
          <w:szCs w:val="21"/>
          <w:highlight w:val="none"/>
        </w:rPr>
        <w:t>5.2  逾期送达的或者未送达指定地点的</w:t>
      </w:r>
      <w:r>
        <w:rPr>
          <w:rFonts w:hint="eastAsia" w:ascii="宋体" w:hAnsi="宋体"/>
          <w:snapToGrid w:val="0"/>
          <w:kern w:val="0"/>
          <w:szCs w:val="21"/>
          <w:highlight w:val="none"/>
          <w:lang w:eastAsia="zh-CN"/>
        </w:rPr>
        <w:t>竞选文件</w:t>
      </w:r>
      <w:r>
        <w:rPr>
          <w:rFonts w:ascii="宋体" w:hAnsi="宋体"/>
          <w:snapToGrid w:val="0"/>
          <w:kern w:val="0"/>
          <w:szCs w:val="21"/>
          <w:highlight w:val="none"/>
        </w:rPr>
        <w:t>，</w:t>
      </w:r>
      <w:r>
        <w:rPr>
          <w:rFonts w:hint="eastAsia" w:ascii="宋体" w:hAnsi="宋体"/>
          <w:snapToGrid w:val="0"/>
          <w:kern w:val="0"/>
          <w:szCs w:val="21"/>
          <w:highlight w:val="none"/>
          <w:lang w:eastAsia="zh-CN"/>
        </w:rPr>
        <w:t>比选人</w:t>
      </w:r>
      <w:r>
        <w:rPr>
          <w:rFonts w:ascii="宋体" w:hAnsi="宋体"/>
          <w:snapToGrid w:val="0"/>
          <w:kern w:val="0"/>
          <w:szCs w:val="21"/>
          <w:highlight w:val="none"/>
        </w:rPr>
        <w:t>不予受理。</w:t>
      </w:r>
      <w:r>
        <w:rPr>
          <w:rFonts w:hint="eastAsia" w:ascii="宋体" w:hAnsi="宋体"/>
          <w:snapToGrid w:val="0"/>
          <w:kern w:val="0"/>
          <w:szCs w:val="21"/>
          <w:highlight w:val="none"/>
          <w:lang w:val="en-US" w:eastAsia="zh-CN"/>
        </w:rPr>
        <w:t xml:space="preserve"> </w:t>
      </w:r>
    </w:p>
    <w:p>
      <w:pPr>
        <w:pStyle w:val="4"/>
        <w:spacing w:before="100" w:after="100" w:line="460" w:lineRule="exact"/>
        <w:rPr>
          <w:rFonts w:ascii="宋体" w:hAnsi="宋体"/>
          <w:snapToGrid w:val="0"/>
          <w:sz w:val="28"/>
          <w:szCs w:val="28"/>
          <w:highlight w:val="none"/>
        </w:rPr>
      </w:pPr>
      <w:bookmarkStart w:id="68" w:name="_Toc200359432"/>
      <w:bookmarkStart w:id="69" w:name="_Toc277082541"/>
      <w:bookmarkStart w:id="70" w:name="_Toc19071"/>
      <w:bookmarkStart w:id="71" w:name="_Toc224103304"/>
      <w:bookmarkStart w:id="72" w:name="_Toc430530421"/>
      <w:bookmarkStart w:id="73" w:name="_Toc287620672"/>
      <w:bookmarkStart w:id="74" w:name="_Toc287607733"/>
      <w:bookmarkStart w:id="75" w:name="_Toc8166"/>
      <w:bookmarkStart w:id="76" w:name="_Toc200359243"/>
      <w:bookmarkStart w:id="77" w:name="_Toc509218697"/>
      <w:r>
        <w:rPr>
          <w:rFonts w:ascii="宋体" w:hAnsi="宋体"/>
          <w:snapToGrid w:val="0"/>
          <w:sz w:val="28"/>
          <w:szCs w:val="28"/>
          <w:highlight w:val="none"/>
        </w:rPr>
        <w:t xml:space="preserve">6. </w:t>
      </w:r>
      <w:r>
        <w:rPr>
          <w:rFonts w:hint="eastAsia" w:ascii="宋体" w:hAnsi="宋体"/>
          <w:snapToGrid w:val="0"/>
          <w:sz w:val="28"/>
          <w:szCs w:val="28"/>
          <w:highlight w:val="none"/>
        </w:rPr>
        <w:t xml:space="preserve"> </w:t>
      </w:r>
      <w:r>
        <w:rPr>
          <w:rFonts w:ascii="宋体" w:hAnsi="宋体"/>
          <w:snapToGrid w:val="0"/>
          <w:sz w:val="28"/>
          <w:szCs w:val="28"/>
          <w:highlight w:val="none"/>
        </w:rPr>
        <w:t>发布公告的媒介</w:t>
      </w:r>
      <w:bookmarkEnd w:id="68"/>
      <w:bookmarkEnd w:id="69"/>
      <w:bookmarkEnd w:id="70"/>
      <w:bookmarkEnd w:id="71"/>
      <w:bookmarkEnd w:id="72"/>
      <w:bookmarkEnd w:id="73"/>
      <w:bookmarkEnd w:id="74"/>
      <w:bookmarkEnd w:id="75"/>
      <w:bookmarkEnd w:id="76"/>
      <w:bookmarkEnd w:id="77"/>
    </w:p>
    <w:p>
      <w:pPr>
        <w:widowControl/>
        <w:spacing w:line="360" w:lineRule="auto"/>
        <w:ind w:firstLine="420" w:firstLineChars="200"/>
        <w:jc w:val="left"/>
        <w:rPr>
          <w:rFonts w:ascii="宋体" w:hAnsi="宋体"/>
          <w:snapToGrid w:val="0"/>
          <w:kern w:val="0"/>
          <w:szCs w:val="21"/>
          <w:highlight w:val="none"/>
        </w:rPr>
      </w:pPr>
      <w:r>
        <w:rPr>
          <w:rFonts w:hint="eastAsia" w:cs="宋体" w:asciiTheme="minorEastAsia" w:hAnsiTheme="minorEastAsia" w:eastAsiaTheme="minorEastAsia"/>
          <w:kern w:val="0"/>
          <w:sz w:val="21"/>
          <w:szCs w:val="21"/>
        </w:rPr>
        <w:t>本次比选公告在</w:t>
      </w:r>
      <w:r>
        <w:rPr>
          <w:rFonts w:ascii="宋体" w:hAnsi="宋体" w:eastAsia="宋体" w:cs="宋体"/>
          <w:spacing w:val="7"/>
          <w:sz w:val="21"/>
          <w:szCs w:val="21"/>
        </w:rPr>
        <w:t>行采家(</w:t>
      </w:r>
      <w:r>
        <w:fldChar w:fldCharType="begin"/>
      </w:r>
      <w:r>
        <w:instrText xml:space="preserve"> HYPERLINK "https://www.gec123.com/" </w:instrText>
      </w:r>
      <w:r>
        <w:fldChar w:fldCharType="separate"/>
      </w:r>
      <w:r>
        <w:rPr>
          <w:rFonts w:ascii="宋体" w:hAnsi="宋体" w:eastAsia="宋体" w:cs="宋体"/>
          <w:sz w:val="21"/>
          <w:szCs w:val="21"/>
        </w:rPr>
        <w:t>https</w:t>
      </w:r>
      <w:r>
        <w:rPr>
          <w:rFonts w:ascii="宋体" w:hAnsi="宋体" w:eastAsia="宋体" w:cs="宋体"/>
          <w:spacing w:val="7"/>
          <w:sz w:val="21"/>
          <w:szCs w:val="21"/>
        </w:rPr>
        <w:t>://</w:t>
      </w:r>
      <w:r>
        <w:rPr>
          <w:rFonts w:ascii="宋体" w:hAnsi="宋体" w:eastAsia="宋体" w:cs="宋体"/>
          <w:sz w:val="21"/>
          <w:szCs w:val="21"/>
        </w:rPr>
        <w:t>www</w:t>
      </w:r>
      <w:r>
        <w:rPr>
          <w:rFonts w:ascii="宋体" w:hAnsi="宋体" w:eastAsia="宋体" w:cs="宋体"/>
          <w:spacing w:val="7"/>
          <w:sz w:val="21"/>
          <w:szCs w:val="21"/>
        </w:rPr>
        <w:t>.</w:t>
      </w:r>
      <w:r>
        <w:rPr>
          <w:rFonts w:ascii="宋体" w:hAnsi="宋体" w:eastAsia="宋体" w:cs="宋体"/>
          <w:sz w:val="21"/>
          <w:szCs w:val="21"/>
        </w:rPr>
        <w:t>gec</w:t>
      </w:r>
      <w:r>
        <w:rPr>
          <w:rFonts w:ascii="宋体" w:hAnsi="宋体" w:eastAsia="宋体" w:cs="宋体"/>
          <w:spacing w:val="7"/>
          <w:sz w:val="21"/>
          <w:szCs w:val="21"/>
        </w:rPr>
        <w:t>123.</w:t>
      </w:r>
      <w:r>
        <w:rPr>
          <w:rFonts w:ascii="宋体" w:hAnsi="宋体" w:eastAsia="宋体" w:cs="宋体"/>
          <w:sz w:val="21"/>
          <w:szCs w:val="21"/>
        </w:rPr>
        <w:t>com</w:t>
      </w:r>
      <w:r>
        <w:rPr>
          <w:rFonts w:ascii="宋体" w:hAnsi="宋体" w:eastAsia="宋体" w:cs="宋体"/>
          <w:spacing w:val="7"/>
          <w:sz w:val="21"/>
          <w:szCs w:val="21"/>
        </w:rPr>
        <w:t>/</w:t>
      </w:r>
      <w:r>
        <w:rPr>
          <w:rFonts w:ascii="宋体" w:hAnsi="宋体" w:eastAsia="宋体" w:cs="宋体"/>
          <w:spacing w:val="7"/>
          <w:sz w:val="21"/>
          <w:szCs w:val="21"/>
        </w:rPr>
        <w:fldChar w:fldCharType="end"/>
      </w:r>
      <w:r>
        <w:rPr>
          <w:rFonts w:ascii="宋体" w:hAnsi="宋体" w:eastAsia="宋体" w:cs="宋体"/>
          <w:spacing w:val="7"/>
          <w:sz w:val="21"/>
          <w:szCs w:val="21"/>
        </w:rPr>
        <w:t>)</w:t>
      </w:r>
      <w:r>
        <w:rPr>
          <w:rFonts w:hint="eastAsia" w:ascii="宋体" w:hAnsi="宋体" w:eastAsia="宋体" w:cs="宋体"/>
          <w:spacing w:val="7"/>
          <w:sz w:val="21"/>
          <w:szCs w:val="21"/>
          <w:lang w:val="en-US" w:eastAsia="zh-CN"/>
        </w:rPr>
        <w:t>和</w:t>
      </w:r>
      <w:r>
        <w:rPr>
          <w:rFonts w:hint="eastAsia" w:cs="宋体" w:asciiTheme="minorEastAsia" w:hAnsiTheme="minorEastAsia" w:eastAsiaTheme="minorEastAsia"/>
          <w:kern w:val="0"/>
          <w:sz w:val="21"/>
          <w:szCs w:val="21"/>
        </w:rPr>
        <w:t>重庆经开区投资集团官网（http://www.cetzig.com/）上发布。</w:t>
      </w:r>
    </w:p>
    <w:p>
      <w:pPr>
        <w:pStyle w:val="4"/>
        <w:spacing w:before="100" w:after="100" w:line="460" w:lineRule="exact"/>
        <w:rPr>
          <w:rFonts w:ascii="宋体" w:hAnsi="宋体"/>
          <w:snapToGrid w:val="0"/>
          <w:sz w:val="28"/>
          <w:szCs w:val="28"/>
          <w:highlight w:val="none"/>
        </w:rPr>
      </w:pPr>
      <w:bookmarkStart w:id="78" w:name="_Toc31352"/>
      <w:bookmarkStart w:id="79" w:name="_Toc14240"/>
      <w:bookmarkStart w:id="80" w:name="_Toc430530422"/>
      <w:bookmarkStart w:id="81" w:name="_Toc277082542"/>
      <w:bookmarkStart w:id="82" w:name="_Toc769"/>
      <w:bookmarkStart w:id="83" w:name="_Toc224103305"/>
      <w:bookmarkStart w:id="84" w:name="_Toc509218698"/>
      <w:bookmarkStart w:id="85" w:name="_Toc287620673"/>
      <w:bookmarkStart w:id="86" w:name="_Toc287607734"/>
      <w:r>
        <w:rPr>
          <w:rFonts w:hint="eastAsia" w:ascii="宋体" w:hAnsi="宋体"/>
          <w:snapToGrid w:val="0"/>
          <w:sz w:val="28"/>
          <w:szCs w:val="28"/>
          <w:highlight w:val="none"/>
        </w:rPr>
        <w:t>7</w:t>
      </w:r>
      <w:r>
        <w:rPr>
          <w:rFonts w:ascii="宋体" w:hAnsi="宋体"/>
          <w:snapToGrid w:val="0"/>
          <w:sz w:val="28"/>
          <w:szCs w:val="28"/>
          <w:highlight w:val="none"/>
        </w:rPr>
        <w:t xml:space="preserve">. </w:t>
      </w:r>
      <w:r>
        <w:rPr>
          <w:rFonts w:hint="eastAsia" w:ascii="宋体" w:hAnsi="宋体"/>
          <w:snapToGrid w:val="0"/>
          <w:sz w:val="28"/>
          <w:szCs w:val="28"/>
          <w:highlight w:val="none"/>
        </w:rPr>
        <w:t xml:space="preserve"> </w:t>
      </w:r>
      <w:bookmarkEnd w:id="78"/>
      <w:bookmarkEnd w:id="79"/>
      <w:bookmarkStart w:id="87" w:name="_Toc589"/>
      <w:r>
        <w:rPr>
          <w:rFonts w:ascii="宋体" w:hAnsi="宋体"/>
          <w:snapToGrid w:val="0"/>
          <w:sz w:val="28"/>
          <w:szCs w:val="28"/>
          <w:highlight w:val="none"/>
        </w:rPr>
        <w:t>联系方式</w:t>
      </w:r>
      <w:bookmarkEnd w:id="80"/>
      <w:bookmarkEnd w:id="81"/>
      <w:bookmarkEnd w:id="82"/>
      <w:bookmarkEnd w:id="83"/>
      <w:bookmarkEnd w:id="84"/>
      <w:bookmarkEnd w:id="85"/>
      <w:bookmarkEnd w:id="86"/>
      <w:bookmarkEnd w:id="87"/>
    </w:p>
    <w:p>
      <w:pPr>
        <w:spacing w:line="360" w:lineRule="auto"/>
        <w:ind w:firstLine="420" w:firstLineChars="200"/>
        <w:rPr>
          <w:rFonts w:cs="宋体" w:asciiTheme="minorEastAsia" w:hAnsiTheme="minorEastAsia" w:eastAsiaTheme="minorEastAsia"/>
          <w:kern w:val="0"/>
          <w:sz w:val="21"/>
          <w:szCs w:val="21"/>
        </w:rPr>
      </w:pPr>
      <w:bookmarkStart w:id="88" w:name="_Toc287620683"/>
      <w:bookmarkStart w:id="89" w:name="_Toc32148"/>
      <w:bookmarkStart w:id="90" w:name="_Toc224103315"/>
      <w:bookmarkStart w:id="91" w:name="_Toc287607744"/>
      <w:bookmarkStart w:id="92" w:name="_Toc430530432"/>
      <w:r>
        <w:rPr>
          <w:rFonts w:hint="eastAsia" w:cs="宋体" w:asciiTheme="minorEastAsia" w:hAnsiTheme="minorEastAsia" w:eastAsiaTheme="minorEastAsia"/>
          <w:kern w:val="0"/>
          <w:sz w:val="21"/>
          <w:szCs w:val="21"/>
        </w:rPr>
        <w:t>比选人：重庆新汇商实业有限公司</w:t>
      </w:r>
    </w:p>
    <w:p>
      <w:pPr>
        <w:spacing w:line="360" w:lineRule="auto"/>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联系人： </w:t>
      </w:r>
      <w:r>
        <w:rPr>
          <w:rFonts w:hint="eastAsia" w:ascii="宋体" w:hAnsi="宋体" w:cs="宋体"/>
          <w:kern w:val="0"/>
          <w:sz w:val="21"/>
          <w:szCs w:val="21"/>
        </w:rPr>
        <w:t>张老师</w:t>
      </w:r>
    </w:p>
    <w:p>
      <w:pPr>
        <w:spacing w:line="360" w:lineRule="auto"/>
        <w:ind w:firstLine="420" w:firstLineChars="200"/>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rPr>
        <w:t>电  话：</w:t>
      </w:r>
      <w:r>
        <w:rPr>
          <w:rFonts w:hint="eastAsia" w:ascii="宋体" w:hAnsi="宋体" w:cs="宋体"/>
          <w:kern w:val="0"/>
          <w:sz w:val="21"/>
          <w:szCs w:val="21"/>
        </w:rPr>
        <w:t>13883283726</w:t>
      </w:r>
    </w:p>
    <w:p>
      <w:pPr>
        <w:spacing w:line="360" w:lineRule="auto"/>
        <w:ind w:firstLine="420" w:firstLineChars="200"/>
        <w:rPr>
          <w:rFonts w:hint="eastAsia" w:ascii="宋体" w:hAnsi="宋体" w:cs="宋体"/>
          <w:sz w:val="21"/>
          <w:szCs w:val="21"/>
          <w:lang w:bidi="en-US"/>
        </w:rPr>
      </w:pPr>
      <w:r>
        <w:rPr>
          <w:rFonts w:hint="eastAsia" w:cs="宋体" w:asciiTheme="minorEastAsia" w:hAnsiTheme="minorEastAsia" w:eastAsiaTheme="minorEastAsia"/>
          <w:kern w:val="0"/>
          <w:sz w:val="21"/>
          <w:szCs w:val="21"/>
        </w:rPr>
        <w:t>地  址：</w:t>
      </w:r>
      <w:r>
        <w:rPr>
          <w:rFonts w:hint="eastAsia" w:ascii="宋体" w:hAnsi="宋体" w:cs="宋体"/>
          <w:sz w:val="21"/>
          <w:szCs w:val="21"/>
          <w:lang w:bidi="en-US"/>
        </w:rPr>
        <w:t>重庆市南岸区茶园江桥路一号附1号</w:t>
      </w:r>
    </w:p>
    <w:p>
      <w:pPr>
        <w:pStyle w:val="2"/>
        <w:rPr>
          <w:rFonts w:ascii="宋体" w:hAnsi="宋体"/>
          <w:snapToGrid w:val="0"/>
          <w:color w:val="auto"/>
          <w:kern w:val="0"/>
          <w:szCs w:val="21"/>
          <w:highlight w:val="none"/>
          <w:u w:val="single"/>
        </w:rPr>
      </w:pPr>
      <w:r>
        <w:rPr>
          <w:rFonts w:hint="eastAsia"/>
          <w:lang w:val="en-US" w:eastAsia="zh-CN"/>
        </w:rPr>
        <w:t xml:space="preserve">    邮  箱：50417679@qq.com</w:t>
      </w:r>
    </w:p>
    <w:p>
      <w:pPr>
        <w:autoSpaceDE w:val="0"/>
        <w:autoSpaceDN w:val="0"/>
        <w:adjustRightInd w:val="0"/>
        <w:snapToGrid w:val="0"/>
        <w:spacing w:line="440" w:lineRule="exact"/>
        <w:ind w:firstLine="3906" w:firstLineChars="1860"/>
        <w:jc w:val="right"/>
        <w:rPr>
          <w:rFonts w:ascii="宋体" w:hAnsi="宋体"/>
          <w:snapToGrid w:val="0"/>
          <w:color w:val="auto"/>
          <w:kern w:val="0"/>
          <w:szCs w:val="21"/>
          <w:highlight w:val="none"/>
          <w:u w:val="single"/>
        </w:rPr>
      </w:pPr>
    </w:p>
    <w:p>
      <w:pPr>
        <w:autoSpaceDE w:val="0"/>
        <w:autoSpaceDN w:val="0"/>
        <w:adjustRightInd w:val="0"/>
        <w:snapToGrid w:val="0"/>
        <w:spacing w:line="440" w:lineRule="exact"/>
        <w:ind w:firstLine="3906" w:firstLineChars="1860"/>
        <w:jc w:val="right"/>
        <w:rPr>
          <w:rFonts w:ascii="宋体" w:hAnsi="宋体"/>
          <w:snapToGrid w:val="0"/>
          <w:color w:val="auto"/>
          <w:kern w:val="0"/>
          <w:sz w:val="20"/>
          <w:szCs w:val="20"/>
          <w:highlight w:val="none"/>
        </w:rPr>
      </w:pP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2024</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lang w:val="en-US" w:eastAsia="zh-CN"/>
        </w:rPr>
        <w:t xml:space="preserve"> 5</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lang w:val="en-US" w:eastAsia="zh-CN"/>
        </w:rPr>
        <w:t xml:space="preserve">15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pPr>
        <w:pStyle w:val="3"/>
        <w:spacing w:before="0" w:after="0" w:line="200" w:lineRule="exact"/>
        <w:jc w:val="center"/>
        <w:outlineLvl w:val="9"/>
        <w:rPr>
          <w:rFonts w:ascii="宋体" w:hAnsi="宋体"/>
          <w:snapToGrid w:val="0"/>
          <w:color w:val="auto"/>
          <w:kern w:val="0"/>
          <w:szCs w:val="21"/>
          <w:highlight w:val="none"/>
        </w:rPr>
      </w:pPr>
      <w:r>
        <w:rPr>
          <w:rFonts w:ascii="宋体" w:hAnsi="宋体"/>
          <w:snapToGrid w:val="0"/>
          <w:color w:val="auto"/>
          <w:kern w:val="0"/>
          <w:szCs w:val="21"/>
          <w:highlight w:val="none"/>
        </w:rPr>
        <w:br w:type="page"/>
      </w:r>
    </w:p>
    <w:p>
      <w:pPr>
        <w:pStyle w:val="3"/>
        <w:spacing w:line="360" w:lineRule="auto"/>
        <w:jc w:val="center"/>
        <w:rPr>
          <w:rFonts w:ascii="宋体" w:hAnsi="宋体"/>
          <w:bCs w:val="0"/>
          <w:snapToGrid w:val="0"/>
          <w:kern w:val="0"/>
          <w:highlight w:val="none"/>
        </w:rPr>
      </w:pPr>
      <w:bookmarkStart w:id="93" w:name="_Toc5447"/>
      <w:bookmarkStart w:id="94" w:name="_Toc22622"/>
      <w:r>
        <w:rPr>
          <w:rFonts w:ascii="宋体" w:hAnsi="宋体"/>
          <w:snapToGrid w:val="0"/>
          <w:kern w:val="0"/>
          <w:highlight w:val="none"/>
        </w:rPr>
        <w:t xml:space="preserve">第二章  </w:t>
      </w:r>
      <w:r>
        <w:rPr>
          <w:rFonts w:hint="eastAsia" w:ascii="宋体" w:hAnsi="宋体"/>
          <w:snapToGrid w:val="0"/>
          <w:kern w:val="0"/>
          <w:highlight w:val="none"/>
          <w:lang w:eastAsia="zh-CN"/>
        </w:rPr>
        <w:t>竞选人</w:t>
      </w:r>
      <w:r>
        <w:rPr>
          <w:rFonts w:ascii="宋体" w:hAnsi="宋体"/>
          <w:snapToGrid w:val="0"/>
          <w:kern w:val="0"/>
          <w:highlight w:val="none"/>
        </w:rPr>
        <w:t>须知</w:t>
      </w:r>
      <w:bookmarkEnd w:id="88"/>
      <w:bookmarkEnd w:id="89"/>
      <w:bookmarkEnd w:id="90"/>
      <w:bookmarkEnd w:id="91"/>
      <w:bookmarkEnd w:id="92"/>
      <w:bookmarkEnd w:id="93"/>
      <w:bookmarkEnd w:id="94"/>
      <w:bookmarkStart w:id="95" w:name="_Toc277082551"/>
      <w:bookmarkStart w:id="96" w:name="_Toc430530433"/>
      <w:bookmarkStart w:id="97" w:name="_Toc224103316"/>
      <w:bookmarkStart w:id="98" w:name="_Toc287620684"/>
      <w:bookmarkStart w:id="99" w:name="_Toc287607745"/>
    </w:p>
    <w:p>
      <w:pPr>
        <w:pStyle w:val="4"/>
        <w:spacing w:before="100" w:after="100" w:line="360" w:lineRule="auto"/>
        <w:rPr>
          <w:rFonts w:ascii="宋体" w:hAnsi="宋体"/>
          <w:highlight w:val="none"/>
        </w:rPr>
      </w:pPr>
      <w:bookmarkStart w:id="100" w:name="_Toc509218708"/>
      <w:bookmarkStart w:id="101" w:name="_Toc8005"/>
      <w:bookmarkStart w:id="102" w:name="_Toc31303"/>
      <w:r>
        <w:rPr>
          <w:rFonts w:hint="eastAsia" w:ascii="宋体" w:hAnsi="宋体"/>
          <w:highlight w:val="none"/>
          <w:lang w:eastAsia="zh-CN"/>
        </w:rPr>
        <w:t>竞选人</w:t>
      </w:r>
      <w:r>
        <w:rPr>
          <w:rFonts w:hint="eastAsia" w:ascii="宋体" w:hAnsi="宋体"/>
          <w:highlight w:val="none"/>
        </w:rPr>
        <w:t>须知前附表</w:t>
      </w:r>
      <w:bookmarkEnd w:id="95"/>
      <w:bookmarkEnd w:id="96"/>
      <w:bookmarkEnd w:id="97"/>
      <w:bookmarkEnd w:id="98"/>
      <w:bookmarkEnd w:id="99"/>
      <w:bookmarkEnd w:id="100"/>
      <w:bookmarkEnd w:id="101"/>
      <w:bookmarkEnd w:id="102"/>
    </w:p>
    <w:p>
      <w:pPr>
        <w:spacing w:line="360" w:lineRule="auto"/>
        <w:ind w:firstLine="420" w:firstLineChars="200"/>
        <w:rPr>
          <w:rFonts w:ascii="宋体" w:hAnsi="宋体"/>
          <w:szCs w:val="21"/>
          <w:highlight w:val="none"/>
        </w:rPr>
      </w:pPr>
      <w:r>
        <w:rPr>
          <w:rFonts w:ascii="宋体" w:hAnsi="宋体"/>
          <w:szCs w:val="21"/>
          <w:highlight w:val="none"/>
        </w:rPr>
        <w:t>正文内容不允许修改。若</w:t>
      </w:r>
      <w:r>
        <w:rPr>
          <w:rFonts w:hint="eastAsia" w:ascii="宋体" w:hAnsi="宋体"/>
          <w:szCs w:val="21"/>
          <w:highlight w:val="none"/>
          <w:lang w:eastAsia="zh-CN"/>
        </w:rPr>
        <w:t>竞选人</w:t>
      </w:r>
      <w:r>
        <w:rPr>
          <w:rFonts w:ascii="宋体" w:hAnsi="宋体"/>
          <w:szCs w:val="21"/>
          <w:highlight w:val="none"/>
        </w:rPr>
        <w:t>须知前附表与正文不一致的地方，以</w:t>
      </w:r>
      <w:r>
        <w:rPr>
          <w:rFonts w:hint="eastAsia" w:ascii="宋体" w:hAnsi="宋体"/>
          <w:szCs w:val="21"/>
          <w:highlight w:val="none"/>
          <w:lang w:eastAsia="zh-CN"/>
        </w:rPr>
        <w:t>竞选人</w:t>
      </w:r>
      <w:r>
        <w:rPr>
          <w:rFonts w:ascii="宋体" w:hAnsi="宋体"/>
          <w:szCs w:val="21"/>
          <w:highlight w:val="none"/>
        </w:rPr>
        <w:t>须知前附表为准。</w:t>
      </w:r>
    </w:p>
    <w:tbl>
      <w:tblPr>
        <w:tblStyle w:val="46"/>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pPr>
              <w:snapToGrid w:val="0"/>
              <w:spacing w:line="400" w:lineRule="exact"/>
              <w:jc w:val="center"/>
              <w:rPr>
                <w:rFonts w:ascii="宋体" w:hAnsi="宋体"/>
                <w:b/>
                <w:kern w:val="0"/>
                <w:szCs w:val="21"/>
                <w:highlight w:val="none"/>
              </w:rPr>
            </w:pPr>
            <w:r>
              <w:rPr>
                <w:rFonts w:ascii="宋体" w:hAnsi="宋体"/>
                <w:b/>
                <w:kern w:val="0"/>
                <w:szCs w:val="21"/>
                <w:highlight w:val="none"/>
              </w:rPr>
              <w:t>条 款 号</w:t>
            </w:r>
          </w:p>
        </w:tc>
        <w:tc>
          <w:tcPr>
            <w:tcW w:w="1644" w:type="dxa"/>
            <w:vAlign w:val="center"/>
          </w:tcPr>
          <w:p>
            <w:pPr>
              <w:snapToGrid w:val="0"/>
              <w:spacing w:line="400" w:lineRule="exact"/>
              <w:jc w:val="center"/>
              <w:rPr>
                <w:rFonts w:ascii="宋体" w:hAnsi="宋体"/>
                <w:b/>
                <w:kern w:val="0"/>
                <w:szCs w:val="21"/>
                <w:highlight w:val="none"/>
              </w:rPr>
            </w:pPr>
            <w:r>
              <w:rPr>
                <w:rFonts w:ascii="宋体" w:hAnsi="宋体"/>
                <w:b/>
                <w:kern w:val="0"/>
                <w:szCs w:val="21"/>
                <w:highlight w:val="none"/>
              </w:rPr>
              <w:t>条款名称</w:t>
            </w:r>
          </w:p>
        </w:tc>
        <w:tc>
          <w:tcPr>
            <w:tcW w:w="6490" w:type="dxa"/>
            <w:vAlign w:val="center"/>
          </w:tcPr>
          <w:p>
            <w:pPr>
              <w:snapToGrid w:val="0"/>
              <w:spacing w:line="400" w:lineRule="exact"/>
              <w:jc w:val="center"/>
              <w:rPr>
                <w:rFonts w:ascii="宋体" w:hAnsi="宋体"/>
                <w:b/>
                <w:kern w:val="0"/>
                <w:szCs w:val="21"/>
                <w:highlight w:val="none"/>
              </w:rPr>
            </w:pPr>
            <w:r>
              <w:rPr>
                <w:rFonts w:ascii="宋体" w:hAnsi="宋体"/>
                <w:b/>
                <w:kern w:val="0"/>
                <w:szCs w:val="21"/>
                <w:highlight w:val="none"/>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1.1.2</w:t>
            </w:r>
          </w:p>
        </w:tc>
        <w:tc>
          <w:tcPr>
            <w:tcW w:w="1644" w:type="dxa"/>
            <w:vAlign w:val="center"/>
          </w:tcPr>
          <w:p>
            <w:pPr>
              <w:snapToGrid w:val="0"/>
              <w:spacing w:line="400" w:lineRule="exact"/>
              <w:jc w:val="center"/>
              <w:rPr>
                <w:rFonts w:hint="eastAsia" w:ascii="宋体" w:hAnsi="宋体" w:eastAsia="宋体"/>
                <w:kern w:val="0"/>
                <w:szCs w:val="21"/>
                <w:highlight w:val="none"/>
                <w:lang w:eastAsia="zh-CN"/>
              </w:rPr>
            </w:pPr>
            <w:r>
              <w:rPr>
                <w:rFonts w:hint="eastAsia" w:ascii="宋体" w:hAnsi="宋体"/>
                <w:kern w:val="0"/>
                <w:szCs w:val="21"/>
                <w:highlight w:val="none"/>
                <w:lang w:eastAsia="zh-CN"/>
              </w:rPr>
              <w:t>比选人</w:t>
            </w:r>
          </w:p>
        </w:tc>
        <w:tc>
          <w:tcPr>
            <w:tcW w:w="6490" w:type="dxa"/>
            <w:vAlign w:val="center"/>
          </w:tcPr>
          <w:p>
            <w:pPr>
              <w:spacing w:line="400" w:lineRule="exact"/>
              <w:ind w:firstLine="210" w:firstLineChars="1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名</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称</w:t>
            </w:r>
            <w:r>
              <w:rPr>
                <w:rFonts w:hint="eastAsia" w:ascii="宋体" w:hAnsi="宋体" w:eastAsia="宋体" w:cs="宋体"/>
                <w:color w:val="auto"/>
                <w:szCs w:val="21"/>
                <w:highlight w:val="none"/>
              </w:rPr>
              <w:t>：</w:t>
            </w:r>
            <w:r>
              <w:rPr>
                <w:rFonts w:hint="eastAsia" w:ascii="宋体" w:hAnsi="宋体"/>
                <w:color w:val="auto"/>
                <w:kern w:val="0"/>
                <w:szCs w:val="21"/>
                <w:highlight w:val="none"/>
                <w:u w:val="none"/>
                <w:lang w:eastAsia="zh-CN"/>
              </w:rPr>
              <w:t>重庆新汇商实业有限公司</w:t>
            </w:r>
          </w:p>
          <w:p>
            <w:pPr>
              <w:spacing w:line="4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址：重庆市南岸区江桥路一号附1号</w:t>
            </w:r>
          </w:p>
          <w:p>
            <w:pPr>
              <w:spacing w:line="4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联系人： </w:t>
            </w:r>
            <w:r>
              <w:rPr>
                <w:rFonts w:hint="eastAsia" w:ascii="宋体" w:hAnsi="宋体" w:cs="宋体"/>
                <w:color w:val="auto"/>
                <w:szCs w:val="21"/>
                <w:highlight w:val="none"/>
                <w:lang w:val="en-US" w:eastAsia="zh-CN"/>
              </w:rPr>
              <w:t>张</w:t>
            </w:r>
            <w:r>
              <w:rPr>
                <w:rFonts w:hint="eastAsia" w:ascii="宋体" w:hAnsi="宋体" w:eastAsia="宋体" w:cs="宋体"/>
                <w:color w:val="auto"/>
                <w:szCs w:val="21"/>
                <w:highlight w:val="none"/>
              </w:rPr>
              <w:t xml:space="preserve">老师 </w:t>
            </w:r>
          </w:p>
          <w:p>
            <w:pPr>
              <w:spacing w:line="4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话 ：</w:t>
            </w:r>
            <w:r>
              <w:rPr>
                <w:rFonts w:hint="eastAsia" w:ascii="宋体" w:hAnsi="宋体" w:cs="宋体"/>
                <w:color w:val="auto"/>
                <w:szCs w:val="21"/>
                <w:highlight w:val="none"/>
                <w:lang w:val="en-US" w:eastAsia="zh-CN"/>
              </w:rPr>
              <w:t>13883283726</w:t>
            </w:r>
            <w:r>
              <w:rPr>
                <w:rFonts w:hint="eastAsia" w:ascii="宋体" w:hAnsi="宋体" w:eastAsia="宋体" w:cs="宋体"/>
                <w:color w:val="auto"/>
                <w:szCs w:val="21"/>
                <w:highlight w:val="none"/>
              </w:rPr>
              <w:t xml:space="preserve"> </w:t>
            </w:r>
          </w:p>
          <w:p>
            <w:pPr>
              <w:pStyle w:val="2"/>
            </w:pPr>
            <w:r>
              <w:rPr>
                <w:rFonts w:hint="eastAsia"/>
                <w:lang w:val="en-US" w:eastAsia="zh-CN"/>
              </w:rPr>
              <w:t xml:space="preserve">  邮  箱：50417679@qq.com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1.1.4</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项目名称</w:t>
            </w:r>
          </w:p>
        </w:tc>
        <w:tc>
          <w:tcPr>
            <w:tcW w:w="6490" w:type="dxa"/>
            <w:vAlign w:val="center"/>
          </w:tcPr>
          <w:p>
            <w:pPr>
              <w:snapToGrid w:val="0"/>
              <w:spacing w:line="400" w:lineRule="exact"/>
              <w:ind w:firstLine="210" w:firstLineChars="100"/>
              <w:jc w:val="left"/>
              <w:rPr>
                <w:rFonts w:hint="default" w:ascii="宋体" w:hAnsi="宋体" w:eastAsia="宋体"/>
                <w:color w:val="auto"/>
                <w:szCs w:val="21"/>
                <w:highlight w:val="none"/>
                <w:lang w:val="en-US" w:eastAsia="zh-CN"/>
              </w:rPr>
            </w:pPr>
            <w:r>
              <w:rPr>
                <w:rFonts w:hint="default" w:ascii="宋体" w:hAnsi="宋体" w:eastAsia="宋体"/>
                <w:color w:val="auto"/>
                <w:szCs w:val="21"/>
                <w:highlight w:val="none"/>
                <w:lang w:val="en-US" w:eastAsia="zh-CN"/>
              </w:rPr>
              <w:t>迎龙医药城一期项目新增健康跑道施工</w:t>
            </w:r>
            <w:r>
              <w:rPr>
                <w:rFonts w:hint="eastAsia" w:ascii="宋体" w:hAnsi="宋体"/>
                <w:color w:val="auto"/>
                <w:szCs w:val="21"/>
                <w:highlight w:val="none"/>
                <w:lang w:val="en-US" w:eastAsia="zh-CN"/>
              </w:rPr>
              <w:t>（第二次）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1.1.5</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建设地点</w:t>
            </w:r>
          </w:p>
        </w:tc>
        <w:tc>
          <w:tcPr>
            <w:tcW w:w="6490" w:type="dxa"/>
            <w:vAlign w:val="center"/>
          </w:tcPr>
          <w:p>
            <w:pPr>
              <w:snapToGrid w:val="0"/>
              <w:spacing w:line="400" w:lineRule="exact"/>
              <w:ind w:firstLine="210" w:firstLineChars="100"/>
              <w:jc w:val="left"/>
              <w:rPr>
                <w:rFonts w:ascii="宋体" w:hAnsi="宋体"/>
                <w:color w:val="auto"/>
                <w:szCs w:val="21"/>
                <w:highlight w:val="none"/>
              </w:rPr>
            </w:pPr>
            <w:r>
              <w:rPr>
                <w:rFonts w:hint="eastAsia" w:ascii="宋体" w:hAnsi="宋体"/>
                <w:color w:val="auto"/>
                <w:szCs w:val="21"/>
                <w:highlight w:val="none"/>
                <w:lang w:val="en-US" w:eastAsia="zh-CN"/>
              </w:rPr>
              <w:t>经开区</w:t>
            </w:r>
            <w:r>
              <w:rPr>
                <w:rFonts w:hint="default" w:ascii="宋体" w:hAnsi="宋体" w:eastAsia="宋体"/>
                <w:color w:val="auto"/>
                <w:szCs w:val="21"/>
                <w:highlight w:val="none"/>
                <w:lang w:val="en-US" w:eastAsia="zh-CN"/>
              </w:rPr>
              <w:t>迎龙</w:t>
            </w:r>
            <w:r>
              <w:rPr>
                <w:rFonts w:hint="eastAsia" w:ascii="宋体" w:hAnsi="宋体"/>
                <w:color w:val="auto"/>
                <w:szCs w:val="21"/>
                <w:highlight w:val="none"/>
                <w:lang w:val="en-US" w:eastAsia="zh-CN"/>
              </w:rPr>
              <w:t>医药城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1.1.6</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建设规模</w:t>
            </w:r>
          </w:p>
        </w:tc>
        <w:tc>
          <w:tcPr>
            <w:tcW w:w="6490" w:type="dxa"/>
            <w:vAlign w:val="center"/>
          </w:tcPr>
          <w:p>
            <w:pPr>
              <w:tabs>
                <w:tab w:val="left" w:pos="3315"/>
                <w:tab w:val="left" w:pos="3390"/>
                <w:tab w:val="left" w:pos="6120"/>
                <w:tab w:val="left" w:pos="8850"/>
              </w:tabs>
              <w:autoSpaceDE w:val="0"/>
              <w:autoSpaceDN w:val="0"/>
              <w:adjustRightInd w:val="0"/>
              <w:snapToGrid w:val="0"/>
              <w:spacing w:line="460" w:lineRule="exact"/>
              <w:ind w:firstLine="420"/>
              <w:jc w:val="left"/>
              <w:rPr>
                <w:rFonts w:hint="default" w:ascii="宋体" w:hAnsi="宋体"/>
                <w:i/>
                <w:snapToGrid w:val="0"/>
                <w:color w:val="auto"/>
                <w:kern w:val="0"/>
                <w:szCs w:val="21"/>
                <w:highlight w:val="none"/>
                <w:lang w:val="en-US"/>
              </w:rPr>
            </w:pPr>
            <w:r>
              <w:rPr>
                <w:rFonts w:hint="eastAsia" w:ascii="宋体" w:hAnsi="宋体"/>
                <w:snapToGrid w:val="0"/>
                <w:color w:val="auto"/>
                <w:kern w:val="0"/>
                <w:szCs w:val="21"/>
                <w:highlight w:val="none"/>
                <w:u w:val="single"/>
                <w:lang w:val="en-US" w:eastAsia="zh-CN"/>
              </w:rPr>
              <w:t>重邮科技园市政道路北源路、星环路沿市政人行道增设户外健康跑道615米</w:t>
            </w:r>
            <w:r>
              <w:rPr>
                <w:rFonts w:hint="eastAsia" w:ascii="宋体" w:hAnsi="宋体"/>
                <w:snapToGrid w:val="0"/>
                <w:color w:val="auto"/>
                <w:kern w:val="0"/>
                <w:szCs w:val="21"/>
                <w:highlight w:val="none"/>
                <w:u w:val="single"/>
              </w:rPr>
              <w:t>。（详见</w:t>
            </w:r>
            <w:r>
              <w:rPr>
                <w:rFonts w:hint="eastAsia" w:ascii="宋体" w:hAnsi="宋体"/>
                <w:snapToGrid w:val="0"/>
                <w:color w:val="auto"/>
                <w:kern w:val="0"/>
                <w:szCs w:val="21"/>
                <w:highlight w:val="none"/>
                <w:u w:val="single"/>
                <w:lang w:val="en-US" w:eastAsia="zh-CN"/>
              </w:rPr>
              <w:t>工程量清单</w:t>
            </w:r>
            <w:r>
              <w:rPr>
                <w:rFonts w:hint="eastAsia" w:ascii="宋体" w:hAnsi="宋体"/>
                <w:snapToGrid w:val="0"/>
                <w:color w:val="auto"/>
                <w:kern w:val="0"/>
                <w:szCs w:val="21"/>
                <w:highlight w:val="none"/>
                <w:u w:val="singl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1.2.1</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资金来源</w:t>
            </w:r>
          </w:p>
        </w:tc>
        <w:tc>
          <w:tcPr>
            <w:tcW w:w="6490" w:type="dxa"/>
            <w:vAlign w:val="center"/>
          </w:tcPr>
          <w:p>
            <w:pPr>
              <w:snapToGrid w:val="0"/>
              <w:spacing w:line="400" w:lineRule="exact"/>
              <w:ind w:firstLine="210" w:firstLineChars="100"/>
              <w:rPr>
                <w:rFonts w:ascii="宋体" w:hAnsi="宋体"/>
                <w:color w:val="auto"/>
                <w:szCs w:val="21"/>
                <w:highlight w:val="none"/>
              </w:rPr>
            </w:pPr>
            <w:r>
              <w:rPr>
                <w:rFonts w:hint="eastAsia" w:ascii="宋体" w:hAnsi="宋体"/>
                <w:snapToGrid w:val="0"/>
                <w:color w:val="auto"/>
                <w:kern w:val="0"/>
                <w:szCs w:val="21"/>
                <w:highlight w:val="none"/>
                <w:u w:val="single"/>
                <w:lang w:val="en-US" w:eastAsia="zh-CN"/>
              </w:rPr>
              <w:t>业主自筹</w:t>
            </w:r>
            <w:r>
              <w:rPr>
                <w:rFonts w:hint="eastAsia" w:ascii="宋体" w:hAnsi="宋体"/>
                <w:snapToGrid w:val="0"/>
                <w:color w:val="auto"/>
                <w:kern w:val="0"/>
                <w:szCs w:val="21"/>
                <w:highlight w:val="none"/>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1.2.2</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出资比例</w:t>
            </w:r>
          </w:p>
        </w:tc>
        <w:tc>
          <w:tcPr>
            <w:tcW w:w="6490" w:type="dxa"/>
            <w:vAlign w:val="center"/>
          </w:tcPr>
          <w:p>
            <w:pPr>
              <w:snapToGrid w:val="0"/>
              <w:spacing w:line="400" w:lineRule="exact"/>
              <w:ind w:firstLine="210" w:firstLineChars="100"/>
              <w:jc w:val="left"/>
              <w:rPr>
                <w:rFonts w:ascii="宋体" w:hAnsi="宋体"/>
                <w:color w:val="auto"/>
                <w:szCs w:val="21"/>
                <w:highlight w:val="none"/>
              </w:rPr>
            </w:pPr>
            <w:r>
              <w:rPr>
                <w:rFonts w:hint="eastAsia" w:ascii="宋体" w:hAnsi="宋体"/>
                <w:color w:val="auto"/>
                <w:szCs w:val="21"/>
                <w:highlight w:val="none"/>
                <w:u w:val="single"/>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1.2.3</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资金落实情况</w:t>
            </w:r>
          </w:p>
        </w:tc>
        <w:tc>
          <w:tcPr>
            <w:tcW w:w="6490" w:type="dxa"/>
            <w:vAlign w:val="center"/>
          </w:tcPr>
          <w:p>
            <w:pPr>
              <w:snapToGrid w:val="0"/>
              <w:spacing w:line="400" w:lineRule="exact"/>
              <w:ind w:firstLine="210" w:firstLineChars="100"/>
              <w:jc w:val="left"/>
              <w:rPr>
                <w:rFonts w:ascii="宋体" w:hAnsi="宋体"/>
                <w:color w:val="auto"/>
                <w:szCs w:val="21"/>
                <w:highlight w:val="none"/>
              </w:rPr>
            </w:pPr>
            <w:r>
              <w:rPr>
                <w:rFonts w:hint="eastAsia" w:ascii="宋体" w:hAnsi="宋体"/>
                <w:color w:val="auto"/>
                <w:szCs w:val="21"/>
                <w:highlight w:val="none"/>
                <w:u w:val="single"/>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hint="eastAsia" w:ascii="宋体" w:hAnsi="宋体"/>
                <w:kern w:val="0"/>
                <w:szCs w:val="21"/>
                <w:highlight w:val="none"/>
              </w:rPr>
              <w:t>1.3.1</w:t>
            </w:r>
          </w:p>
        </w:tc>
        <w:tc>
          <w:tcPr>
            <w:tcW w:w="1644" w:type="dxa"/>
            <w:vAlign w:val="center"/>
          </w:tcPr>
          <w:p>
            <w:pPr>
              <w:snapToGrid w:val="0"/>
              <w:spacing w:line="400" w:lineRule="exact"/>
              <w:jc w:val="center"/>
              <w:rPr>
                <w:rFonts w:ascii="宋体" w:hAnsi="宋体"/>
                <w:kern w:val="0"/>
                <w:szCs w:val="21"/>
                <w:highlight w:val="none"/>
              </w:rPr>
            </w:pPr>
            <w:r>
              <w:rPr>
                <w:rFonts w:hint="eastAsia" w:ascii="宋体" w:hAnsi="宋体"/>
                <w:kern w:val="0"/>
                <w:szCs w:val="21"/>
                <w:highlight w:val="none"/>
                <w:lang w:val="en-US" w:eastAsia="zh-CN"/>
              </w:rPr>
              <w:t>比选</w:t>
            </w:r>
            <w:r>
              <w:rPr>
                <w:rFonts w:ascii="宋体" w:hAnsi="宋体"/>
                <w:kern w:val="0"/>
                <w:szCs w:val="21"/>
                <w:highlight w:val="none"/>
              </w:rPr>
              <w:t>范围</w:t>
            </w:r>
          </w:p>
        </w:tc>
        <w:tc>
          <w:tcPr>
            <w:tcW w:w="6490" w:type="dxa"/>
            <w:vAlign w:val="center"/>
          </w:tcPr>
          <w:p>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i/>
                <w:color w:val="auto"/>
                <w:szCs w:val="21"/>
                <w:highlight w:val="none"/>
              </w:rPr>
            </w:pPr>
            <w:r>
              <w:rPr>
                <w:rFonts w:hint="eastAsia" w:ascii="宋体" w:hAnsi="宋体"/>
                <w:snapToGrid w:val="0"/>
                <w:color w:val="auto"/>
                <w:kern w:val="0"/>
                <w:szCs w:val="21"/>
                <w:highlight w:val="none"/>
                <w:u w:val="single"/>
                <w:lang w:val="en-US" w:eastAsia="zh-CN"/>
              </w:rPr>
              <w:t>重邮科技园市政道路北源路、星环路沿市政人行道增设户外健康跑道615米</w:t>
            </w:r>
            <w:r>
              <w:rPr>
                <w:rFonts w:hint="eastAsia" w:ascii="宋体" w:hAnsi="宋体"/>
                <w:snapToGrid w:val="0"/>
                <w:color w:val="auto"/>
                <w:kern w:val="0"/>
                <w:szCs w:val="21"/>
                <w:highlight w:val="none"/>
                <w:u w:val="single"/>
              </w:rPr>
              <w:t>。（详见</w:t>
            </w:r>
            <w:r>
              <w:rPr>
                <w:rFonts w:hint="eastAsia" w:ascii="宋体" w:hAnsi="宋体"/>
                <w:snapToGrid w:val="0"/>
                <w:color w:val="auto"/>
                <w:kern w:val="0"/>
                <w:szCs w:val="21"/>
                <w:highlight w:val="none"/>
                <w:u w:val="single"/>
                <w:lang w:val="en-US" w:eastAsia="zh-CN"/>
              </w:rPr>
              <w:t>工程量清单</w:t>
            </w:r>
            <w:r>
              <w:rPr>
                <w:rFonts w:hint="eastAsia" w:ascii="宋体" w:hAnsi="宋体"/>
                <w:snapToGrid w:val="0"/>
                <w:color w:val="auto"/>
                <w:kern w:val="0"/>
                <w:szCs w:val="21"/>
                <w:highlight w:val="none"/>
                <w:u w:val="singl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1.3.2</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计划工期</w:t>
            </w:r>
          </w:p>
          <w:p>
            <w:pPr>
              <w:snapToGrid w:val="0"/>
              <w:spacing w:line="400" w:lineRule="exact"/>
              <w:jc w:val="center"/>
              <w:rPr>
                <w:rFonts w:ascii="宋体" w:hAnsi="宋体"/>
                <w:kern w:val="0"/>
                <w:szCs w:val="21"/>
                <w:highlight w:val="none"/>
              </w:rPr>
            </w:pPr>
            <w:r>
              <w:rPr>
                <w:rFonts w:hint="eastAsia" w:ascii="宋体" w:hAnsi="宋体"/>
                <w:kern w:val="0"/>
                <w:szCs w:val="21"/>
                <w:highlight w:val="none"/>
              </w:rPr>
              <w:t>缺陷责任期</w:t>
            </w:r>
          </w:p>
        </w:tc>
        <w:tc>
          <w:tcPr>
            <w:tcW w:w="6490" w:type="dxa"/>
            <w:vAlign w:val="center"/>
          </w:tcPr>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u w:val="single"/>
                <w:lang w:eastAsia="zh-CN"/>
              </w:rPr>
            </w:pPr>
            <w:r>
              <w:rPr>
                <w:rFonts w:hint="eastAsia" w:ascii="宋体" w:hAnsi="宋体"/>
                <w:snapToGrid w:val="0"/>
                <w:color w:val="auto"/>
                <w:kern w:val="0"/>
                <w:szCs w:val="21"/>
                <w:highlight w:val="none"/>
                <w:u w:val="single"/>
                <w:lang w:val="en-US" w:eastAsia="zh-CN"/>
              </w:rPr>
              <w:t>50日历天（从中标通知书发出之日起算，2024年7月10日前完工）。（未按时完工的承担违约金2000元/天，比选人同意延期的，以双方确定的延期时间为准）</w:t>
            </w:r>
            <w:r>
              <w:rPr>
                <w:rFonts w:hint="eastAsia" w:ascii="宋体" w:hAnsi="宋体"/>
                <w:snapToGrid w:val="0"/>
                <w:color w:val="auto"/>
                <w:kern w:val="0"/>
                <w:szCs w:val="21"/>
                <w:highlight w:val="none"/>
                <w:u w:val="single"/>
                <w:lang w:eastAsia="zh-CN"/>
              </w:rPr>
              <w:t>。</w:t>
            </w:r>
          </w:p>
          <w:p>
            <w:pPr>
              <w:tabs>
                <w:tab w:val="left" w:pos="3840"/>
                <w:tab w:val="left" w:pos="5300"/>
              </w:tabs>
              <w:autoSpaceDE w:val="0"/>
              <w:autoSpaceDN w:val="0"/>
              <w:adjustRightInd w:val="0"/>
              <w:snapToGrid w:val="0"/>
              <w:spacing w:line="460" w:lineRule="exact"/>
              <w:ind w:firstLine="420" w:firstLineChars="200"/>
              <w:jc w:val="left"/>
              <w:rPr>
                <w:rFonts w:ascii="宋体" w:hAnsi="宋体"/>
                <w:color w:val="auto"/>
                <w:kern w:val="0"/>
                <w:szCs w:val="21"/>
                <w:highlight w:val="none"/>
              </w:rPr>
            </w:pPr>
            <w:r>
              <w:rPr>
                <w:rFonts w:hint="eastAsia" w:ascii="宋体" w:hAnsi="宋体"/>
                <w:snapToGrid w:val="0"/>
                <w:color w:val="auto"/>
                <w:kern w:val="0"/>
                <w:szCs w:val="21"/>
              </w:rPr>
              <w:t>缺陷责任期要求：</w:t>
            </w:r>
            <w:r>
              <w:rPr>
                <w:rFonts w:hint="eastAsia" w:ascii="宋体" w:hAnsi="宋体"/>
                <w:snapToGrid w:val="0"/>
                <w:color w:val="auto"/>
                <w:kern w:val="0"/>
                <w:szCs w:val="21"/>
                <w:u w:val="single"/>
                <w:lang w:val="en-US" w:eastAsia="zh-CN"/>
              </w:rPr>
              <w:t xml:space="preserve">2年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1.3.3</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质量要求</w:t>
            </w:r>
          </w:p>
        </w:tc>
        <w:tc>
          <w:tcPr>
            <w:tcW w:w="6490" w:type="dxa"/>
            <w:vAlign w:val="center"/>
          </w:tcPr>
          <w:p>
            <w:pPr>
              <w:snapToGrid w:val="0"/>
              <w:spacing w:line="400" w:lineRule="exact"/>
              <w:ind w:firstLine="420" w:firstLineChars="200"/>
              <w:rPr>
                <w:rFonts w:ascii="宋体" w:hAnsi="宋体"/>
                <w:szCs w:val="21"/>
                <w:highlight w:val="none"/>
              </w:rPr>
            </w:pPr>
            <w:r>
              <w:rPr>
                <w:rFonts w:hint="eastAsia" w:ascii="宋体" w:hAnsi="宋体"/>
                <w:szCs w:val="21"/>
                <w:highlight w:val="none"/>
              </w:rPr>
              <w:t>符合强制性质量标准，</w:t>
            </w:r>
            <w:r>
              <w:rPr>
                <w:rFonts w:hint="eastAsia" w:ascii="宋体" w:hAnsi="宋体"/>
                <w:szCs w:val="21"/>
                <w:highlight w:val="none"/>
                <w:u w:val="single"/>
              </w:rPr>
              <w:t>符合</w:t>
            </w:r>
            <w:r>
              <w:rPr>
                <w:rFonts w:ascii="宋体" w:hAnsi="宋体"/>
                <w:szCs w:val="21"/>
                <w:highlight w:val="none"/>
                <w:u w:val="single"/>
              </w:rPr>
              <w:t>国家和重庆市现行有关施工质量验收规范要求，并达到合格标准</w:t>
            </w:r>
            <w:r>
              <w:rPr>
                <w:rFonts w:ascii="宋体" w:hAnsi="宋体"/>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335" w:type="dxa"/>
            <w:vAlign w:val="center"/>
          </w:tcPr>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r>
              <w:rPr>
                <w:rFonts w:ascii="宋体" w:hAnsi="宋体"/>
                <w:kern w:val="0"/>
                <w:szCs w:val="21"/>
                <w:highlight w:val="none"/>
              </w:rPr>
              <w:t>1.4.1</w:t>
            </w: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r>
              <w:rPr>
                <w:rFonts w:ascii="宋体" w:hAnsi="宋体"/>
                <w:kern w:val="0"/>
                <w:szCs w:val="21"/>
                <w:highlight w:val="none"/>
              </w:rPr>
              <w:t>1.4.1</w:t>
            </w: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both"/>
              <w:rPr>
                <w:rFonts w:ascii="宋体" w:hAnsi="宋体"/>
                <w:kern w:val="0"/>
                <w:szCs w:val="21"/>
                <w:highlight w:val="none"/>
              </w:rPr>
            </w:pPr>
          </w:p>
        </w:tc>
        <w:tc>
          <w:tcPr>
            <w:tcW w:w="1644" w:type="dxa"/>
            <w:vAlign w:val="center"/>
          </w:tcPr>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r>
              <w:rPr>
                <w:rFonts w:hint="eastAsia" w:ascii="宋体" w:hAnsi="宋体"/>
                <w:kern w:val="0"/>
                <w:szCs w:val="21"/>
                <w:highlight w:val="none"/>
                <w:lang w:eastAsia="zh-CN"/>
              </w:rPr>
              <w:t>竞选人</w:t>
            </w:r>
            <w:r>
              <w:rPr>
                <w:rFonts w:ascii="宋体" w:hAnsi="宋体"/>
                <w:kern w:val="0"/>
                <w:szCs w:val="21"/>
                <w:highlight w:val="none"/>
              </w:rPr>
              <w:t>资质条件、能力和信誉</w:t>
            </w: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r>
              <w:rPr>
                <w:rFonts w:hint="eastAsia" w:ascii="宋体" w:hAnsi="宋体"/>
                <w:kern w:val="0"/>
                <w:szCs w:val="21"/>
                <w:highlight w:val="none"/>
                <w:lang w:eastAsia="zh-CN"/>
              </w:rPr>
              <w:t>竞选人</w:t>
            </w:r>
            <w:r>
              <w:rPr>
                <w:rFonts w:ascii="宋体" w:hAnsi="宋体"/>
                <w:kern w:val="0"/>
                <w:szCs w:val="21"/>
                <w:highlight w:val="none"/>
              </w:rPr>
              <w:t>资质条件、能力和信誉</w:t>
            </w:r>
          </w:p>
          <w:p>
            <w:pPr>
              <w:snapToGrid w:val="0"/>
              <w:spacing w:line="400" w:lineRule="exact"/>
              <w:jc w:val="center"/>
              <w:rPr>
                <w:rFonts w:ascii="宋体" w:hAnsi="宋体"/>
                <w:kern w:val="0"/>
                <w:szCs w:val="21"/>
                <w:highlight w:val="none"/>
              </w:rPr>
            </w:pPr>
          </w:p>
          <w:p>
            <w:pPr>
              <w:snapToGrid w:val="0"/>
              <w:spacing w:line="400" w:lineRule="exact"/>
              <w:jc w:val="both"/>
              <w:rPr>
                <w:rFonts w:ascii="宋体" w:hAnsi="宋体"/>
                <w:kern w:val="0"/>
                <w:szCs w:val="21"/>
                <w:highlight w:val="none"/>
              </w:rPr>
            </w:pPr>
          </w:p>
        </w:tc>
        <w:tc>
          <w:tcPr>
            <w:tcW w:w="6490" w:type="dxa"/>
            <w:vAlign w:val="center"/>
          </w:tcPr>
          <w:p>
            <w:pPr>
              <w:autoSpaceDE w:val="0"/>
              <w:autoSpaceDN w:val="0"/>
              <w:adjustRightInd w:val="0"/>
              <w:snapToGrid w:val="0"/>
              <w:spacing w:line="400" w:lineRule="exact"/>
              <w:rPr>
                <w:rFonts w:ascii="宋体" w:hAnsi="宋体"/>
                <w:szCs w:val="21"/>
                <w:highlight w:val="none"/>
              </w:rPr>
            </w:pPr>
            <w:bookmarkStart w:id="103" w:name="OLE_LINK1"/>
            <w:r>
              <w:rPr>
                <w:rFonts w:ascii="宋体" w:hAnsi="宋体"/>
                <w:szCs w:val="21"/>
                <w:highlight w:val="none"/>
              </w:rPr>
              <w:t>本工程施工招标实行资格后审，</w:t>
            </w:r>
            <w:r>
              <w:rPr>
                <w:rFonts w:hint="eastAsia" w:ascii="宋体" w:hAnsi="宋体"/>
                <w:szCs w:val="21"/>
                <w:highlight w:val="none"/>
                <w:lang w:eastAsia="zh-CN"/>
              </w:rPr>
              <w:t>竞选人</w:t>
            </w:r>
            <w:r>
              <w:rPr>
                <w:rFonts w:ascii="宋体" w:hAnsi="宋体"/>
                <w:szCs w:val="21"/>
                <w:highlight w:val="none"/>
              </w:rPr>
              <w:t>应</w:t>
            </w:r>
            <w:bookmarkStart w:id="104" w:name="一是"/>
            <w:bookmarkEnd w:id="104"/>
            <w:r>
              <w:rPr>
                <w:rFonts w:ascii="宋体" w:hAnsi="宋体"/>
                <w:szCs w:val="21"/>
                <w:highlight w:val="none"/>
              </w:rPr>
              <w:t>具备以下资格条件：</w:t>
            </w:r>
          </w:p>
          <w:bookmarkEnd w:id="103"/>
          <w:p>
            <w:pPr>
              <w:autoSpaceDE w:val="0"/>
              <w:autoSpaceDN w:val="0"/>
              <w:adjustRightInd w:val="0"/>
              <w:snapToGrid w:val="0"/>
              <w:spacing w:line="400" w:lineRule="exact"/>
              <w:ind w:firstLine="422" w:firstLineChars="200"/>
              <w:rPr>
                <w:rFonts w:ascii="宋体" w:hAnsi="宋体"/>
                <w:b/>
                <w:szCs w:val="21"/>
                <w:highlight w:val="none"/>
              </w:rPr>
            </w:pPr>
            <w:r>
              <w:rPr>
                <w:rFonts w:ascii="宋体" w:hAnsi="宋体"/>
                <w:b/>
                <w:szCs w:val="21"/>
                <w:highlight w:val="none"/>
              </w:rPr>
              <w:t>1.资质条件、营业执照及安全生产条件</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（1）具备建设行政主管部门颁发的有效的</w:t>
            </w:r>
            <w:r>
              <w:rPr>
                <w:rFonts w:hint="eastAsia" w:ascii="宋体" w:hAnsi="宋体"/>
                <w:color w:val="auto"/>
                <w:szCs w:val="21"/>
                <w:highlight w:val="none"/>
                <w:lang w:val="en-US" w:eastAsia="zh-CN"/>
              </w:rPr>
              <w:t>市政公用工程</w:t>
            </w:r>
            <w:r>
              <w:rPr>
                <w:rFonts w:hint="eastAsia" w:ascii="宋体" w:hAnsi="宋体"/>
                <w:color w:val="auto"/>
                <w:szCs w:val="21"/>
                <w:highlight w:val="none"/>
              </w:rPr>
              <w:t>施工总承包三级及以上资质</w:t>
            </w:r>
            <w:r>
              <w:rPr>
                <w:rFonts w:ascii="宋体" w:hAnsi="宋体" w:eastAsia="宋体" w:cs="宋体"/>
                <w:sz w:val="21"/>
                <w:szCs w:val="21"/>
              </w:rPr>
              <w:t>。</w:t>
            </w:r>
          </w:p>
          <w:p>
            <w:pPr>
              <w:spacing w:line="360" w:lineRule="auto"/>
              <w:ind w:firstLine="316" w:firstLineChars="150"/>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(投标人须在投标文件资格审查部分提供有效的带二维码标识的资质证书复印件)。</w:t>
            </w:r>
          </w:p>
          <w:p>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rPr>
              <w:t>）具备有效的营业执照。</w:t>
            </w:r>
          </w:p>
          <w:p>
            <w:pPr>
              <w:spacing w:line="360" w:lineRule="auto"/>
              <w:ind w:firstLine="316"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(投标人须在投标文件资格审查部分提供有效的带二维码标识的营业执照复印件)。</w:t>
            </w:r>
          </w:p>
          <w:p>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（3）具备建设行政主管部门颁发的有效的安全生产许可证，企业主要负责人、拟担任该项目项目经理具备相应的由建设行政主管部门颁发的有效的安全生产考核合格证书。</w:t>
            </w:r>
          </w:p>
          <w:p>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bCs/>
                <w:sz w:val="21"/>
                <w:szCs w:val="21"/>
              </w:rPr>
              <w:t>(投标人须在投标文件资格审查部分提供有效的安全生产许可证及安全生产考核合格证书复印件)</w:t>
            </w:r>
          </w:p>
          <w:p>
            <w:pPr>
              <w:spacing w:line="360" w:lineRule="auto"/>
              <w:ind w:firstLine="316" w:firstLineChars="150"/>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2.类似业绩</w:t>
            </w:r>
          </w:p>
          <w:p>
            <w:pPr>
              <w:autoSpaceDE w:val="0"/>
              <w:autoSpaceDN w:val="0"/>
              <w:adjustRightInd w:val="0"/>
              <w:snapToGrid w:val="0"/>
              <w:spacing w:line="400" w:lineRule="exact"/>
              <w:ind w:firstLine="420" w:firstLineChars="200"/>
              <w:rPr>
                <w:rFonts w:ascii="宋体" w:hAnsi="宋体"/>
                <w:strike w:val="0"/>
                <w:dstrike w:val="0"/>
                <w:color w:val="auto"/>
                <w:kern w:val="0"/>
                <w:szCs w:val="21"/>
                <w:highlight w:val="none"/>
              </w:rPr>
            </w:pPr>
            <w:r>
              <w:rPr>
                <w:rFonts w:hint="eastAsia" w:ascii="宋体" w:hAnsi="宋体"/>
                <w:strike w:val="0"/>
                <w:dstrike w:val="0"/>
                <w:color w:val="auto"/>
                <w:kern w:val="0"/>
                <w:szCs w:val="21"/>
                <w:highlight w:val="none"/>
                <w:lang w:val="en-US" w:eastAsia="zh-CN"/>
              </w:rPr>
              <w:t>2.1</w:t>
            </w:r>
            <w:r>
              <w:rPr>
                <w:rFonts w:hint="eastAsia" w:ascii="宋体" w:hAnsi="宋体"/>
                <w:strike w:val="0"/>
                <w:dstrike w:val="0"/>
                <w:color w:val="auto"/>
                <w:kern w:val="0"/>
                <w:szCs w:val="21"/>
                <w:highlight w:val="none"/>
              </w:rPr>
              <w:t>业绩时间要求：</w:t>
            </w:r>
          </w:p>
          <w:p>
            <w:pPr>
              <w:spacing w:line="360" w:lineRule="auto"/>
              <w:ind w:firstLine="315" w:firstLineChars="150"/>
              <w:rPr>
                <w:rFonts w:hint="eastAsia" w:ascii="宋体" w:hAnsi="宋体"/>
                <w:strike w:val="0"/>
                <w:dstrike w:val="0"/>
                <w:color w:val="auto"/>
                <w:szCs w:val="21"/>
                <w:highlight w:val="none"/>
              </w:rPr>
            </w:pPr>
            <w:r>
              <w:rPr>
                <w:rFonts w:hint="eastAsia" w:asciiTheme="minorEastAsia" w:hAnsiTheme="minorEastAsia" w:eastAsiaTheme="minorEastAsia" w:cstheme="minorEastAsia"/>
                <w:sz w:val="21"/>
                <w:szCs w:val="21"/>
              </w:rPr>
              <w:t>202</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年1月1日至</w:t>
            </w:r>
            <w:r>
              <w:rPr>
                <w:rFonts w:hint="eastAsia" w:ascii="宋体" w:hAnsi="宋体"/>
                <w:strike w:val="0"/>
                <w:dstrike w:val="0"/>
                <w:color w:val="auto"/>
                <w:szCs w:val="21"/>
                <w:highlight w:val="none"/>
              </w:rPr>
              <w:t>投标截止日止（以竣工时间为准）</w:t>
            </w:r>
            <w:r>
              <w:rPr>
                <w:rFonts w:hint="eastAsia" w:ascii="宋体" w:hAnsi="宋体"/>
                <w:strike w:val="0"/>
                <w:dstrike w:val="0"/>
                <w:color w:val="auto"/>
                <w:szCs w:val="21"/>
                <w:highlight w:val="none"/>
                <w:lang w:val="en-US" w:eastAsia="zh-CN"/>
              </w:rPr>
              <w:t>完成</w:t>
            </w:r>
            <w:r>
              <w:rPr>
                <w:rFonts w:hint="eastAsia" w:ascii="宋体" w:hAnsi="宋体"/>
                <w:strike w:val="0"/>
                <w:dstrike w:val="0"/>
                <w:color w:val="auto"/>
                <w:szCs w:val="21"/>
                <w:highlight w:val="none"/>
              </w:rPr>
              <w:t>的</w:t>
            </w:r>
            <w:r>
              <w:rPr>
                <w:rFonts w:hint="eastAsia" w:ascii="宋体" w:hAnsi="宋体"/>
                <w:strike w:val="0"/>
                <w:dstrike w:val="0"/>
                <w:color w:val="auto"/>
                <w:szCs w:val="21"/>
                <w:highlight w:val="none"/>
                <w:lang w:val="en-US" w:eastAsia="zh-CN"/>
              </w:rPr>
              <w:t>3</w:t>
            </w:r>
            <w:r>
              <w:rPr>
                <w:rFonts w:hint="eastAsia" w:ascii="宋体" w:hAnsi="宋体"/>
                <w:strike w:val="0"/>
                <w:dstrike w:val="0"/>
                <w:color w:val="auto"/>
                <w:szCs w:val="21"/>
                <w:highlight w:val="none"/>
              </w:rPr>
              <w:t>个类似项目业绩。</w:t>
            </w:r>
          </w:p>
          <w:p>
            <w:pPr>
              <w:autoSpaceDE w:val="0"/>
              <w:autoSpaceDN w:val="0"/>
              <w:adjustRightInd w:val="0"/>
              <w:snapToGrid w:val="0"/>
              <w:spacing w:line="400" w:lineRule="exact"/>
              <w:ind w:firstLine="420" w:firstLineChars="200"/>
              <w:rPr>
                <w:rFonts w:ascii="宋体" w:hAnsi="宋体"/>
                <w:strike w:val="0"/>
                <w:dstrike w:val="0"/>
                <w:color w:val="auto"/>
                <w:szCs w:val="21"/>
                <w:highlight w:val="none"/>
              </w:rPr>
            </w:pPr>
            <w:r>
              <w:rPr>
                <w:rFonts w:hint="eastAsia" w:ascii="宋体" w:hAnsi="宋体"/>
                <w:strike w:val="0"/>
                <w:dstrike w:val="0"/>
                <w:color w:val="auto"/>
                <w:szCs w:val="21"/>
                <w:highlight w:val="none"/>
                <w:lang w:val="en-US" w:eastAsia="zh-CN"/>
              </w:rPr>
              <w:t>2</w:t>
            </w:r>
            <w:r>
              <w:rPr>
                <w:rFonts w:hint="eastAsia" w:ascii="宋体" w:hAnsi="宋体"/>
                <w:strike w:val="0"/>
                <w:dstrike w:val="0"/>
                <w:color w:val="auto"/>
                <w:szCs w:val="21"/>
                <w:highlight w:val="none"/>
              </w:rPr>
              <w:t>.2业绩规模要求：</w:t>
            </w:r>
          </w:p>
          <w:p>
            <w:pPr>
              <w:autoSpaceDE w:val="0"/>
              <w:autoSpaceDN w:val="0"/>
              <w:adjustRightInd w:val="0"/>
              <w:snapToGrid w:val="0"/>
              <w:spacing w:line="400" w:lineRule="exact"/>
              <w:ind w:firstLine="420" w:firstLineChars="200"/>
              <w:rPr>
                <w:rFonts w:ascii="宋体" w:hAnsi="宋体"/>
                <w:strike w:val="0"/>
                <w:dstrike w:val="0"/>
                <w:color w:val="auto"/>
                <w:szCs w:val="21"/>
                <w:highlight w:val="none"/>
                <w:u w:val="single"/>
              </w:rPr>
            </w:pPr>
            <w:r>
              <w:rPr>
                <w:rFonts w:hint="eastAsia" w:ascii="宋体" w:hAnsi="宋体"/>
                <w:strike w:val="0"/>
                <w:dstrike w:val="0"/>
                <w:color w:val="auto"/>
                <w:szCs w:val="21"/>
                <w:highlight w:val="none"/>
              </w:rPr>
              <w:t>工程类别：</w:t>
            </w:r>
            <w:r>
              <w:rPr>
                <w:rFonts w:hint="eastAsia" w:ascii="宋体" w:hAnsi="宋体"/>
                <w:strike w:val="0"/>
                <w:dstrike w:val="0"/>
                <w:color w:val="auto"/>
                <w:szCs w:val="21"/>
                <w:highlight w:val="none"/>
                <w:u w:val="single"/>
                <w:lang w:val="en-US" w:eastAsia="zh-CN"/>
              </w:rPr>
              <w:t>园林景观或人行道工程</w:t>
            </w:r>
            <w:r>
              <w:rPr>
                <w:rFonts w:hint="eastAsia" w:ascii="宋体" w:hAnsi="宋体"/>
                <w:strike w:val="0"/>
                <w:dstrike w:val="0"/>
                <w:color w:val="auto"/>
                <w:szCs w:val="21"/>
                <w:highlight w:val="none"/>
                <w:u w:val="single"/>
              </w:rPr>
              <w:t xml:space="preserve"> </w:t>
            </w:r>
          </w:p>
          <w:p>
            <w:pPr>
              <w:autoSpaceDE w:val="0"/>
              <w:autoSpaceDN w:val="0"/>
              <w:adjustRightInd w:val="0"/>
              <w:snapToGrid w:val="0"/>
              <w:spacing w:line="400" w:lineRule="exact"/>
              <w:ind w:firstLine="420" w:firstLineChars="200"/>
              <w:rPr>
                <w:rFonts w:ascii="宋体" w:hAnsi="宋体"/>
                <w:strike w:val="0"/>
                <w:dstrike w:val="0"/>
                <w:color w:val="auto"/>
                <w:szCs w:val="21"/>
                <w:highlight w:val="none"/>
              </w:rPr>
            </w:pPr>
            <w:r>
              <w:rPr>
                <w:rFonts w:hint="eastAsia" w:ascii="宋体" w:hAnsi="宋体"/>
                <w:strike w:val="0"/>
                <w:dstrike w:val="0"/>
                <w:color w:val="auto"/>
                <w:szCs w:val="21"/>
                <w:highlight w:val="none"/>
              </w:rPr>
              <w:t>若同时设置了工程造价和工程规模要求，则只须满足其中之一:</w:t>
            </w:r>
          </w:p>
          <w:p>
            <w:pPr>
              <w:autoSpaceDE w:val="0"/>
              <w:autoSpaceDN w:val="0"/>
              <w:adjustRightInd w:val="0"/>
              <w:snapToGrid w:val="0"/>
              <w:spacing w:line="400" w:lineRule="exact"/>
              <w:ind w:firstLine="420" w:firstLineChars="200"/>
              <w:rPr>
                <w:rFonts w:hint="eastAsia"/>
              </w:rPr>
            </w:pPr>
            <w:r>
              <w:rPr>
                <w:rFonts w:hint="eastAsia" w:ascii="宋体" w:hAnsi="宋体"/>
                <w:strike w:val="0"/>
                <w:dstrike w:val="0"/>
                <w:color w:val="auto"/>
                <w:szCs w:val="21"/>
                <w:highlight w:val="none"/>
                <w:lang w:eastAsia="zh-CN"/>
              </w:rPr>
              <w:t>☑</w:t>
            </w:r>
            <w:r>
              <w:rPr>
                <w:rFonts w:hint="eastAsia" w:ascii="宋体" w:hAnsi="宋体"/>
                <w:strike w:val="0"/>
                <w:dstrike w:val="0"/>
                <w:color w:val="auto"/>
                <w:szCs w:val="21"/>
                <w:highlight w:val="none"/>
              </w:rPr>
              <w:t>工程造价：</w:t>
            </w:r>
            <w:r>
              <w:rPr>
                <w:rFonts w:hint="eastAsia" w:ascii="宋体" w:hAnsi="宋体"/>
                <w:strike w:val="0"/>
                <w:dstrike w:val="0"/>
                <w:color w:val="auto"/>
                <w:szCs w:val="21"/>
                <w:highlight w:val="none"/>
                <w:u w:val="single"/>
              </w:rPr>
              <w:t xml:space="preserve"> 合同金额</w:t>
            </w:r>
            <w:r>
              <w:rPr>
                <w:rFonts w:hint="eastAsia" w:ascii="宋体" w:hAnsi="宋体"/>
                <w:strike w:val="0"/>
                <w:dstrike w:val="0"/>
                <w:color w:val="auto"/>
                <w:szCs w:val="21"/>
                <w:highlight w:val="none"/>
                <w:u w:val="single"/>
                <w:lang w:val="en-US" w:eastAsia="zh-CN"/>
              </w:rPr>
              <w:t>10</w:t>
            </w:r>
            <w:r>
              <w:rPr>
                <w:rFonts w:hint="eastAsia" w:ascii="宋体" w:hAnsi="宋体"/>
                <w:strike w:val="0"/>
                <w:dstrike w:val="0"/>
                <w:color w:val="auto"/>
                <w:szCs w:val="21"/>
                <w:highlight w:val="none"/>
                <w:u w:val="single"/>
              </w:rPr>
              <w:t xml:space="preserve">万元及以上 </w:t>
            </w:r>
          </w:p>
          <w:p>
            <w:pPr>
              <w:spacing w:line="360" w:lineRule="auto"/>
              <w:ind w:firstLine="315" w:firstLine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bCs/>
                <w:sz w:val="21"/>
                <w:szCs w:val="21"/>
              </w:rPr>
              <w:t>投标人须在投标文件资格审查部分提供业绩合同复印件</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rPr>
              <w:t>若上述资料无法体现工程规模的，还须提供业主证明。</w:t>
            </w:r>
            <w:r>
              <w:rPr>
                <w:rFonts w:hint="eastAsia" w:asciiTheme="minorEastAsia" w:hAnsiTheme="minorEastAsia" w:eastAsiaTheme="minorEastAsia" w:cstheme="minorEastAsia"/>
                <w:sz w:val="21"/>
                <w:szCs w:val="21"/>
              </w:rPr>
              <w:t>）。</w:t>
            </w:r>
          </w:p>
          <w:p>
            <w:pPr>
              <w:spacing w:line="360" w:lineRule="auto"/>
              <w:ind w:firstLine="316" w:firstLineChars="150"/>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3</w:t>
            </w:r>
            <w:r>
              <w:rPr>
                <w:rFonts w:hint="eastAsia" w:asciiTheme="minorEastAsia" w:hAnsiTheme="minorEastAsia" w:eastAsiaTheme="minorEastAsia" w:cstheme="minorEastAsia"/>
                <w:b/>
                <w:bCs/>
                <w:sz w:val="21"/>
                <w:szCs w:val="21"/>
              </w:rPr>
              <w:t>.投标截止日投标资格情况</w:t>
            </w:r>
          </w:p>
          <w:p>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投标人自行承诺（格式自拟）不得存在下列情形之一：</w:t>
            </w:r>
          </w:p>
          <w:p>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（1）被最高人民法院在“信用中国”网站（www.creditchina.gov.cn）列入失信被执行人名单；</w:t>
            </w:r>
          </w:p>
          <w:p>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（2）被列入《重庆市工程建设领域招标投标信用管理暂行办法》规定的重点关注名单且记分达到12分；</w:t>
            </w:r>
          </w:p>
          <w:p>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（3）被列入《重庆市工程建设领域招标投标信用管理暂行办法》规定的黑名单；</w:t>
            </w:r>
          </w:p>
          <w:p>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（4）被国家、重庆市（含市或任意区县）有关行政部门处以暂停投标资格行政处罚，且在处罚期限内；</w:t>
            </w:r>
          </w:p>
          <w:p>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（5）被重庆市住房和城乡建设主管部门暂停在渝承揽新业务。</w:t>
            </w:r>
          </w:p>
          <w:p>
            <w:pPr>
              <w:spacing w:line="360" w:lineRule="auto"/>
              <w:ind w:firstLine="316" w:firstLineChars="150"/>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4</w:t>
            </w:r>
            <w:r>
              <w:rPr>
                <w:rFonts w:hint="eastAsia" w:asciiTheme="minorEastAsia" w:hAnsiTheme="minorEastAsia" w:eastAsiaTheme="minorEastAsia" w:cstheme="minorEastAsia"/>
                <w:b/>
                <w:bCs/>
                <w:sz w:val="21"/>
                <w:szCs w:val="21"/>
              </w:rPr>
              <w:t>.项目经理资格要求</w:t>
            </w:r>
          </w:p>
          <w:p>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拟派的项目经理必须已在投标人本单位注册并应具有</w:t>
            </w:r>
            <w:r>
              <w:rPr>
                <w:rFonts w:hint="eastAsia" w:eastAsiaTheme="minorEastAsia"/>
                <w:color w:val="auto"/>
                <w:szCs w:val="21"/>
                <w:highlight w:val="none"/>
                <w:u w:val="single"/>
                <w:lang w:val="en-US" w:eastAsia="zh-CN"/>
              </w:rPr>
              <w:t>市政公用工程</w:t>
            </w:r>
            <w:r>
              <w:rPr>
                <w:rFonts w:hint="eastAsia"/>
                <w:color w:val="auto"/>
                <w:szCs w:val="21"/>
                <w:highlight w:val="none"/>
                <w:u w:val="single"/>
              </w:rPr>
              <w:t xml:space="preserve">工程 </w:t>
            </w:r>
            <w:r>
              <w:rPr>
                <w:rFonts w:hint="eastAsia"/>
                <w:color w:val="auto"/>
                <w:szCs w:val="21"/>
                <w:highlight w:val="none"/>
              </w:rPr>
              <w:t>专业</w:t>
            </w:r>
            <w:r>
              <w:rPr>
                <w:color w:val="auto"/>
                <w:szCs w:val="21"/>
                <w:highlight w:val="none"/>
                <w:u w:val="single"/>
              </w:rPr>
              <w:t xml:space="preserve"> </w:t>
            </w:r>
            <w:r>
              <w:rPr>
                <w:rFonts w:hint="eastAsia"/>
                <w:color w:val="auto"/>
                <w:szCs w:val="21"/>
                <w:highlight w:val="none"/>
                <w:u w:val="single"/>
                <w:lang w:val="en-US" w:eastAsia="zh-CN"/>
              </w:rPr>
              <w:t>二</w:t>
            </w:r>
            <w:r>
              <w:rPr>
                <w:color w:val="auto"/>
                <w:szCs w:val="21"/>
                <w:highlight w:val="none"/>
                <w:u w:val="single"/>
              </w:rPr>
              <w:t>级及以上</w:t>
            </w:r>
            <w:r>
              <w:rPr>
                <w:color w:val="auto"/>
                <w:szCs w:val="21"/>
                <w:highlight w:val="none"/>
              </w:rPr>
              <w:t>注册建造师执业</w:t>
            </w:r>
            <w:r>
              <w:rPr>
                <w:rFonts w:ascii="宋体" w:hAnsi="宋体"/>
                <w:color w:val="auto"/>
                <w:szCs w:val="21"/>
                <w:highlight w:val="none"/>
              </w:rPr>
              <w:t>资格</w:t>
            </w:r>
            <w:r>
              <w:rPr>
                <w:rFonts w:hint="eastAsia" w:asciiTheme="minorEastAsia" w:hAnsiTheme="minorEastAsia" w:eastAsiaTheme="minorEastAsia" w:cstheme="minorEastAsia"/>
                <w:sz w:val="21"/>
                <w:szCs w:val="21"/>
              </w:rPr>
              <w:t>，应为投标人本单位人员，</w:t>
            </w:r>
            <w:r>
              <w:rPr>
                <w:rFonts w:hint="eastAsia" w:asciiTheme="minorEastAsia" w:hAnsiTheme="minorEastAsia" w:eastAsiaTheme="minorEastAsia" w:cstheme="minorEastAsia"/>
                <w:b/>
                <w:bCs/>
                <w:sz w:val="21"/>
                <w:szCs w:val="21"/>
              </w:rPr>
              <w:t>并做出项目经理到岗履职的承诺</w:t>
            </w:r>
            <w:r>
              <w:rPr>
                <w:rFonts w:hint="eastAsia" w:asciiTheme="minorEastAsia" w:hAnsiTheme="minorEastAsia" w:eastAsiaTheme="minorEastAsia" w:cstheme="minorEastAsia"/>
                <w:sz w:val="21"/>
                <w:szCs w:val="21"/>
              </w:rPr>
              <w:t>（自行承诺拟派项目经理中选后只能在本项目任职，签订合同时拟派的项目经理必须与投标文件中的项目经理一致。不能按承诺到岗履约的，按合同相关条款处罚并上报行政主管部门，给比选人造成损失的，投标人依法承担违约赔偿责任）和未被禁标的承诺（自行承诺拟派项目经理未被我市住房和城乡建设主管部门暂停在渝承揽新业务，若被暂停且参加投标的投标将被否决，比选保证金不予退还，给比选人造成损失的，投标人依法承担违约赔偿责任），否则由评标委员会作否决投标处理。</w:t>
            </w:r>
          </w:p>
          <w:p>
            <w:pPr>
              <w:autoSpaceDE w:val="0"/>
              <w:autoSpaceDN w:val="0"/>
              <w:adjustRightInd w:val="0"/>
              <w:snapToGrid w:val="0"/>
              <w:spacing w:line="360" w:lineRule="auto"/>
              <w:ind w:firstLine="316" w:firstLineChars="150"/>
              <w:jc w:val="left"/>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拟派项目经理中标后不得随意更换。</w:t>
            </w:r>
          </w:p>
          <w:p>
            <w:pPr>
              <w:autoSpaceDE w:val="0"/>
              <w:autoSpaceDN w:val="0"/>
              <w:adjustRightInd w:val="0"/>
              <w:snapToGrid w:val="0"/>
              <w:spacing w:line="360" w:lineRule="auto"/>
              <w:ind w:firstLine="316" w:firstLineChars="150"/>
              <w:jc w:val="left"/>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同时，投标人须在投标文件资格审查部分提供拟派项目经理</w:t>
            </w:r>
            <w:r>
              <w:rPr>
                <w:rFonts w:hint="eastAsia" w:asciiTheme="minorEastAsia" w:hAnsiTheme="minorEastAsia" w:eastAsiaTheme="minorEastAsia" w:cstheme="minorEastAsia"/>
                <w:b/>
                <w:bCs/>
                <w:sz w:val="21"/>
                <w:szCs w:val="21"/>
                <w:lang w:val="en-US" w:eastAsia="zh-CN"/>
              </w:rPr>
              <w:t>注册证书</w:t>
            </w:r>
            <w:r>
              <w:rPr>
                <w:rFonts w:hint="eastAsia" w:asciiTheme="minorEastAsia" w:hAnsiTheme="minorEastAsia" w:eastAsiaTheme="minorEastAsia" w:cstheme="minorEastAsia"/>
                <w:b/>
                <w:bCs/>
                <w:sz w:val="21"/>
                <w:szCs w:val="21"/>
              </w:rPr>
              <w:t>、身份证、投标人本单位为其缴纳的养老保险证明材料复印件，拟派项目经理到岗履职和未被禁标的承诺原件。</w:t>
            </w:r>
          </w:p>
          <w:p>
            <w:pPr>
              <w:spacing w:line="360" w:lineRule="auto"/>
              <w:ind w:firstLine="316" w:firstLineChars="150"/>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5</w:t>
            </w:r>
            <w:r>
              <w:rPr>
                <w:rFonts w:hint="eastAsia" w:asciiTheme="minorEastAsia" w:hAnsiTheme="minorEastAsia" w:eastAsiaTheme="minorEastAsia" w:cstheme="minorEastAsia"/>
                <w:b/>
                <w:bCs/>
                <w:sz w:val="21"/>
                <w:szCs w:val="21"/>
              </w:rPr>
              <w:t>.其他人员要求</w:t>
            </w:r>
          </w:p>
          <w:p>
            <w:pPr>
              <w:autoSpaceDE w:val="0"/>
              <w:autoSpaceDN w:val="0"/>
              <w:adjustRightInd w:val="0"/>
              <w:snapToGrid w:val="0"/>
              <w:spacing w:line="360" w:lineRule="auto"/>
              <w:ind w:firstLine="315" w:firstLineChars="15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）主要管理人员：</w:t>
            </w:r>
          </w:p>
          <w:p>
            <w:pPr>
              <w:autoSpaceDE w:val="0"/>
              <w:autoSpaceDN w:val="0"/>
              <w:adjustRightInd w:val="0"/>
              <w:snapToGrid w:val="0"/>
              <w:spacing w:line="360" w:lineRule="auto"/>
              <w:ind w:firstLine="315" w:firstLineChars="15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自行承诺中选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本单位为其缴纳的养老保险证明材料。中选后不能满足该要求的，取消其中选资格，给比选人造成损失的，投标人依法承担违约赔偿责任。</w:t>
            </w:r>
            <w:r>
              <w:rPr>
                <w:rFonts w:hint="eastAsia" w:asciiTheme="minorEastAsia" w:hAnsiTheme="minorEastAsia" w:eastAsiaTheme="minorEastAsia" w:cstheme="minorEastAsia"/>
                <w:b/>
                <w:bCs/>
                <w:sz w:val="21"/>
                <w:szCs w:val="21"/>
              </w:rPr>
              <w:t>投标人须在投标文件中附承诺函（格式自拟）。</w:t>
            </w:r>
          </w:p>
          <w:p>
            <w:pPr>
              <w:autoSpaceDE w:val="0"/>
              <w:autoSpaceDN w:val="0"/>
              <w:adjustRightInd w:val="0"/>
              <w:snapToGrid w:val="0"/>
              <w:spacing w:line="360" w:lineRule="auto"/>
              <w:ind w:firstLine="315" w:firstLineChars="15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）委托代理人：</w:t>
            </w:r>
          </w:p>
          <w:p>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本项目委托代理人必须为投标人本单位职工。</w:t>
            </w:r>
            <w:r>
              <w:rPr>
                <w:rFonts w:hint="eastAsia" w:asciiTheme="minorEastAsia" w:hAnsiTheme="minorEastAsia" w:eastAsiaTheme="minorEastAsia" w:cstheme="minorEastAsia"/>
                <w:b/>
                <w:bCs/>
                <w:sz w:val="21"/>
                <w:szCs w:val="21"/>
              </w:rPr>
              <w:t>投标人须在投标文件资格审查部分提供投标人本单位为该委托代理人缴纳的养老保险证明复印件。否则，将由评标委员会作否决投标处理。</w:t>
            </w:r>
          </w:p>
          <w:p>
            <w:pPr>
              <w:adjustRightInd w:val="0"/>
              <w:snapToGrid w:val="0"/>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特别说明：</w:t>
            </w:r>
          </w:p>
          <w:p>
            <w:pPr>
              <w:adjustRightInd w:val="0"/>
              <w:snapToGrid w:val="0"/>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（1）以上1～4条，有一条不满足，则投标文件由评标委员会作否决投标处理。</w:t>
            </w:r>
            <w:r>
              <w:rPr>
                <w:rFonts w:hint="eastAsia" w:asciiTheme="minorEastAsia" w:hAnsiTheme="minorEastAsia" w:eastAsiaTheme="minorEastAsia" w:cstheme="minorEastAsia"/>
                <w:b/>
                <w:bCs/>
                <w:sz w:val="21"/>
                <w:szCs w:val="21"/>
              </w:rPr>
              <w:t>以上所有复印件加盖投标人鲜章，否则，将由评标委员会作否决投标处理。</w:t>
            </w:r>
          </w:p>
          <w:p>
            <w:pPr>
              <w:adjustRightInd w:val="0"/>
              <w:snapToGrid w:val="0"/>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（2）比选人在比选有效期内均有权对投标人提供的以上资料进行核实，若发现资料存在虚假不实，按照相关法律法规处理，投标人承担因此造成的相关责任并赔偿相应损失。</w:t>
            </w:r>
          </w:p>
          <w:p>
            <w:pPr>
              <w:adjustRightInd w:val="0"/>
              <w:snapToGrid w:val="0"/>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（3）本比选文件中所要求的人员养老保险证明要求如下：</w:t>
            </w:r>
          </w:p>
          <w:p>
            <w:pPr>
              <w:adjustRightInd w:val="0"/>
              <w:snapToGrid w:val="0"/>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①社会单位提供养老保险证明，事业单位提供养老保险证明或行政主管部门在编证明。</w:t>
            </w:r>
          </w:p>
          <w:p>
            <w:pPr>
              <w:adjustRightInd w:val="0"/>
              <w:snapToGrid w:val="0"/>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②投标文件中对养老保险的要求为：项目经理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委托代理人的养老保险证明期限为 202</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月至 202</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月的连续养老保险。</w:t>
            </w:r>
          </w:p>
          <w:p>
            <w:pPr>
              <w:spacing w:line="400" w:lineRule="exact"/>
              <w:ind w:firstLine="420" w:firstLineChars="200"/>
              <w:rPr>
                <w:rFonts w:ascii="宋体" w:hAnsi="宋体"/>
                <w:bCs/>
                <w:snapToGrid w:val="0"/>
                <w:kern w:val="0"/>
                <w:szCs w:val="21"/>
                <w:highlight w:val="none"/>
              </w:rPr>
            </w:pPr>
            <w:r>
              <w:rPr>
                <w:rFonts w:hint="eastAsia" w:asciiTheme="minorEastAsia" w:hAnsiTheme="minorEastAsia" w:eastAsiaTheme="minorEastAsia" w:cstheme="minorEastAsia"/>
                <w:sz w:val="21"/>
                <w:szCs w:val="21"/>
              </w:rPr>
              <w:t>养老保险证明必须加盖社保部门公章，提供养老保险参保证明（个人），含身份证号或社保号和参保基本情况、参保缴费明细（养老保险），否则由评标委员会作否决投标处理。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1.4.2</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是否接受联合体投标</w:t>
            </w:r>
          </w:p>
        </w:tc>
        <w:tc>
          <w:tcPr>
            <w:tcW w:w="6490" w:type="dxa"/>
            <w:vAlign w:val="center"/>
          </w:tcPr>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w:t>
            </w:r>
            <w:r>
              <w:rPr>
                <w:rFonts w:ascii="宋体" w:hAnsi="宋体"/>
                <w:kern w:val="0"/>
                <w:szCs w:val="21"/>
                <w:highlight w:val="none"/>
              </w:rPr>
              <w:t>不接受</w:t>
            </w:r>
          </w:p>
          <w:p>
            <w:pPr>
              <w:snapToGrid w:val="0"/>
              <w:spacing w:after="15" w:afterLines="5" w:line="400" w:lineRule="exact"/>
              <w:ind w:firstLine="420" w:firstLineChars="200"/>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接受，应满足下列要求：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1.9.1</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踏勘现场</w:t>
            </w:r>
          </w:p>
        </w:tc>
        <w:tc>
          <w:tcPr>
            <w:tcW w:w="6490" w:type="dxa"/>
            <w:vAlign w:val="center"/>
          </w:tcPr>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w:t>
            </w:r>
            <w:r>
              <w:rPr>
                <w:rFonts w:ascii="宋体" w:hAnsi="宋体"/>
                <w:kern w:val="0"/>
                <w:szCs w:val="21"/>
                <w:highlight w:val="none"/>
              </w:rPr>
              <w:t>不组织</w:t>
            </w:r>
          </w:p>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组织，</w:t>
            </w:r>
            <w:r>
              <w:rPr>
                <w:rFonts w:hint="eastAsia" w:ascii="宋体" w:hAnsi="宋体"/>
                <w:kern w:val="0"/>
                <w:szCs w:val="21"/>
                <w:highlight w:val="none"/>
              </w:rPr>
              <w:t>集中</w:t>
            </w:r>
            <w:r>
              <w:rPr>
                <w:rFonts w:ascii="宋体" w:hAnsi="宋体"/>
                <w:kern w:val="0"/>
                <w:szCs w:val="21"/>
                <w:highlight w:val="none"/>
              </w:rPr>
              <w:t>踏勘时间：</w:t>
            </w:r>
          </w:p>
          <w:p>
            <w:pPr>
              <w:snapToGrid w:val="0"/>
              <w:spacing w:line="400" w:lineRule="exact"/>
              <w:ind w:firstLine="1260" w:firstLineChars="600"/>
              <w:rPr>
                <w:rFonts w:ascii="宋体" w:hAnsi="宋体"/>
                <w:kern w:val="0"/>
                <w:szCs w:val="21"/>
                <w:highlight w:val="none"/>
              </w:rPr>
            </w:pPr>
            <w:r>
              <w:rPr>
                <w:rFonts w:ascii="宋体" w:hAnsi="宋体"/>
                <w:kern w:val="0"/>
                <w:szCs w:val="21"/>
                <w:highlight w:val="none"/>
              </w:rPr>
              <w:t>集中踏勘地点：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1.10.1</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投标预备会</w:t>
            </w:r>
          </w:p>
        </w:tc>
        <w:tc>
          <w:tcPr>
            <w:tcW w:w="6490" w:type="dxa"/>
            <w:vAlign w:val="center"/>
          </w:tcPr>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w:t>
            </w:r>
            <w:r>
              <w:rPr>
                <w:rFonts w:ascii="宋体" w:hAnsi="宋体"/>
                <w:kern w:val="0"/>
                <w:szCs w:val="21"/>
                <w:highlight w:val="none"/>
              </w:rPr>
              <w:t>不召开</w:t>
            </w:r>
          </w:p>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召开，召开时间：</w:t>
            </w:r>
          </w:p>
          <w:p>
            <w:pPr>
              <w:snapToGrid w:val="0"/>
              <w:spacing w:after="15" w:afterLines="5" w:line="400" w:lineRule="exact"/>
              <w:ind w:firstLine="1260" w:firstLineChars="600"/>
              <w:rPr>
                <w:rFonts w:ascii="宋体" w:hAnsi="宋体"/>
                <w:kern w:val="0"/>
                <w:szCs w:val="21"/>
                <w:highlight w:val="none"/>
              </w:rPr>
            </w:pPr>
            <w:r>
              <w:rPr>
                <w:rFonts w:ascii="宋体" w:hAnsi="宋体"/>
                <w:kern w:val="0"/>
                <w:szCs w:val="21"/>
                <w:highlight w:val="none"/>
              </w:rPr>
              <w:t>召开地点：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1.11</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分包</w:t>
            </w:r>
          </w:p>
        </w:tc>
        <w:tc>
          <w:tcPr>
            <w:tcW w:w="6490" w:type="dxa"/>
            <w:vAlign w:val="center"/>
          </w:tcPr>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w:t>
            </w:r>
            <w:r>
              <w:rPr>
                <w:rFonts w:ascii="宋体" w:hAnsi="宋体"/>
                <w:kern w:val="0"/>
                <w:szCs w:val="21"/>
                <w:highlight w:val="none"/>
              </w:rPr>
              <w:t>不允许</w:t>
            </w:r>
          </w:p>
          <w:p>
            <w:pPr>
              <w:snapToGrid w:val="0"/>
              <w:spacing w:line="400" w:lineRule="exact"/>
              <w:ind w:firstLine="420" w:firstLineChars="200"/>
              <w:rPr>
                <w:rFonts w:hint="eastAsia" w:ascii="宋体" w:hAnsi="宋体" w:eastAsia="宋体"/>
                <w:kern w:val="0"/>
                <w:szCs w:val="21"/>
                <w:highlight w:val="none"/>
                <w:lang w:val="en-US" w:eastAsia="zh-CN"/>
              </w:rPr>
            </w:pPr>
            <w:r>
              <w:rPr>
                <w:rFonts w:hint="eastAsia" w:ascii="宋体" w:hAnsi="宋体"/>
                <w:kern w:val="0"/>
                <w:szCs w:val="21"/>
                <w:highlight w:val="none"/>
              </w:rPr>
              <w:t>□</w:t>
            </w:r>
            <w:r>
              <w:rPr>
                <w:rFonts w:ascii="宋体" w:hAnsi="宋体"/>
                <w:kern w:val="0"/>
                <w:szCs w:val="21"/>
                <w:highlight w:val="none"/>
              </w:rPr>
              <w:t>允许，分包内容要求：</w:t>
            </w:r>
            <w:r>
              <w:rPr>
                <w:rFonts w:hint="eastAsia" w:ascii="宋体" w:hAnsi="宋体"/>
                <w:kern w:val="0"/>
                <w:szCs w:val="21"/>
                <w:highlight w:val="none"/>
                <w:lang w:val="en-US" w:eastAsia="zh-CN"/>
              </w:rPr>
              <w:t>/</w:t>
            </w:r>
          </w:p>
          <w:p>
            <w:pPr>
              <w:snapToGrid w:val="0"/>
              <w:spacing w:line="400" w:lineRule="exact"/>
              <w:ind w:firstLine="1260" w:firstLineChars="600"/>
              <w:rPr>
                <w:rFonts w:hint="eastAsia" w:ascii="宋体" w:hAnsi="宋体" w:eastAsia="宋体"/>
                <w:kern w:val="0"/>
                <w:szCs w:val="21"/>
                <w:highlight w:val="none"/>
                <w:lang w:val="en-US" w:eastAsia="zh-CN"/>
              </w:rPr>
            </w:pPr>
            <w:r>
              <w:rPr>
                <w:rFonts w:ascii="宋体" w:hAnsi="宋体"/>
                <w:kern w:val="0"/>
                <w:szCs w:val="21"/>
                <w:highlight w:val="none"/>
              </w:rPr>
              <w:t>分包金额要求：</w:t>
            </w:r>
            <w:r>
              <w:rPr>
                <w:rFonts w:hint="eastAsia" w:ascii="宋体" w:hAnsi="宋体"/>
                <w:kern w:val="0"/>
                <w:szCs w:val="21"/>
                <w:highlight w:val="none"/>
                <w:lang w:val="en-US" w:eastAsia="zh-CN"/>
              </w:rPr>
              <w:t>/</w:t>
            </w:r>
          </w:p>
          <w:p>
            <w:pPr>
              <w:snapToGrid w:val="0"/>
              <w:spacing w:after="15" w:afterLines="5" w:line="400" w:lineRule="exact"/>
              <w:rPr>
                <w:rFonts w:hint="eastAsia" w:ascii="宋体" w:hAnsi="宋体" w:eastAsia="宋体"/>
                <w:kern w:val="0"/>
                <w:szCs w:val="21"/>
                <w:highlight w:val="none"/>
                <w:lang w:val="en-US" w:eastAsia="zh-CN"/>
              </w:rPr>
            </w:pPr>
            <w:r>
              <w:rPr>
                <w:rFonts w:ascii="宋体" w:hAnsi="宋体"/>
                <w:kern w:val="0"/>
                <w:szCs w:val="21"/>
                <w:highlight w:val="none"/>
              </w:rPr>
              <w:t>接受分包的第三人资质要求：</w:t>
            </w:r>
            <w:r>
              <w:rPr>
                <w:rFonts w:hint="eastAsia" w:ascii="宋体" w:hAnsi="宋体"/>
                <w:kern w:val="0"/>
                <w:szCs w:val="21"/>
                <w:highlight w:val="none"/>
                <w:lang w:val="en-US" w:eastAsia="zh-CN"/>
              </w:rPr>
              <w:t>/</w:t>
            </w:r>
          </w:p>
          <w:p>
            <w:pPr>
              <w:snapToGrid w:val="0"/>
              <w:spacing w:after="15" w:afterLines="5" w:line="400" w:lineRule="exact"/>
              <w:rPr>
                <w:rFonts w:ascii="宋体" w:hAnsi="宋体"/>
                <w:kern w:val="0"/>
                <w:szCs w:val="21"/>
                <w:highlight w:val="none"/>
              </w:rPr>
            </w:pPr>
            <w:r>
              <w:rPr>
                <w:rFonts w:hint="eastAsia" w:ascii="宋体" w:hAnsi="宋体"/>
                <w:kern w:val="0"/>
                <w:szCs w:val="21"/>
                <w:highlight w:val="none"/>
              </w:rPr>
              <w:t>注：分包应按照相关法律法规及规范性文件执行，不得违法分包。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2.1</w:t>
            </w:r>
          </w:p>
        </w:tc>
        <w:tc>
          <w:tcPr>
            <w:tcW w:w="1644" w:type="dxa"/>
            <w:vAlign w:val="center"/>
          </w:tcPr>
          <w:p>
            <w:pPr>
              <w:snapToGrid w:val="0"/>
              <w:spacing w:after="15" w:afterLines="5" w:line="400" w:lineRule="exact"/>
              <w:jc w:val="center"/>
              <w:rPr>
                <w:rFonts w:ascii="宋体" w:hAnsi="宋体"/>
                <w:kern w:val="0"/>
                <w:szCs w:val="21"/>
                <w:highlight w:val="none"/>
              </w:rPr>
            </w:pPr>
            <w:r>
              <w:rPr>
                <w:rFonts w:ascii="宋体" w:hAnsi="宋体"/>
                <w:kern w:val="0"/>
                <w:szCs w:val="21"/>
                <w:highlight w:val="none"/>
              </w:rPr>
              <w:t>构成招标文件的其他材料</w:t>
            </w:r>
          </w:p>
        </w:tc>
        <w:tc>
          <w:tcPr>
            <w:tcW w:w="6490" w:type="dxa"/>
            <w:vAlign w:val="center"/>
          </w:tcPr>
          <w:p>
            <w:pPr>
              <w:snapToGrid w:val="0"/>
              <w:spacing w:line="400" w:lineRule="exact"/>
              <w:ind w:firstLine="420" w:firstLineChars="200"/>
              <w:rPr>
                <w:rFonts w:ascii="宋体" w:hAnsi="宋体"/>
                <w:szCs w:val="21"/>
                <w:highlight w:val="none"/>
              </w:rPr>
            </w:pPr>
            <w:r>
              <w:rPr>
                <w:rFonts w:hint="eastAsia" w:ascii="宋体" w:hAnsi="宋体"/>
                <w:szCs w:val="21"/>
                <w:highlight w:val="none"/>
                <w:lang w:eastAsia="zh-CN"/>
              </w:rPr>
              <w:t>比选人</w:t>
            </w:r>
            <w:r>
              <w:rPr>
                <w:rFonts w:ascii="宋体" w:hAnsi="宋体"/>
                <w:szCs w:val="21"/>
                <w:highlight w:val="none"/>
              </w:rPr>
              <w:t>发出的</w:t>
            </w:r>
            <w:r>
              <w:rPr>
                <w:rFonts w:hint="eastAsia" w:ascii="宋体" w:hAnsi="宋体"/>
                <w:szCs w:val="21"/>
                <w:highlight w:val="none"/>
              </w:rPr>
              <w:t>澄清</w:t>
            </w:r>
            <w:r>
              <w:rPr>
                <w:rFonts w:ascii="宋体" w:hAnsi="宋体"/>
                <w:szCs w:val="21"/>
                <w:highlight w:val="none"/>
              </w:rPr>
              <w:t>及</w:t>
            </w:r>
            <w:r>
              <w:rPr>
                <w:rFonts w:hint="eastAsia" w:ascii="宋体" w:hAnsi="宋体"/>
                <w:szCs w:val="21"/>
                <w:highlight w:val="none"/>
              </w:rPr>
              <w:t>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hint="eastAsia" w:ascii="宋体" w:hAnsi="宋体"/>
                <w:kern w:val="0"/>
                <w:szCs w:val="21"/>
                <w:highlight w:val="none"/>
              </w:rPr>
              <w:t>2</w:t>
            </w:r>
            <w:r>
              <w:rPr>
                <w:rFonts w:ascii="宋体" w:hAnsi="宋体"/>
                <w:kern w:val="0"/>
                <w:szCs w:val="21"/>
                <w:highlight w:val="none"/>
              </w:rPr>
              <w:t>.</w:t>
            </w:r>
            <w:r>
              <w:rPr>
                <w:rFonts w:hint="eastAsia" w:ascii="宋体" w:hAnsi="宋体"/>
                <w:kern w:val="0"/>
                <w:szCs w:val="21"/>
                <w:highlight w:val="none"/>
              </w:rPr>
              <w:t>2</w:t>
            </w:r>
            <w:r>
              <w:rPr>
                <w:rFonts w:ascii="宋体" w:hAnsi="宋体"/>
                <w:kern w:val="0"/>
                <w:szCs w:val="21"/>
                <w:highlight w:val="none"/>
              </w:rPr>
              <w:t>.</w:t>
            </w:r>
            <w:r>
              <w:rPr>
                <w:rFonts w:hint="eastAsia" w:ascii="宋体" w:hAnsi="宋体"/>
                <w:kern w:val="0"/>
                <w:szCs w:val="21"/>
                <w:highlight w:val="none"/>
              </w:rPr>
              <w:t>1</w:t>
            </w:r>
          </w:p>
        </w:tc>
        <w:tc>
          <w:tcPr>
            <w:tcW w:w="1644" w:type="dxa"/>
            <w:tcBorders>
              <w:bottom w:val="single" w:color="auto" w:sz="4" w:space="0"/>
            </w:tcBorders>
            <w:vAlign w:val="center"/>
          </w:tcPr>
          <w:p>
            <w:pPr>
              <w:snapToGrid w:val="0"/>
              <w:spacing w:line="400" w:lineRule="exact"/>
              <w:jc w:val="center"/>
              <w:rPr>
                <w:rFonts w:ascii="宋体" w:hAnsi="宋体"/>
                <w:kern w:val="0"/>
                <w:szCs w:val="21"/>
                <w:highlight w:val="none"/>
              </w:rPr>
            </w:pPr>
            <w:r>
              <w:rPr>
                <w:rFonts w:hint="eastAsia" w:ascii="宋体" w:hAnsi="宋体"/>
                <w:kern w:val="0"/>
                <w:szCs w:val="21"/>
                <w:highlight w:val="none"/>
                <w:lang w:eastAsia="zh-CN"/>
              </w:rPr>
              <w:t>竞选人</w:t>
            </w:r>
            <w:r>
              <w:rPr>
                <w:rFonts w:ascii="宋体" w:hAnsi="宋体"/>
                <w:kern w:val="0"/>
                <w:szCs w:val="21"/>
                <w:highlight w:val="none"/>
              </w:rPr>
              <w:t>对招标文件提出</w:t>
            </w:r>
            <w:r>
              <w:rPr>
                <w:rFonts w:hint="eastAsia" w:ascii="宋体" w:hAnsi="宋体"/>
                <w:kern w:val="0"/>
                <w:szCs w:val="21"/>
                <w:highlight w:val="none"/>
              </w:rPr>
              <w:t>疑问</w:t>
            </w:r>
            <w:r>
              <w:rPr>
                <w:rFonts w:ascii="宋体" w:hAnsi="宋体"/>
                <w:kern w:val="0"/>
                <w:szCs w:val="21"/>
                <w:highlight w:val="none"/>
              </w:rPr>
              <w:t>的截止时间</w:t>
            </w:r>
          </w:p>
        </w:tc>
        <w:tc>
          <w:tcPr>
            <w:tcW w:w="6490" w:type="dxa"/>
            <w:vAlign w:val="center"/>
          </w:tcPr>
          <w:p>
            <w:pPr>
              <w:spacing w:line="360" w:lineRule="auto"/>
              <w:ind w:firstLine="420" w:firstLineChars="200"/>
              <w:rPr>
                <w:rFonts w:ascii="宋体" w:hAnsi="宋体"/>
                <w:kern w:val="0"/>
                <w:szCs w:val="21"/>
                <w:highlight w:val="none"/>
              </w:rPr>
            </w:pPr>
            <w:r>
              <w:rPr>
                <w:rFonts w:hint="eastAsia" w:asciiTheme="minorEastAsia" w:hAnsiTheme="minorEastAsia" w:eastAsiaTheme="minorEastAsia" w:cstheme="minorEastAsia"/>
                <w:snapToGrid w:val="0"/>
                <w:kern w:val="0"/>
                <w:sz w:val="21"/>
                <w:szCs w:val="21"/>
              </w:rPr>
              <w:t>投标人应仔细阅读招标文件及附件的所有内容，如有文字表述不清，图纸尺寸标注不明以及存在错、漏、缺、概念模糊和有可能出现歧义或理解上的偏差的内容等应在202</w:t>
            </w:r>
            <w:r>
              <w:rPr>
                <w:rFonts w:hint="eastAsia" w:asciiTheme="minorEastAsia" w:hAnsiTheme="minorEastAsia" w:eastAsiaTheme="minorEastAsia" w:cstheme="minorEastAsia"/>
                <w:snapToGrid w:val="0"/>
                <w:kern w:val="0"/>
                <w:sz w:val="21"/>
                <w:szCs w:val="21"/>
                <w:lang w:val="en-US" w:eastAsia="zh-CN"/>
              </w:rPr>
              <w:t>4</w:t>
            </w:r>
            <w:r>
              <w:rPr>
                <w:rFonts w:hint="eastAsia" w:asciiTheme="minorEastAsia" w:hAnsiTheme="minorEastAsia" w:eastAsiaTheme="minorEastAsia" w:cstheme="minorEastAsia"/>
                <w:snapToGrid w:val="0"/>
                <w:kern w:val="0"/>
                <w:sz w:val="21"/>
                <w:szCs w:val="21"/>
              </w:rPr>
              <w:t>年</w:t>
            </w:r>
            <w:r>
              <w:rPr>
                <w:rFonts w:hint="eastAsia" w:asciiTheme="minorEastAsia" w:hAnsiTheme="minorEastAsia" w:eastAsiaTheme="minorEastAsia" w:cstheme="minorEastAsia"/>
                <w:snapToGrid w:val="0"/>
                <w:kern w:val="0"/>
                <w:sz w:val="21"/>
                <w:szCs w:val="21"/>
                <w:lang w:val="en-US" w:eastAsia="zh-CN"/>
              </w:rPr>
              <w:t>5</w:t>
            </w:r>
            <w:r>
              <w:rPr>
                <w:rFonts w:hint="eastAsia" w:asciiTheme="minorEastAsia" w:hAnsiTheme="minorEastAsia" w:eastAsiaTheme="minorEastAsia" w:cstheme="minorEastAsia"/>
                <w:snapToGrid w:val="0"/>
                <w:kern w:val="0"/>
                <w:sz w:val="21"/>
                <w:szCs w:val="21"/>
              </w:rPr>
              <w:t>月</w:t>
            </w:r>
            <w:r>
              <w:rPr>
                <w:rFonts w:hint="eastAsia" w:asciiTheme="minorEastAsia" w:hAnsiTheme="minorEastAsia" w:eastAsiaTheme="minorEastAsia" w:cstheme="minorEastAsia"/>
                <w:snapToGrid w:val="0"/>
                <w:kern w:val="0"/>
                <w:sz w:val="21"/>
                <w:szCs w:val="21"/>
                <w:lang w:val="en-US" w:eastAsia="zh-CN"/>
              </w:rPr>
              <w:t>21</w:t>
            </w:r>
            <w:r>
              <w:rPr>
                <w:rFonts w:hint="eastAsia" w:asciiTheme="minorEastAsia" w:hAnsiTheme="minorEastAsia" w:eastAsiaTheme="minorEastAsia" w:cstheme="minorEastAsia"/>
                <w:snapToGrid w:val="0"/>
                <w:kern w:val="0"/>
                <w:sz w:val="21"/>
                <w:szCs w:val="21"/>
              </w:rPr>
              <w:t>日 12:00  前发送至</w:t>
            </w:r>
            <w:r>
              <w:rPr>
                <w:rFonts w:hint="eastAsia" w:asciiTheme="minorEastAsia" w:hAnsiTheme="minorEastAsia" w:eastAsiaTheme="minorEastAsia" w:cstheme="minorEastAsia"/>
                <w:snapToGrid w:val="0"/>
                <w:kern w:val="0"/>
                <w:sz w:val="21"/>
                <w:szCs w:val="21"/>
                <w:lang w:val="en-US" w:eastAsia="zh-CN"/>
              </w:rPr>
              <w:t>比选人</w:t>
            </w:r>
            <w:r>
              <w:rPr>
                <w:rFonts w:hint="eastAsia" w:asciiTheme="minorEastAsia" w:hAnsiTheme="minorEastAsia" w:eastAsiaTheme="minorEastAsia" w:cstheme="minorEastAsia"/>
                <w:snapToGrid w:val="0"/>
                <w:kern w:val="0"/>
                <w:sz w:val="21"/>
                <w:szCs w:val="21"/>
              </w:rPr>
              <w:t>提供的邮箱。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Merge w:val="restart"/>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2.2.2</w:t>
            </w:r>
          </w:p>
        </w:tc>
        <w:tc>
          <w:tcPr>
            <w:tcW w:w="1644" w:type="dxa"/>
            <w:tcBorders>
              <w:top w:val="single" w:color="auto" w:sz="4" w:space="0"/>
            </w:tcBorders>
            <w:vAlign w:val="center"/>
          </w:tcPr>
          <w:p>
            <w:pPr>
              <w:snapToGrid w:val="0"/>
              <w:spacing w:line="400" w:lineRule="exact"/>
              <w:jc w:val="center"/>
              <w:rPr>
                <w:rFonts w:ascii="宋体" w:hAnsi="宋体"/>
                <w:kern w:val="0"/>
                <w:szCs w:val="21"/>
                <w:highlight w:val="none"/>
              </w:rPr>
            </w:pPr>
            <w:r>
              <w:rPr>
                <w:rFonts w:hint="eastAsia" w:ascii="宋体" w:hAnsi="宋体"/>
                <w:kern w:val="0"/>
                <w:szCs w:val="21"/>
                <w:highlight w:val="none"/>
                <w:lang w:eastAsia="zh-CN"/>
              </w:rPr>
              <w:t>比选人</w:t>
            </w:r>
            <w:r>
              <w:rPr>
                <w:rFonts w:ascii="宋体" w:hAnsi="宋体"/>
                <w:kern w:val="0"/>
                <w:szCs w:val="21"/>
                <w:highlight w:val="none"/>
              </w:rPr>
              <w:t>对招标文件</w:t>
            </w:r>
            <w:r>
              <w:rPr>
                <w:rFonts w:hint="eastAsia" w:ascii="宋体" w:hAnsi="宋体"/>
                <w:kern w:val="0"/>
                <w:szCs w:val="21"/>
                <w:highlight w:val="none"/>
              </w:rPr>
              <w:t>澄清</w:t>
            </w:r>
            <w:r>
              <w:rPr>
                <w:rFonts w:ascii="宋体" w:hAnsi="宋体"/>
                <w:kern w:val="0"/>
                <w:szCs w:val="21"/>
                <w:highlight w:val="none"/>
              </w:rPr>
              <w:t>的截止时间</w:t>
            </w:r>
          </w:p>
        </w:tc>
        <w:tc>
          <w:tcPr>
            <w:tcW w:w="6490" w:type="dxa"/>
            <w:vAlign w:val="center"/>
          </w:tcPr>
          <w:p>
            <w:pPr>
              <w:spacing w:line="360" w:lineRule="auto"/>
              <w:ind w:firstLine="420" w:firstLineChars="200"/>
              <w:rPr>
                <w:rFonts w:ascii="宋体" w:hAnsi="宋体"/>
                <w:snapToGrid w:val="0"/>
                <w:kern w:val="0"/>
                <w:szCs w:val="21"/>
                <w:highlight w:val="none"/>
              </w:rPr>
            </w:pPr>
            <w:r>
              <w:rPr>
                <w:rFonts w:hint="eastAsia" w:cs="宋体" w:asciiTheme="minorEastAsia" w:hAnsiTheme="minorEastAsia" w:eastAsiaTheme="minorEastAsia"/>
                <w:kern w:val="0"/>
                <w:sz w:val="21"/>
                <w:szCs w:val="21"/>
              </w:rPr>
              <w:t xml:space="preserve">在行采家(https://www.gec123.com/) </w:t>
            </w:r>
            <w:r>
              <w:rPr>
                <w:rFonts w:hint="eastAsia" w:cs="宋体" w:asciiTheme="minorEastAsia" w:hAnsiTheme="minorEastAsia" w:eastAsiaTheme="minorEastAsia"/>
                <w:kern w:val="0"/>
                <w:sz w:val="21"/>
                <w:szCs w:val="21"/>
                <w:lang w:val="en-US" w:eastAsia="zh-CN"/>
              </w:rPr>
              <w:t>和</w:t>
            </w:r>
            <w:r>
              <w:rPr>
                <w:rFonts w:hint="eastAsia" w:cs="宋体" w:asciiTheme="minorEastAsia" w:hAnsiTheme="minorEastAsia" w:eastAsiaTheme="minorEastAsia"/>
                <w:kern w:val="0"/>
                <w:sz w:val="21"/>
                <w:szCs w:val="21"/>
              </w:rPr>
              <w:t>重庆经开区投资集团官网（http://www.cetzig.com/）</w:t>
            </w:r>
            <w:r>
              <w:rPr>
                <w:rFonts w:hint="eastAsia" w:asciiTheme="minorEastAsia" w:hAnsiTheme="minorEastAsia" w:eastAsiaTheme="minorEastAsia" w:cstheme="minorEastAsia"/>
                <w:snapToGrid w:val="0"/>
                <w:kern w:val="0"/>
                <w:sz w:val="21"/>
                <w:szCs w:val="21"/>
              </w:rPr>
              <w:t>发布澄清。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pPr>
              <w:snapToGrid w:val="0"/>
              <w:spacing w:line="400" w:lineRule="exact"/>
              <w:jc w:val="center"/>
              <w:rPr>
                <w:rFonts w:ascii="宋体" w:hAnsi="宋体"/>
                <w:kern w:val="0"/>
                <w:szCs w:val="21"/>
                <w:highlight w:val="none"/>
              </w:rPr>
            </w:pPr>
          </w:p>
        </w:tc>
        <w:tc>
          <w:tcPr>
            <w:tcW w:w="1644" w:type="dxa"/>
            <w:vAlign w:val="center"/>
          </w:tcPr>
          <w:p>
            <w:pPr>
              <w:snapToGrid w:val="0"/>
              <w:spacing w:line="400" w:lineRule="exact"/>
              <w:jc w:val="center"/>
              <w:rPr>
                <w:rFonts w:ascii="宋体" w:hAnsi="宋体"/>
                <w:kern w:val="0"/>
                <w:szCs w:val="21"/>
                <w:highlight w:val="none"/>
              </w:rPr>
            </w:pPr>
            <w:r>
              <w:rPr>
                <w:rFonts w:hint="eastAsia" w:ascii="宋体" w:hAnsi="宋体"/>
                <w:kern w:val="0"/>
                <w:szCs w:val="21"/>
                <w:highlight w:val="none"/>
              </w:rPr>
              <w:t>投标截止时间</w:t>
            </w:r>
          </w:p>
        </w:tc>
        <w:tc>
          <w:tcPr>
            <w:tcW w:w="6490" w:type="dxa"/>
            <w:vAlign w:val="center"/>
          </w:tcPr>
          <w:p>
            <w:pPr>
              <w:snapToGrid w:val="0"/>
              <w:spacing w:line="400" w:lineRule="exact"/>
              <w:ind w:firstLine="420" w:firstLineChars="200"/>
              <w:rPr>
                <w:rFonts w:ascii="宋体" w:hAnsi="宋体"/>
                <w:szCs w:val="21"/>
                <w:highlight w:val="none"/>
                <w:u w:val="single"/>
              </w:rPr>
            </w:pPr>
            <w:r>
              <w:rPr>
                <w:rFonts w:hint="eastAsia" w:ascii="宋体" w:hAnsi="宋体"/>
                <w:szCs w:val="21"/>
                <w:highlight w:val="none"/>
              </w:rPr>
              <w:t>详见</w:t>
            </w:r>
            <w:r>
              <w:rPr>
                <w:rFonts w:hint="eastAsia" w:ascii="宋体" w:hAnsi="宋体"/>
                <w:szCs w:val="21"/>
                <w:highlight w:val="none"/>
                <w:lang w:eastAsia="zh-CN"/>
              </w:rPr>
              <w:t>比选公告</w:t>
            </w:r>
            <w:r>
              <w:rPr>
                <w:rFonts w:hint="eastAsia" w:ascii="宋体" w:hAnsi="宋体"/>
                <w:szCs w:val="21"/>
                <w:highlight w:val="none"/>
              </w:rPr>
              <w:t>规定的投标截止时间。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2.2.3</w:t>
            </w:r>
          </w:p>
        </w:tc>
        <w:tc>
          <w:tcPr>
            <w:tcW w:w="1644" w:type="dxa"/>
            <w:vAlign w:val="center"/>
          </w:tcPr>
          <w:p>
            <w:pPr>
              <w:snapToGrid w:val="0"/>
              <w:spacing w:after="15" w:afterLines="5" w:line="400" w:lineRule="exact"/>
              <w:jc w:val="center"/>
              <w:rPr>
                <w:rFonts w:ascii="宋体" w:hAnsi="宋体"/>
                <w:kern w:val="0"/>
                <w:szCs w:val="21"/>
                <w:highlight w:val="none"/>
              </w:rPr>
            </w:pPr>
            <w:r>
              <w:rPr>
                <w:rFonts w:hint="eastAsia" w:ascii="宋体" w:hAnsi="宋体"/>
                <w:kern w:val="0"/>
                <w:szCs w:val="21"/>
                <w:highlight w:val="none"/>
                <w:lang w:eastAsia="zh-CN"/>
              </w:rPr>
              <w:t>比选人</w:t>
            </w:r>
            <w:r>
              <w:rPr>
                <w:rFonts w:ascii="宋体" w:hAnsi="宋体"/>
                <w:kern w:val="0"/>
                <w:szCs w:val="21"/>
                <w:highlight w:val="none"/>
              </w:rPr>
              <w:t>对招标文件进行</w:t>
            </w:r>
            <w:r>
              <w:rPr>
                <w:rFonts w:hint="eastAsia" w:ascii="宋体" w:hAnsi="宋体"/>
                <w:kern w:val="0"/>
                <w:szCs w:val="21"/>
                <w:highlight w:val="none"/>
              </w:rPr>
              <w:t>修改</w:t>
            </w:r>
            <w:r>
              <w:rPr>
                <w:rFonts w:ascii="宋体" w:hAnsi="宋体"/>
                <w:kern w:val="0"/>
                <w:szCs w:val="21"/>
                <w:highlight w:val="none"/>
              </w:rPr>
              <w:t>的时间</w:t>
            </w:r>
          </w:p>
        </w:tc>
        <w:tc>
          <w:tcPr>
            <w:tcW w:w="6490" w:type="dxa"/>
            <w:vAlign w:val="center"/>
          </w:tcPr>
          <w:p>
            <w:pPr>
              <w:snapToGrid w:val="0"/>
              <w:spacing w:line="400" w:lineRule="exact"/>
              <w:ind w:firstLine="420" w:firstLineChars="200"/>
              <w:rPr>
                <w:rFonts w:ascii="宋体" w:hAnsi="宋体"/>
                <w:szCs w:val="21"/>
                <w:highlight w:val="none"/>
              </w:rPr>
            </w:pPr>
            <w:r>
              <w:rPr>
                <w:rFonts w:hint="eastAsia" w:ascii="宋体" w:hAnsi="宋体"/>
                <w:snapToGrid w:val="0"/>
                <w:kern w:val="0"/>
                <w:szCs w:val="21"/>
                <w:highlight w:val="none"/>
              </w:rPr>
              <w:t>修改</w:t>
            </w:r>
            <w:r>
              <w:rPr>
                <w:rFonts w:ascii="宋体" w:hAnsi="宋体"/>
                <w:snapToGrid w:val="0"/>
                <w:kern w:val="0"/>
                <w:szCs w:val="21"/>
                <w:highlight w:val="none"/>
              </w:rPr>
              <w:t>内容可能影响</w:t>
            </w:r>
            <w:r>
              <w:rPr>
                <w:rFonts w:hint="eastAsia" w:ascii="宋体" w:hAnsi="宋体"/>
                <w:snapToGrid w:val="0"/>
                <w:kern w:val="0"/>
                <w:szCs w:val="21"/>
                <w:highlight w:val="none"/>
                <w:lang w:eastAsia="zh-CN"/>
              </w:rPr>
              <w:t>竞选文件</w:t>
            </w:r>
            <w:r>
              <w:rPr>
                <w:rFonts w:ascii="宋体" w:hAnsi="宋体"/>
                <w:snapToGrid w:val="0"/>
                <w:kern w:val="0"/>
                <w:szCs w:val="21"/>
                <w:highlight w:val="none"/>
              </w:rPr>
              <w:t>编制的，须在投标截止时间</w:t>
            </w:r>
            <w:r>
              <w:rPr>
                <w:rFonts w:hint="eastAsia" w:ascii="宋体" w:hAnsi="宋体"/>
                <w:snapToGrid w:val="0"/>
                <w:kern w:val="0"/>
                <w:szCs w:val="21"/>
                <w:highlight w:val="none"/>
                <w:lang w:val="en-US" w:eastAsia="zh-CN"/>
              </w:rPr>
              <w:t>1</w:t>
            </w:r>
            <w:r>
              <w:rPr>
                <w:rFonts w:ascii="宋体" w:hAnsi="宋体"/>
                <w:snapToGrid w:val="0"/>
                <w:kern w:val="0"/>
                <w:szCs w:val="21"/>
                <w:highlight w:val="none"/>
              </w:rPr>
              <w:t>日前发布，发布时间至投标截止时间不足</w:t>
            </w:r>
            <w:r>
              <w:rPr>
                <w:rFonts w:hint="eastAsia" w:ascii="宋体" w:hAnsi="宋体"/>
                <w:snapToGrid w:val="0"/>
                <w:kern w:val="0"/>
                <w:szCs w:val="21"/>
                <w:highlight w:val="none"/>
                <w:lang w:val="en-US" w:eastAsia="zh-CN"/>
              </w:rPr>
              <w:t>1</w:t>
            </w:r>
            <w:r>
              <w:rPr>
                <w:rFonts w:ascii="宋体" w:hAnsi="宋体"/>
                <w:snapToGrid w:val="0"/>
                <w:kern w:val="0"/>
                <w:szCs w:val="21"/>
                <w:highlight w:val="none"/>
              </w:rPr>
              <w:t>日的，须相应延后投标截止时间。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3.1.1</w:t>
            </w:r>
          </w:p>
        </w:tc>
        <w:tc>
          <w:tcPr>
            <w:tcW w:w="1644" w:type="dxa"/>
            <w:vAlign w:val="center"/>
          </w:tcPr>
          <w:p>
            <w:pPr>
              <w:snapToGrid w:val="0"/>
              <w:spacing w:after="31" w:afterLines="10" w:line="400" w:lineRule="exact"/>
              <w:jc w:val="center"/>
              <w:rPr>
                <w:rFonts w:ascii="宋体" w:hAnsi="宋体"/>
                <w:kern w:val="0"/>
                <w:szCs w:val="21"/>
                <w:highlight w:val="none"/>
              </w:rPr>
            </w:pPr>
            <w:r>
              <w:rPr>
                <w:rFonts w:ascii="宋体" w:hAnsi="宋体"/>
                <w:kern w:val="0"/>
                <w:szCs w:val="21"/>
                <w:highlight w:val="none"/>
              </w:rPr>
              <w:t>构成</w:t>
            </w:r>
            <w:r>
              <w:rPr>
                <w:rFonts w:hint="eastAsia" w:ascii="宋体" w:hAnsi="宋体"/>
                <w:kern w:val="0"/>
                <w:szCs w:val="21"/>
                <w:highlight w:val="none"/>
                <w:lang w:eastAsia="zh-CN"/>
              </w:rPr>
              <w:t>竞选文件</w:t>
            </w:r>
            <w:r>
              <w:rPr>
                <w:rFonts w:ascii="宋体" w:hAnsi="宋体"/>
                <w:kern w:val="0"/>
                <w:szCs w:val="21"/>
                <w:highlight w:val="none"/>
              </w:rPr>
              <w:t>的其他材料</w:t>
            </w:r>
          </w:p>
        </w:tc>
        <w:tc>
          <w:tcPr>
            <w:tcW w:w="6490" w:type="dxa"/>
            <w:vAlign w:val="center"/>
          </w:tcPr>
          <w:p>
            <w:pPr>
              <w:snapToGrid w:val="0"/>
              <w:spacing w:line="400" w:lineRule="exact"/>
              <w:ind w:firstLine="420" w:firstLineChars="200"/>
              <w:rPr>
                <w:rFonts w:ascii="宋体" w:hAnsi="宋体"/>
                <w:szCs w:val="21"/>
                <w:highlight w:val="none"/>
              </w:rPr>
            </w:pPr>
            <w:r>
              <w:rPr>
                <w:rFonts w:hint="eastAsia" w:ascii="宋体" w:hAnsi="宋体"/>
                <w:szCs w:val="21"/>
                <w:highlight w:val="none"/>
                <w:lang w:eastAsia="zh-CN"/>
              </w:rPr>
              <w:t>竞选人</w:t>
            </w:r>
            <w:r>
              <w:rPr>
                <w:rFonts w:ascii="宋体" w:hAnsi="宋体"/>
                <w:szCs w:val="21"/>
                <w:highlight w:val="none"/>
              </w:rPr>
              <w:t>的书面澄清、说明和补正（但不得改变</w:t>
            </w:r>
            <w:r>
              <w:rPr>
                <w:rFonts w:hint="eastAsia" w:ascii="宋体" w:hAnsi="宋体"/>
                <w:szCs w:val="21"/>
                <w:highlight w:val="none"/>
                <w:lang w:eastAsia="zh-CN"/>
              </w:rPr>
              <w:t>竞选文件</w:t>
            </w:r>
            <w:r>
              <w:rPr>
                <w:rFonts w:ascii="宋体" w:hAnsi="宋体"/>
                <w:szCs w:val="21"/>
                <w:highlight w:val="none"/>
              </w:rPr>
              <w:t>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3.2</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投标报价</w:t>
            </w:r>
          </w:p>
        </w:tc>
        <w:tc>
          <w:tcPr>
            <w:tcW w:w="6490" w:type="dxa"/>
            <w:vAlign w:val="center"/>
          </w:tcPr>
          <w:p>
            <w:pPr>
              <w:spacing w:line="360" w:lineRule="auto"/>
              <w:ind w:firstLine="420" w:firstLineChars="200"/>
              <w:rPr>
                <w:rFonts w:hint="default" w:asciiTheme="minorEastAsia" w:hAnsiTheme="minorEastAsia" w:eastAsiaTheme="minorEastAsia" w:cstheme="minorEastAsia"/>
                <w:b/>
                <w:bCs/>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t>1.使用国有资金投资的建设工程发承包，必须采用工程量清单计价。工程量清单应采用综合单价计价。</w:t>
            </w:r>
            <w:r>
              <w:rPr>
                <w:rFonts w:hint="eastAsia" w:asciiTheme="minorEastAsia" w:hAnsiTheme="minorEastAsia" w:eastAsiaTheme="minorEastAsia" w:cstheme="minorEastAsia"/>
                <w:b/>
                <w:bCs/>
                <w:snapToGrid w:val="0"/>
                <w:kern w:val="0"/>
                <w:sz w:val="21"/>
                <w:szCs w:val="21"/>
                <w:lang w:val="en-US" w:eastAsia="zh-CN"/>
              </w:rPr>
              <w:t>工程量清单中列明全费用综合单价的清单项按全费用综合单价计价，全费用综合单价包含措施费、规费、利润、税金等其他费用。</w:t>
            </w:r>
          </w:p>
          <w:p>
            <w:pPr>
              <w:spacing w:line="360" w:lineRule="auto"/>
              <w:ind w:firstLine="420" w:firstLineChars="200"/>
              <w:rPr>
                <w:rFonts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2.投标人应按《建设工程工程量清单计价规范》（GB50500-2013）及重庆市相关工程量清单计价规则的要求填写相应清单表格。投标人应按本须知、《重庆市建设工程费用定额》（CQFYDE-2018）、《重庆市城乡建设委员会关于适用增值税新税率调整建设工程计价依据的通知》（渝建〔2019〕143号）和第五章“工程量清单”的要求填写相应清单表格。投标人的投标报价应是本章投标人须知前附表1.3.1项中所述的本工程合同段招标范围内的全部工程的投标报价，并以投标人在工程量清单中提出的单价或总价</w:t>
            </w:r>
            <w:r>
              <w:rPr>
                <w:rFonts w:hint="eastAsia" w:asciiTheme="minorEastAsia" w:hAnsiTheme="minorEastAsia" w:eastAsiaTheme="minorEastAsia" w:cstheme="minorEastAsia"/>
                <w:snapToGrid w:val="0"/>
                <w:kern w:val="0"/>
                <w:sz w:val="21"/>
                <w:szCs w:val="21"/>
              </w:rPr>
              <w:footnoteReference w:id="0"/>
            </w:r>
            <w:r>
              <w:rPr>
                <w:rFonts w:hint="eastAsia" w:asciiTheme="minorEastAsia" w:hAnsiTheme="minorEastAsia" w:eastAsiaTheme="minorEastAsia" w:cstheme="minorEastAsia"/>
                <w:snapToGrid w:val="0"/>
                <w:kern w:val="0"/>
                <w:sz w:val="21"/>
                <w:szCs w:val="21"/>
              </w:rPr>
              <w:t>为依据。</w:t>
            </w:r>
          </w:p>
          <w:p>
            <w:pPr>
              <w:spacing w:line="360" w:lineRule="auto"/>
              <w:ind w:firstLine="420" w:firstLineChars="200"/>
              <w:rPr>
                <w:rFonts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3.投标人应认真填写工程量清单中所列的本合同各工程子目的单价或总价。投标人没有填入单价或总价的工程子目，比选人将认为该子目的价款已包括在工程量清单其他子目的单价和总价中。投标人必须按招标工程量清单填报价格。项目编码、项目名称、项目特征、计量单位、工程量必须与招标工程量清单一致。</w:t>
            </w:r>
          </w:p>
          <w:p>
            <w:pPr>
              <w:spacing w:line="360" w:lineRule="auto"/>
              <w:ind w:firstLine="420" w:firstLineChars="200"/>
              <w:rPr>
                <w:rFonts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4.投标函中的总报价必须与已标价工程量清单总报价一致。</w:t>
            </w:r>
          </w:p>
          <w:p>
            <w:pPr>
              <w:spacing w:line="360" w:lineRule="auto"/>
              <w:ind w:firstLine="420" w:firstLineChars="200"/>
              <w:rPr>
                <w:rFonts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5.（1）在合同实施期间，单价和总价按专用合同条款第11条的规定可调整，投标人应填写比选文件第四卷第八章投标函附录中的价格指数和权重系数或确认基准日期前工程造价管理机构发布的信息价格。</w:t>
            </w:r>
          </w:p>
          <w:p>
            <w:pPr>
              <w:spacing w:line="360" w:lineRule="auto"/>
              <w:ind w:firstLine="420" w:firstLineChars="200"/>
              <w:rPr>
                <w:rFonts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（2）增值税计税方法由比选人依据国家税法规定选择：一般计税法</w:t>
            </w:r>
          </w:p>
          <w:p>
            <w:pPr>
              <w:spacing w:line="360" w:lineRule="auto"/>
              <w:ind w:firstLine="420" w:firstLineChars="200"/>
              <w:rPr>
                <w:rFonts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6.如发现工程量清单中的数量与图纸中数量不一致，应于本须知2.2.1项中规定的时间前书面通知比选人核查，除非比选人以补遗书的形式予以更正，否则，应以工程量清单中列出的数量为准。</w:t>
            </w:r>
          </w:p>
          <w:p>
            <w:pPr>
              <w:spacing w:line="360" w:lineRule="auto"/>
              <w:ind w:firstLine="420" w:firstLineChars="200"/>
              <w:rPr>
                <w:rFonts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7.比选人在工程量清单中所列出的价格（包括</w:t>
            </w:r>
            <w:r>
              <w:rPr>
                <w:rFonts w:hint="eastAsia" w:asciiTheme="minorEastAsia" w:hAnsiTheme="minorEastAsia" w:eastAsiaTheme="minorEastAsia" w:cstheme="minorEastAsia"/>
                <w:snapToGrid w:val="0"/>
                <w:kern w:val="0"/>
                <w:sz w:val="21"/>
                <w:szCs w:val="21"/>
                <w:lang w:val="en-US" w:eastAsia="zh-CN"/>
              </w:rPr>
              <w:t>安全文明施工费、</w:t>
            </w:r>
            <w:r>
              <w:rPr>
                <w:rFonts w:hint="eastAsia" w:asciiTheme="minorEastAsia" w:hAnsiTheme="minorEastAsia" w:eastAsiaTheme="minorEastAsia" w:cstheme="minorEastAsia"/>
                <w:snapToGrid w:val="0"/>
                <w:kern w:val="0"/>
                <w:sz w:val="21"/>
                <w:szCs w:val="21"/>
              </w:rPr>
              <w:t>暂列金额、暂估价等），投标人不得修改。</w:t>
            </w:r>
          </w:p>
          <w:p>
            <w:pPr>
              <w:tabs>
                <w:tab w:val="left" w:pos="546"/>
                <w:tab w:val="left" w:pos="711"/>
              </w:tabs>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8.本工程招标将设置投标总报价最高限价，投标总报价</w:t>
            </w:r>
            <w:r>
              <w:rPr>
                <w:rFonts w:hint="eastAsia" w:ascii="宋体" w:hAnsi="宋体"/>
                <w:b/>
                <w:bCs/>
                <w:color w:val="auto"/>
                <w:szCs w:val="21"/>
                <w:highlight w:val="none"/>
              </w:rPr>
              <w:t>最高限价为120696.96元</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大写：壹拾贰万零陆佰玖拾陆元玖角陆分</w:t>
            </w:r>
            <w:r>
              <w:rPr>
                <w:rFonts w:hint="eastAsia" w:ascii="宋体" w:hAnsi="宋体"/>
                <w:b/>
                <w:bCs/>
                <w:color w:val="auto"/>
                <w:szCs w:val="21"/>
                <w:highlight w:val="none"/>
                <w:lang w:eastAsia="zh-CN"/>
              </w:rPr>
              <w:t>）</w:t>
            </w:r>
            <w:r>
              <w:rPr>
                <w:rFonts w:hint="eastAsia" w:ascii="宋体" w:hAnsi="宋体"/>
                <w:color w:val="auto"/>
                <w:szCs w:val="21"/>
                <w:highlight w:val="none"/>
              </w:rPr>
              <w:t>，投标人的投标总报价不得超过其最高限价，否则由评标委员会作否决投标处理。</w:t>
            </w:r>
          </w:p>
          <w:p>
            <w:pPr>
              <w:tabs>
                <w:tab w:val="left" w:pos="546"/>
                <w:tab w:val="left" w:pos="711"/>
              </w:tabs>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本工程招标将设置全部工程量清单综合单价最高限价，工程量清单综合单价最高限价随比选文件发布，投标人的每项工程量清单综合单价报价不得超过其对应清单综合单价最高限价。</w:t>
            </w:r>
          </w:p>
          <w:p>
            <w:pPr>
              <w:tabs>
                <w:tab w:val="left" w:pos="546"/>
                <w:tab w:val="left" w:pos="711"/>
              </w:tabs>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lang w:eastAsia="zh-CN"/>
              </w:rPr>
              <w:t>比选人</w:t>
            </w:r>
            <w:r>
              <w:rPr>
                <w:rFonts w:hint="eastAsia" w:ascii="宋体" w:hAnsi="宋体" w:cs="宋体"/>
                <w:szCs w:val="21"/>
                <w:highlight w:val="none"/>
              </w:rPr>
              <w:t>在合同签订前将对中标人已标价工程量清单进行清标。若发现中标人的工程量清单综合单价报价超过招标时给出的工程量清单综合单价最高限价的，在工程结算时</w:t>
            </w:r>
            <w:r>
              <w:rPr>
                <w:rFonts w:hint="eastAsia" w:ascii="宋体" w:hAnsi="宋体" w:cs="宋体"/>
                <w:szCs w:val="21"/>
                <w:highlight w:val="none"/>
                <w:lang w:eastAsia="zh-CN"/>
              </w:rPr>
              <w:t>比选人</w:t>
            </w:r>
            <w:r>
              <w:rPr>
                <w:rFonts w:hint="eastAsia" w:ascii="宋体" w:hAnsi="宋体" w:cs="宋体"/>
                <w:szCs w:val="21"/>
                <w:highlight w:val="none"/>
              </w:rPr>
              <w:t>将以发出的工程量清单综合单价最高限价为基础，按照中标人的中标总报价与本工程的总价最高限价的下浮比例进行同比例下调，中标人必须无条件接受，否则按中标人违约处理。</w:t>
            </w:r>
            <w:r>
              <w:rPr>
                <w:rFonts w:hint="eastAsia" w:ascii="宋体" w:hAnsi="宋体" w:cs="宋体"/>
                <w:szCs w:val="21"/>
                <w:highlight w:val="none"/>
                <w:lang w:eastAsia="zh-CN"/>
              </w:rPr>
              <w:t>竞选人</w:t>
            </w:r>
            <w:r>
              <w:rPr>
                <w:rFonts w:hint="eastAsia" w:ascii="宋体" w:hAnsi="宋体" w:cs="宋体"/>
                <w:szCs w:val="21"/>
                <w:highlight w:val="none"/>
              </w:rPr>
              <w:t>须在</w:t>
            </w:r>
            <w:r>
              <w:rPr>
                <w:rFonts w:hint="eastAsia" w:ascii="宋体" w:hAnsi="宋体" w:cs="宋体"/>
                <w:szCs w:val="21"/>
                <w:highlight w:val="none"/>
                <w:lang w:eastAsia="zh-CN"/>
              </w:rPr>
              <w:t>竞选文件</w:t>
            </w:r>
            <w:r>
              <w:rPr>
                <w:rFonts w:hint="eastAsia" w:ascii="宋体" w:hAnsi="宋体" w:cs="宋体"/>
                <w:szCs w:val="21"/>
                <w:highlight w:val="none"/>
              </w:rPr>
              <w:t>资格审查部分提供承诺函，承诺函包括以下内容：</w:t>
            </w:r>
          </w:p>
          <w:p>
            <w:pPr>
              <w:tabs>
                <w:tab w:val="left" w:pos="546"/>
                <w:tab w:val="left" w:pos="711"/>
              </w:tabs>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（1）符合第五章“工程量清单”给出的范围及数量。</w:t>
            </w:r>
          </w:p>
          <w:p>
            <w:pPr>
              <w:tabs>
                <w:tab w:val="left" w:pos="546"/>
                <w:tab w:val="left" w:pos="711"/>
              </w:tabs>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（2）招标文件中规定工程量清单不允许修改的内容不得修改。</w:t>
            </w:r>
          </w:p>
          <w:p>
            <w:pPr>
              <w:tabs>
                <w:tab w:val="left" w:pos="546"/>
                <w:tab w:val="left" w:pos="711"/>
              </w:tabs>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（3）每项工程量清单综合单价报价不得高于对应工程量清单综合单价最高限价。</w:t>
            </w:r>
          </w:p>
          <w:p>
            <w:pPr>
              <w:spacing w:line="360" w:lineRule="auto"/>
              <w:ind w:firstLine="420" w:firstLineChars="200"/>
              <w:rPr>
                <w:rFonts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10.本工程所需材料（含设备）价格由投标人参照重庆市建设工程造价管理总站发布的《重庆工程造价信息》或工程造价管理机构发布的工程造价信息（造价信息引用时限为招标公告发布日期前一期），并结合市场行情及自身实力进行自主报价。</w:t>
            </w:r>
          </w:p>
          <w:p>
            <w:pPr>
              <w:spacing w:line="360" w:lineRule="auto"/>
              <w:ind w:firstLine="420" w:firstLineChars="200"/>
              <w:rPr>
                <w:rFonts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11.本项目建筑安装材料价格风险按照《重庆市城乡建设委员会关于进一步加强建筑安装材料价格风险管控的指导意见》（渝建〔2018〕61号）执行。本项目主要材料及设备价格风险内容、范围及调整方法为：不调整。</w:t>
            </w:r>
          </w:p>
          <w:p>
            <w:pPr>
              <w:spacing w:line="360" w:lineRule="auto"/>
              <w:ind w:firstLine="420" w:firstLineChars="200"/>
              <w:rPr>
                <w:rFonts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12.本项目所采用技术、工艺和产品等必须执行重庆市住房和城乡建设委员会关于发布《重庆市建设领域禁止、限制使用落后技术通告（2019年版）（渝建发〔2019〕25号）的规定。</w:t>
            </w:r>
          </w:p>
          <w:p>
            <w:pPr>
              <w:spacing w:line="360" w:lineRule="auto"/>
              <w:ind w:firstLine="420" w:firstLineChars="200"/>
              <w:rPr>
                <w:rFonts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13.本工程主体结构若需混凝土，则必须使用商品混凝土，不得自建搅拌站。</w:t>
            </w:r>
          </w:p>
          <w:p>
            <w:pPr>
              <w:spacing w:line="360" w:lineRule="auto"/>
              <w:ind w:firstLine="420" w:firstLineChars="200"/>
              <w:rPr>
                <w:rFonts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14. 报价原则：投标报价中应包含为实施和完成本项目所需的分部分项工程费（含人工费、材料费、施工机具使用费、企业管理费、利润、一般风险费和其他风险费）、措施项目费（含施工组织措施项目费、安全文明施工费和施工技术措施项目费）、其他项目费、规费、税金和其他风险费。</w:t>
            </w:r>
          </w:p>
          <w:p>
            <w:r>
              <w:rPr>
                <w:rFonts w:hint="eastAsia" w:asciiTheme="minorEastAsia" w:hAnsiTheme="minorEastAsia" w:eastAsiaTheme="minorEastAsia" w:cstheme="minorEastAsia"/>
                <w:snapToGrid w:val="0"/>
                <w:kern w:val="0"/>
                <w:sz w:val="21"/>
                <w:szCs w:val="21"/>
              </w:rPr>
              <w:t>15、</w:t>
            </w:r>
            <w:r>
              <w:rPr>
                <w:rFonts w:hint="eastAsia" w:asciiTheme="minorEastAsia" w:hAnsiTheme="minorEastAsia" w:eastAsiaTheme="minorEastAsia" w:cstheme="minorEastAsia"/>
                <w:b/>
                <w:bCs/>
                <w:snapToGrid w:val="0"/>
                <w:kern w:val="0"/>
                <w:sz w:val="21"/>
                <w:szCs w:val="21"/>
              </w:rPr>
              <w:t>本项目无论因设计变更或施工工艺变化等任何因素而引起实际施工技术措施费的变化，均按投标时施工技术措施项目费的报价作为结算价。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3.3.1</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投标有效期</w:t>
            </w:r>
          </w:p>
        </w:tc>
        <w:tc>
          <w:tcPr>
            <w:tcW w:w="6490" w:type="dxa"/>
            <w:vAlign w:val="center"/>
          </w:tcPr>
          <w:p>
            <w:pPr>
              <w:snapToGrid w:val="0"/>
              <w:spacing w:line="400" w:lineRule="exact"/>
              <w:ind w:firstLine="420" w:firstLineChars="200"/>
              <w:rPr>
                <w:rFonts w:ascii="宋体" w:hAnsi="宋体"/>
                <w:szCs w:val="21"/>
                <w:highlight w:val="none"/>
              </w:rPr>
            </w:pPr>
            <w:r>
              <w:rPr>
                <w:rFonts w:ascii="宋体" w:hAnsi="宋体"/>
                <w:szCs w:val="21"/>
                <w:highlight w:val="none"/>
                <w:u w:val="single"/>
              </w:rPr>
              <w:t xml:space="preserve">  </w:t>
            </w:r>
            <w:r>
              <w:rPr>
                <w:rFonts w:hint="eastAsia" w:ascii="宋体" w:hAnsi="宋体"/>
                <w:szCs w:val="21"/>
                <w:highlight w:val="none"/>
                <w:u w:val="single"/>
                <w:lang w:val="en-US" w:eastAsia="zh-CN"/>
              </w:rPr>
              <w:t>90</w:t>
            </w:r>
            <w:r>
              <w:rPr>
                <w:rFonts w:ascii="宋体" w:hAnsi="宋体"/>
                <w:szCs w:val="21"/>
                <w:highlight w:val="none"/>
                <w:u w:val="single"/>
              </w:rPr>
              <w:t xml:space="preserve"> </w:t>
            </w:r>
            <w:r>
              <w:rPr>
                <w:rFonts w:ascii="宋体" w:hAnsi="宋体"/>
                <w:szCs w:val="21"/>
                <w:highlight w:val="none"/>
              </w:rPr>
              <w:t>日历天（从提交</w:t>
            </w:r>
            <w:r>
              <w:rPr>
                <w:rFonts w:hint="eastAsia" w:ascii="宋体" w:hAnsi="宋体"/>
                <w:szCs w:val="21"/>
                <w:highlight w:val="none"/>
                <w:lang w:eastAsia="zh-CN"/>
              </w:rPr>
              <w:t>竞选文件</w:t>
            </w:r>
            <w:r>
              <w:rPr>
                <w:rFonts w:ascii="宋体" w:hAnsi="宋体"/>
                <w:szCs w:val="21"/>
                <w:highlight w:val="none"/>
              </w:rPr>
              <w:t>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eastAsia="宋体" w:cs="Times New Roman"/>
                <w:color w:val="auto"/>
                <w:kern w:val="0"/>
                <w:sz w:val="21"/>
                <w:szCs w:val="21"/>
                <w:highlight w:val="none"/>
                <w:lang w:val="en-US" w:eastAsia="zh-CN" w:bidi="ar-SA"/>
              </w:rPr>
            </w:pPr>
            <w:r>
              <w:rPr>
                <w:rFonts w:ascii="宋体" w:hAnsi="宋体"/>
                <w:color w:val="auto"/>
                <w:kern w:val="0"/>
                <w:szCs w:val="21"/>
                <w:highlight w:val="none"/>
              </w:rPr>
              <w:t>3.4</w:t>
            </w:r>
          </w:p>
        </w:tc>
        <w:tc>
          <w:tcPr>
            <w:tcW w:w="1644" w:type="dxa"/>
            <w:vAlign w:val="center"/>
          </w:tcPr>
          <w:p>
            <w:pPr>
              <w:snapToGrid w:val="0"/>
              <w:spacing w:line="400" w:lineRule="exact"/>
              <w:jc w:val="center"/>
              <w:rPr>
                <w:rFonts w:ascii="宋体" w:hAnsi="宋体" w:eastAsia="宋体" w:cs="Times New Roman"/>
                <w:color w:val="auto"/>
                <w:kern w:val="0"/>
                <w:sz w:val="21"/>
                <w:szCs w:val="21"/>
                <w:highlight w:val="none"/>
                <w:lang w:val="en-US" w:eastAsia="zh-CN" w:bidi="ar-SA"/>
              </w:rPr>
            </w:pPr>
            <w:r>
              <w:rPr>
                <w:rFonts w:ascii="宋体" w:hAnsi="宋体"/>
                <w:color w:val="auto"/>
                <w:kern w:val="0"/>
                <w:szCs w:val="21"/>
                <w:highlight w:val="none"/>
              </w:rPr>
              <w:t>投标保证金</w:t>
            </w:r>
          </w:p>
        </w:tc>
        <w:tc>
          <w:tcPr>
            <w:tcW w:w="6490" w:type="dxa"/>
            <w:vAlign w:val="center"/>
          </w:tcPr>
          <w:p>
            <w:pPr>
              <w:ind w:firstLine="420" w:firstLineChars="200"/>
              <w:rPr>
                <w:rFonts w:hint="eastAsia"/>
                <w:color w:val="auto"/>
                <w:highlight w:val="none"/>
              </w:rPr>
            </w:pPr>
            <w:r>
              <w:rPr>
                <w:rFonts w:hint="eastAsia"/>
                <w:color w:val="auto"/>
                <w:highlight w:val="none"/>
                <w:lang w:val="en-US" w:eastAsia="zh-CN"/>
              </w:rPr>
              <w:t>方式</w:t>
            </w:r>
            <w:r>
              <w:rPr>
                <w:rFonts w:hint="eastAsia"/>
                <w:color w:val="auto"/>
                <w:highlight w:val="none"/>
              </w:rPr>
              <w:t>一</w:t>
            </w:r>
            <w:r>
              <w:rPr>
                <w:rFonts w:hint="eastAsia"/>
                <w:color w:val="auto"/>
                <w:highlight w:val="none"/>
                <w:lang w:eastAsia="zh-CN"/>
              </w:rPr>
              <w:t>：</w:t>
            </w:r>
            <w:r>
              <w:rPr>
                <w:rFonts w:hint="eastAsia"/>
                <w:color w:val="auto"/>
                <w:highlight w:val="none"/>
              </w:rPr>
              <w:t>以转账形式交纳投标保证金</w:t>
            </w:r>
          </w:p>
          <w:p>
            <w:pPr>
              <w:ind w:firstLine="420" w:firstLineChars="200"/>
              <w:rPr>
                <w:rFonts w:hint="eastAsia"/>
                <w:color w:val="auto"/>
                <w:highlight w:val="none"/>
              </w:rPr>
            </w:pPr>
            <w:r>
              <w:rPr>
                <w:rFonts w:hint="eastAsia"/>
                <w:color w:val="auto"/>
                <w:highlight w:val="none"/>
              </w:rPr>
              <w:t>1、投标保证金交款形式及要求：投标人从企业的基本账户（开户行）在</w:t>
            </w:r>
            <w:r>
              <w:rPr>
                <w:rFonts w:hint="eastAsia"/>
                <w:color w:val="auto"/>
                <w:highlight w:val="none"/>
                <w:lang w:val="en-US" w:eastAsia="zh-CN"/>
              </w:rPr>
              <w:t>投标截止时间</w:t>
            </w:r>
            <w:r>
              <w:rPr>
                <w:rFonts w:hint="eastAsia"/>
                <w:color w:val="auto"/>
                <w:highlight w:val="none"/>
              </w:rPr>
              <w:t>前通过转账方式直接划付至下面指定的投标保证金账户。不满足上述要求的投标保证金无效。</w:t>
            </w:r>
          </w:p>
          <w:p>
            <w:pPr>
              <w:ind w:firstLine="420" w:firstLineChars="200"/>
              <w:rPr>
                <w:rFonts w:hint="eastAsia"/>
                <w:color w:val="auto"/>
                <w:highlight w:val="none"/>
              </w:rPr>
            </w:pPr>
            <w:r>
              <w:rPr>
                <w:rFonts w:hint="eastAsia"/>
                <w:color w:val="auto"/>
                <w:highlight w:val="none"/>
                <w:lang w:val="en-US" w:eastAsia="zh-CN"/>
              </w:rPr>
              <w:t>实际到账时间：以投标保证金账户显示的到账时间为准；</w:t>
            </w:r>
            <w:r>
              <w:rPr>
                <w:rFonts w:hint="eastAsia"/>
                <w:color w:val="auto"/>
                <w:highlight w:val="none"/>
              </w:rPr>
              <w:t>投标人自行考虑汇入时间风险，如同城汇入、异地汇入、跨行汇入的时间要求。</w:t>
            </w:r>
          </w:p>
          <w:p>
            <w:pPr>
              <w:ind w:firstLine="420" w:firstLineChars="200"/>
              <w:rPr>
                <w:rFonts w:hint="eastAsia"/>
                <w:color w:val="auto"/>
                <w:highlight w:val="none"/>
              </w:rPr>
            </w:pPr>
            <w:r>
              <w:rPr>
                <w:rFonts w:hint="eastAsia"/>
                <w:color w:val="auto"/>
                <w:highlight w:val="none"/>
              </w:rPr>
              <w:t>2、以转账形式提交投标保证金的金额：</w:t>
            </w:r>
            <w:r>
              <w:rPr>
                <w:rFonts w:hint="eastAsia"/>
                <w:color w:val="auto"/>
                <w:highlight w:val="none"/>
                <w:lang w:val="en-US" w:eastAsia="zh-CN"/>
              </w:rPr>
              <w:t>1</w:t>
            </w:r>
            <w:r>
              <w:rPr>
                <w:rFonts w:hint="eastAsia"/>
                <w:color w:val="auto"/>
                <w:highlight w:val="none"/>
              </w:rPr>
              <w:t>万元整（人民币）。</w:t>
            </w:r>
          </w:p>
          <w:p>
            <w:pPr>
              <w:ind w:firstLine="420" w:firstLineChars="200"/>
              <w:rPr>
                <w:rFonts w:hint="eastAsia"/>
                <w:color w:val="auto"/>
                <w:highlight w:val="none"/>
              </w:rPr>
            </w:pPr>
            <w:r>
              <w:rPr>
                <w:rFonts w:hint="eastAsia"/>
                <w:color w:val="auto"/>
                <w:highlight w:val="none"/>
              </w:rPr>
              <w:t>3、投标保证金账户及账号（任选其一）：</w:t>
            </w:r>
          </w:p>
          <w:p>
            <w:pPr>
              <w:ind w:firstLine="420" w:firstLineChars="200"/>
              <w:rPr>
                <w:rFonts w:hint="eastAsia"/>
                <w:color w:val="auto"/>
                <w:highlight w:val="none"/>
                <w:lang w:val="en-US" w:eastAsia="zh-CN"/>
              </w:rPr>
            </w:pPr>
            <w:r>
              <w:rPr>
                <w:rFonts w:hint="eastAsia"/>
                <w:color w:val="auto"/>
                <w:highlight w:val="none"/>
                <w:lang w:val="en-US" w:eastAsia="zh-CN"/>
              </w:rPr>
              <w:t xml:space="preserve">户  名：重庆新汇商实业有限公司     </w:t>
            </w:r>
          </w:p>
          <w:p>
            <w:pPr>
              <w:ind w:firstLine="420" w:firstLineChars="200"/>
              <w:rPr>
                <w:rFonts w:hint="eastAsia"/>
                <w:color w:val="auto"/>
                <w:highlight w:val="none"/>
                <w:lang w:val="en-US" w:eastAsia="zh-CN"/>
              </w:rPr>
            </w:pPr>
            <w:r>
              <w:rPr>
                <w:rFonts w:hint="eastAsia"/>
                <w:color w:val="auto"/>
                <w:highlight w:val="none"/>
                <w:lang w:val="en-US" w:eastAsia="zh-CN"/>
              </w:rPr>
              <w:t xml:space="preserve">开户行：招商银行南岸支行 </w:t>
            </w:r>
          </w:p>
          <w:p>
            <w:pPr>
              <w:ind w:firstLine="420" w:firstLineChars="200"/>
              <w:rPr>
                <w:rFonts w:hint="eastAsia"/>
                <w:color w:val="auto"/>
                <w:highlight w:val="none"/>
                <w:lang w:val="en-US" w:eastAsia="zh-CN"/>
              </w:rPr>
            </w:pPr>
            <w:r>
              <w:rPr>
                <w:rFonts w:hint="eastAsia"/>
                <w:color w:val="auto"/>
                <w:highlight w:val="none"/>
                <w:lang w:val="en-US" w:eastAsia="zh-CN"/>
              </w:rPr>
              <w:t>账  号：123905136510401</w:t>
            </w:r>
          </w:p>
          <w:p>
            <w:pPr>
              <w:ind w:firstLine="420" w:firstLineChars="200"/>
              <w:rPr>
                <w:rFonts w:hint="eastAsia"/>
                <w:color w:val="auto"/>
                <w:highlight w:val="none"/>
              </w:rPr>
            </w:pPr>
            <w:r>
              <w:rPr>
                <w:rFonts w:hint="eastAsia"/>
                <w:color w:val="auto"/>
                <w:highlight w:val="none"/>
              </w:rPr>
              <w:t>投标人须在投标文件资格审查部分“其他资料”中提供企业基本账户开户证明文件。</w:t>
            </w:r>
          </w:p>
          <w:p>
            <w:pPr>
              <w:ind w:firstLine="420" w:firstLineChars="200"/>
              <w:rPr>
                <w:rFonts w:hint="eastAsia"/>
                <w:color w:val="auto"/>
                <w:highlight w:val="none"/>
              </w:rPr>
            </w:pPr>
            <w:r>
              <w:rPr>
                <w:rFonts w:hint="eastAsia"/>
                <w:color w:val="auto"/>
                <w:highlight w:val="none"/>
              </w:rPr>
              <w:t>4、投标人必须在付款凭证备注栏中注明是</w:t>
            </w:r>
            <w:r>
              <w:rPr>
                <w:rFonts w:hint="eastAsia"/>
                <w:color w:val="auto"/>
                <w:highlight w:val="none"/>
                <w:lang w:val="en-US" w:eastAsia="zh-CN"/>
              </w:rPr>
              <w:t>“ XXX项目投标保证金”。</w:t>
            </w:r>
          </w:p>
          <w:p>
            <w:pPr>
              <w:ind w:firstLine="420" w:firstLineChars="200"/>
              <w:rPr>
                <w:rFonts w:hint="eastAsia"/>
                <w:color w:val="auto"/>
                <w:highlight w:val="none"/>
              </w:rPr>
            </w:pPr>
            <w:r>
              <w:rPr>
                <w:rFonts w:hint="eastAsia"/>
                <w:color w:val="auto"/>
                <w:highlight w:val="none"/>
              </w:rPr>
              <w:t>5、投标保证金有效期与投标有效期一致。</w:t>
            </w:r>
          </w:p>
          <w:p>
            <w:pPr>
              <w:ind w:firstLine="420" w:firstLineChars="200"/>
              <w:rPr>
                <w:rFonts w:hint="eastAsia"/>
                <w:color w:val="auto"/>
                <w:highlight w:val="none"/>
              </w:rPr>
            </w:pPr>
            <w:r>
              <w:rPr>
                <w:rFonts w:hint="eastAsia"/>
                <w:color w:val="auto"/>
                <w:highlight w:val="none"/>
              </w:rPr>
              <w:t>6、评标过程中由评标委员会根据投标人在投标文件中提供的企业基本账户开户证明文件核实其投标保证金是否由基本账户转入，未从基本账户转入的，由评标委员会作否决投标处理。</w:t>
            </w:r>
          </w:p>
          <w:p>
            <w:pPr>
              <w:ind w:firstLine="420" w:firstLineChars="200"/>
              <w:rPr>
                <w:rFonts w:hint="eastAsia"/>
                <w:color w:val="auto"/>
                <w:highlight w:val="none"/>
              </w:rPr>
            </w:pPr>
            <w:r>
              <w:rPr>
                <w:rFonts w:hint="eastAsia"/>
                <w:color w:val="auto"/>
                <w:highlight w:val="none"/>
              </w:rPr>
              <w:t>二、投标保证金的退还</w:t>
            </w:r>
          </w:p>
          <w:p>
            <w:pPr>
              <w:ind w:firstLine="420" w:firstLineChars="200"/>
              <w:rPr>
                <w:rFonts w:hint="eastAsia"/>
                <w:color w:val="auto"/>
                <w:highlight w:val="none"/>
              </w:rPr>
            </w:pPr>
            <w:r>
              <w:rPr>
                <w:rFonts w:hint="eastAsia"/>
                <w:color w:val="auto"/>
                <w:highlight w:val="none"/>
              </w:rPr>
              <w:t>招标人在中标通知书发出后</w:t>
            </w:r>
            <w:r>
              <w:rPr>
                <w:rFonts w:hint="eastAsia"/>
                <w:color w:val="auto"/>
                <w:highlight w:val="none"/>
                <w:lang w:val="en-US" w:eastAsia="zh-CN"/>
              </w:rPr>
              <w:t>15</w:t>
            </w:r>
            <w:r>
              <w:rPr>
                <w:rFonts w:hint="eastAsia"/>
                <w:color w:val="auto"/>
                <w:highlight w:val="none"/>
              </w:rPr>
              <w:t>个工作日内，退还向除中标人和中标候选人以外的投标人</w:t>
            </w:r>
            <w:r>
              <w:rPr>
                <w:rFonts w:hint="eastAsia"/>
                <w:color w:val="auto"/>
                <w:highlight w:val="none"/>
                <w:lang w:val="en-US" w:eastAsia="zh-CN"/>
              </w:rPr>
              <w:t>的</w:t>
            </w:r>
            <w:r>
              <w:rPr>
                <w:rFonts w:hint="eastAsia"/>
                <w:color w:val="auto"/>
                <w:highlight w:val="none"/>
              </w:rPr>
              <w:t>投标保证金</w:t>
            </w:r>
            <w:r>
              <w:rPr>
                <w:rFonts w:hint="eastAsia"/>
                <w:color w:val="auto"/>
                <w:highlight w:val="none"/>
                <w:lang w:eastAsia="zh-CN"/>
              </w:rPr>
              <w:t>（</w:t>
            </w:r>
            <w:r>
              <w:rPr>
                <w:rFonts w:hint="eastAsia"/>
                <w:color w:val="auto"/>
                <w:highlight w:val="none"/>
                <w:lang w:val="en-US" w:eastAsia="zh-CN"/>
              </w:rPr>
              <w:t>不计息</w:t>
            </w:r>
            <w:r>
              <w:rPr>
                <w:rFonts w:hint="eastAsia"/>
                <w:color w:val="auto"/>
                <w:highlight w:val="none"/>
                <w:lang w:eastAsia="zh-CN"/>
              </w:rPr>
              <w:t>）</w:t>
            </w:r>
            <w:r>
              <w:rPr>
                <w:rFonts w:hint="eastAsia"/>
                <w:color w:val="auto"/>
                <w:highlight w:val="none"/>
              </w:rPr>
              <w:t>。</w:t>
            </w:r>
          </w:p>
          <w:p>
            <w:pPr>
              <w:ind w:firstLine="420" w:firstLineChars="200"/>
              <w:rPr>
                <w:rFonts w:hint="eastAsia"/>
                <w:color w:val="auto"/>
                <w:highlight w:val="none"/>
              </w:rPr>
            </w:pPr>
            <w:r>
              <w:rPr>
                <w:rFonts w:hint="eastAsia"/>
                <w:color w:val="auto"/>
                <w:highlight w:val="none"/>
              </w:rPr>
              <w:t>招标人和中标人签订合同</w:t>
            </w:r>
            <w:r>
              <w:rPr>
                <w:rFonts w:hint="eastAsia"/>
                <w:color w:val="auto"/>
                <w:highlight w:val="none"/>
                <w:lang w:val="en-US" w:eastAsia="zh-CN"/>
              </w:rPr>
              <w:t>后</w:t>
            </w:r>
            <w:r>
              <w:rPr>
                <w:rFonts w:hint="eastAsia"/>
                <w:color w:val="auto"/>
                <w:highlight w:val="none"/>
                <w:lang w:eastAsia="zh-CN"/>
              </w:rPr>
              <w:t>，</w:t>
            </w:r>
            <w:r>
              <w:rPr>
                <w:rFonts w:hint="eastAsia"/>
                <w:color w:val="auto"/>
                <w:highlight w:val="none"/>
              </w:rPr>
              <w:t>当在合同生效后</w:t>
            </w:r>
            <w:r>
              <w:rPr>
                <w:rFonts w:hint="eastAsia"/>
                <w:color w:val="auto"/>
                <w:highlight w:val="none"/>
                <w:lang w:val="en-US" w:eastAsia="zh-CN"/>
              </w:rPr>
              <w:t>15</w:t>
            </w:r>
            <w:r>
              <w:rPr>
                <w:rFonts w:hint="eastAsia"/>
                <w:color w:val="auto"/>
                <w:highlight w:val="none"/>
              </w:rPr>
              <w:t>个工作日内</w:t>
            </w:r>
            <w:r>
              <w:rPr>
                <w:rFonts w:hint="eastAsia"/>
                <w:color w:val="auto"/>
                <w:highlight w:val="none"/>
                <w:lang w:eastAsia="zh-CN"/>
              </w:rPr>
              <w:t>，</w:t>
            </w:r>
            <w:r>
              <w:rPr>
                <w:rFonts w:hint="eastAsia"/>
                <w:color w:val="auto"/>
                <w:highlight w:val="none"/>
              </w:rPr>
              <w:t>向中标人和中标候选人退还投标保证金</w:t>
            </w:r>
            <w:r>
              <w:rPr>
                <w:rFonts w:hint="eastAsia"/>
                <w:color w:val="auto"/>
                <w:highlight w:val="none"/>
                <w:lang w:eastAsia="zh-CN"/>
              </w:rPr>
              <w:t>（</w:t>
            </w:r>
            <w:r>
              <w:rPr>
                <w:rFonts w:hint="eastAsia"/>
                <w:color w:val="auto"/>
                <w:highlight w:val="none"/>
                <w:lang w:val="en-US" w:eastAsia="zh-CN"/>
              </w:rPr>
              <w:t>不计息</w:t>
            </w:r>
            <w:r>
              <w:rPr>
                <w:rFonts w:hint="eastAsia"/>
                <w:color w:val="auto"/>
                <w:highlight w:val="none"/>
                <w:lang w:eastAsia="zh-CN"/>
              </w:rPr>
              <w:t>）</w:t>
            </w:r>
            <w:r>
              <w:rPr>
                <w:rFonts w:hint="eastAsia"/>
                <w:color w:val="auto"/>
                <w:highlight w:val="none"/>
              </w:rPr>
              <w:t>。</w:t>
            </w:r>
          </w:p>
          <w:p>
            <w:pPr>
              <w:snapToGrid w:val="0"/>
              <w:spacing w:line="400" w:lineRule="exact"/>
              <w:ind w:firstLine="420" w:firstLineChars="200"/>
              <w:rPr>
                <w:rFonts w:hint="eastAsia"/>
                <w:color w:val="auto"/>
                <w:highlight w:val="none"/>
                <w:lang w:val="en-US" w:eastAsia="zh-CN"/>
              </w:rPr>
            </w:pPr>
            <w:r>
              <w:rPr>
                <w:rFonts w:hint="eastAsia"/>
                <w:color w:val="auto"/>
                <w:highlight w:val="none"/>
                <w:lang w:val="en-US" w:eastAsia="zh-CN"/>
              </w:rPr>
              <w:t>方式二：</w:t>
            </w:r>
          </w:p>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一、</w:t>
            </w:r>
            <w:r>
              <w:rPr>
                <w:rFonts w:hint="eastAsia" w:ascii="宋体" w:hAnsi="宋体"/>
                <w:color w:val="auto"/>
                <w:kern w:val="0"/>
                <w:szCs w:val="21"/>
                <w:highlight w:val="none"/>
              </w:rPr>
              <w:t>以纸质投标保函形式交纳投标保证金</w:t>
            </w:r>
          </w:p>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 纸质投标保函</w:t>
            </w:r>
            <w:r>
              <w:rPr>
                <w:rFonts w:ascii="宋体" w:hAnsi="宋体"/>
                <w:color w:val="auto"/>
                <w:kern w:val="0"/>
                <w:szCs w:val="21"/>
                <w:highlight w:val="none"/>
              </w:rPr>
              <w:t>交纳形式及要求：</w:t>
            </w:r>
          </w:p>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（1）缴纳形式：</w:t>
            </w:r>
            <w:r>
              <w:rPr>
                <w:rFonts w:hint="eastAsia" w:ascii="宋体" w:hAnsi="宋体"/>
                <w:color w:val="auto"/>
                <w:kern w:val="0"/>
                <w:szCs w:val="21"/>
                <w:highlight w:val="none"/>
                <w:lang w:val="en-US" w:eastAsia="zh-CN"/>
              </w:rPr>
              <w:t>纸质投标保函</w:t>
            </w:r>
            <w:r>
              <w:rPr>
                <w:rFonts w:hint="eastAsia" w:ascii="宋体" w:hAnsi="宋体"/>
                <w:color w:val="auto"/>
                <w:kern w:val="0"/>
                <w:szCs w:val="21"/>
                <w:highlight w:val="none"/>
              </w:rPr>
              <w:t>包括银行保函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保证保险和担保保函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其示范文本详见第八章投标文件格式。投标人提交的纸质投标保函应</w:t>
            </w:r>
            <w:r>
              <w:rPr>
                <w:rFonts w:hint="eastAsia" w:ascii="宋体" w:hAnsi="宋体"/>
                <w:color w:val="auto"/>
                <w:kern w:val="0"/>
                <w:szCs w:val="21"/>
                <w:highlight w:val="none"/>
              </w:rPr>
              <w:t>严格执行</w:t>
            </w:r>
            <w:r>
              <w:rPr>
                <w:rFonts w:hint="eastAsia" w:ascii="宋体" w:hAnsi="宋体"/>
                <w:color w:val="auto"/>
                <w:kern w:val="0"/>
                <w:szCs w:val="21"/>
                <w:highlight w:val="none"/>
                <w:lang w:val="en-US" w:eastAsia="zh-CN"/>
              </w:rPr>
              <w:t>其</w:t>
            </w:r>
            <w:r>
              <w:rPr>
                <w:rFonts w:hint="eastAsia" w:ascii="宋体" w:hAnsi="宋体"/>
                <w:color w:val="auto"/>
                <w:kern w:val="0"/>
                <w:szCs w:val="21"/>
                <w:highlight w:val="none"/>
              </w:rPr>
              <w:t>示范文本，不得对示范文本中的实质性内容进行修改</w:t>
            </w:r>
            <w:r>
              <w:rPr>
                <w:rFonts w:hint="eastAsia" w:ascii="宋体" w:hAnsi="宋体"/>
                <w:color w:val="auto"/>
                <w:kern w:val="0"/>
                <w:szCs w:val="21"/>
                <w:highlight w:val="none"/>
                <w:lang w:eastAsia="zh-CN"/>
              </w:rPr>
              <w:t>。</w:t>
            </w:r>
          </w:p>
          <w:p>
            <w:pPr>
              <w:snapToGrid w:val="0"/>
              <w:spacing w:line="400" w:lineRule="exact"/>
              <w:ind w:firstLine="420" w:firstLineChars="200"/>
              <w:rPr>
                <w:rFonts w:hint="eastAsia" w:ascii="宋体" w:hAnsi="宋体"/>
                <w:color w:val="auto"/>
                <w:kern w:val="0"/>
                <w:szCs w:val="21"/>
                <w:highlight w:val="none"/>
                <w:lang w:val="en-US" w:eastAsia="zh-CN"/>
              </w:rPr>
            </w:pPr>
            <w:r>
              <w:rPr>
                <w:rFonts w:ascii="宋体" w:hAnsi="宋体"/>
                <w:color w:val="auto"/>
                <w:kern w:val="0"/>
                <w:szCs w:val="21"/>
                <w:highlight w:val="none"/>
              </w:rPr>
              <w:t>（2）具体要求：</w:t>
            </w:r>
            <w:r>
              <w:rPr>
                <w:rFonts w:hint="eastAsia" w:ascii="宋体" w:hAnsi="宋体"/>
                <w:color w:val="auto"/>
                <w:kern w:val="0"/>
                <w:szCs w:val="21"/>
                <w:highlight w:val="none"/>
                <w:lang w:val="en-US" w:eastAsia="zh-CN"/>
              </w:rPr>
              <w:t>纸质投标</w:t>
            </w:r>
            <w:r>
              <w:rPr>
                <w:rFonts w:hint="eastAsia" w:ascii="宋体" w:hAnsi="宋体"/>
                <w:color w:val="auto"/>
                <w:kern w:val="0"/>
                <w:szCs w:val="21"/>
                <w:highlight w:val="none"/>
              </w:rPr>
              <w:t>保函的开立人应当是具有相应资格的银行、保险机构、融资担保公司，其信用资质、履约能力、担保能力、赔付流程、安全保密等应符合工程保函业务条件</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纸质投标</w:t>
            </w:r>
            <w:r>
              <w:rPr>
                <w:rFonts w:hint="eastAsia" w:ascii="宋体" w:hAnsi="宋体"/>
                <w:color w:val="auto"/>
                <w:kern w:val="0"/>
                <w:szCs w:val="21"/>
                <w:highlight w:val="none"/>
                <w:lang w:eastAsia="zh-CN"/>
              </w:rPr>
              <w:t>保函应合法合规，符合招投标行政监督部门、行业主管部门和金融监管部门的相关规定，满足招标文件约定要求。</w:t>
            </w:r>
            <w:r>
              <w:rPr>
                <w:rFonts w:hint="eastAsia" w:ascii="宋体" w:hAnsi="宋体"/>
                <w:color w:val="auto"/>
                <w:kern w:val="0"/>
                <w:szCs w:val="21"/>
                <w:highlight w:val="none"/>
                <w:lang w:val="en-US" w:eastAsia="zh-CN"/>
              </w:rPr>
              <w:t>投标人</w:t>
            </w:r>
            <w:r>
              <w:rPr>
                <w:rFonts w:hint="eastAsia" w:ascii="宋体" w:hAnsi="宋体"/>
                <w:color w:val="auto"/>
                <w:kern w:val="0"/>
                <w:szCs w:val="21"/>
                <w:highlight w:val="none"/>
              </w:rPr>
              <w:t>应选择在渝依法设立总部或者设有分支机构的金融机构开具</w:t>
            </w:r>
            <w:r>
              <w:rPr>
                <w:rFonts w:hint="eastAsia" w:ascii="宋体" w:hAnsi="宋体"/>
                <w:color w:val="auto"/>
                <w:kern w:val="0"/>
                <w:szCs w:val="21"/>
                <w:highlight w:val="none"/>
                <w:lang w:val="en-US" w:eastAsia="zh-CN"/>
              </w:rPr>
              <w:t>纸质投标</w:t>
            </w:r>
            <w:r>
              <w:rPr>
                <w:rFonts w:hint="eastAsia" w:ascii="宋体" w:hAnsi="宋体"/>
                <w:color w:val="auto"/>
                <w:kern w:val="0"/>
                <w:szCs w:val="21"/>
                <w:highlight w:val="none"/>
              </w:rPr>
              <w:t>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投标人对所提交的纸质投标保函的真实性、合法性、有效性负责。</w:t>
            </w:r>
          </w:p>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投标人</w:t>
            </w:r>
            <w:r>
              <w:rPr>
                <w:rFonts w:hint="eastAsia" w:ascii="宋体" w:hAnsi="宋体"/>
                <w:color w:val="auto"/>
                <w:kern w:val="0"/>
                <w:szCs w:val="21"/>
                <w:highlight w:val="none"/>
              </w:rPr>
              <w:t>须在投标文件投标保函部分</w:t>
            </w:r>
            <w:r>
              <w:rPr>
                <w:rFonts w:ascii="宋体" w:hAnsi="宋体"/>
                <w:color w:val="auto"/>
                <w:kern w:val="0"/>
                <w:szCs w:val="21"/>
                <w:highlight w:val="none"/>
              </w:rPr>
              <w:t>提供</w:t>
            </w:r>
            <w:r>
              <w:rPr>
                <w:rFonts w:hint="eastAsia" w:ascii="宋体" w:hAnsi="宋体"/>
                <w:color w:val="auto"/>
                <w:kern w:val="0"/>
                <w:szCs w:val="21"/>
                <w:highlight w:val="none"/>
                <w:lang w:val="en-US" w:eastAsia="zh-CN"/>
              </w:rPr>
              <w:t>纸质</w:t>
            </w:r>
            <w:r>
              <w:rPr>
                <w:rFonts w:ascii="宋体" w:hAnsi="宋体"/>
                <w:color w:val="auto"/>
                <w:kern w:val="0"/>
                <w:szCs w:val="21"/>
                <w:highlight w:val="none"/>
              </w:rPr>
              <w:t>投标保函</w:t>
            </w:r>
            <w:r>
              <w:rPr>
                <w:rFonts w:hint="eastAsia" w:ascii="宋体" w:hAnsi="宋体"/>
                <w:color w:val="auto"/>
                <w:kern w:val="0"/>
                <w:szCs w:val="21"/>
                <w:highlight w:val="none"/>
              </w:rPr>
              <w:t>复印件，</w:t>
            </w:r>
            <w:r>
              <w:rPr>
                <w:rFonts w:hint="eastAsia" w:ascii="宋体" w:hAnsi="宋体"/>
                <w:color w:val="auto"/>
                <w:kern w:val="0"/>
                <w:szCs w:val="21"/>
                <w:highlight w:val="none"/>
                <w:lang w:val="en-US" w:eastAsia="zh-CN"/>
              </w:rPr>
              <w:t>纸质</w:t>
            </w:r>
            <w:r>
              <w:rPr>
                <w:rFonts w:hint="eastAsia" w:ascii="宋体" w:hAnsi="宋体"/>
                <w:color w:val="auto"/>
                <w:kern w:val="0"/>
                <w:szCs w:val="21"/>
                <w:highlight w:val="none"/>
              </w:rPr>
              <w:t>投标保函原件随其他要求提供的原件一并放入原件袋中，在递交投标文件时一次性递交</w:t>
            </w:r>
            <w:r>
              <w:rPr>
                <w:rFonts w:ascii="宋体" w:hAnsi="宋体"/>
                <w:color w:val="auto"/>
                <w:kern w:val="0"/>
                <w:szCs w:val="21"/>
                <w:highlight w:val="none"/>
              </w:rPr>
              <w:t>。</w:t>
            </w:r>
            <w:r>
              <w:rPr>
                <w:rFonts w:hint="eastAsia" w:ascii="宋体" w:hAnsi="宋体"/>
                <w:color w:val="auto"/>
                <w:kern w:val="0"/>
                <w:szCs w:val="21"/>
                <w:highlight w:val="none"/>
              </w:rPr>
              <w:t>退还原件袋时，</w:t>
            </w:r>
            <w:r>
              <w:rPr>
                <w:rFonts w:hint="eastAsia" w:ascii="宋体" w:hAnsi="宋体"/>
                <w:color w:val="auto"/>
                <w:kern w:val="0"/>
                <w:szCs w:val="21"/>
                <w:highlight w:val="none"/>
                <w:lang w:val="en-US" w:eastAsia="zh-CN"/>
              </w:rPr>
              <w:t>纸质</w:t>
            </w:r>
            <w:r>
              <w:rPr>
                <w:rFonts w:hint="eastAsia" w:ascii="宋体" w:hAnsi="宋体"/>
                <w:color w:val="auto"/>
                <w:kern w:val="0"/>
                <w:szCs w:val="21"/>
                <w:highlight w:val="none"/>
              </w:rPr>
              <w:t>投标保函原件不退还，由招标人保管。</w:t>
            </w:r>
          </w:p>
          <w:p>
            <w:pPr>
              <w:snapToGrid w:val="0"/>
              <w:spacing w:line="400" w:lineRule="exact"/>
              <w:ind w:firstLine="420" w:firstLineChars="200"/>
              <w:rPr>
                <w:color w:val="auto"/>
                <w:highlight w:val="none"/>
              </w:rPr>
            </w:pPr>
            <w:r>
              <w:rPr>
                <w:rFonts w:hint="eastAsia"/>
                <w:color w:val="auto"/>
                <w:highlight w:val="none"/>
              </w:rPr>
              <w:t>若投标截止时间延期，则纸质投标保函递交的截止时间和投标截止时间保持一致。</w:t>
            </w:r>
          </w:p>
          <w:p>
            <w:pPr>
              <w:snapToGrid w:val="0"/>
              <w:spacing w:line="400" w:lineRule="exact"/>
              <w:ind w:firstLine="420" w:firstLineChars="200"/>
              <w:rPr>
                <w:color w:val="auto"/>
                <w:highlight w:val="none"/>
              </w:rPr>
            </w:pPr>
            <w:r>
              <w:rPr>
                <w:rFonts w:hint="eastAsia" w:ascii="宋体" w:hAnsi="宋体"/>
                <w:color w:val="auto"/>
                <w:kern w:val="0"/>
                <w:szCs w:val="21"/>
                <w:highlight w:val="none"/>
              </w:rPr>
              <w:t>不满足上述要求的纸质</w:t>
            </w:r>
            <w:r>
              <w:rPr>
                <w:rFonts w:ascii="宋体" w:hAnsi="宋体"/>
                <w:color w:val="auto"/>
                <w:kern w:val="0"/>
                <w:szCs w:val="21"/>
                <w:highlight w:val="none"/>
              </w:rPr>
              <w:t>投标保函无效。</w:t>
            </w:r>
          </w:p>
          <w:p>
            <w:pPr>
              <w:snapToGrid w:val="0"/>
              <w:spacing w:line="400" w:lineRule="exact"/>
              <w:ind w:firstLine="420" w:firstLineChars="200"/>
              <w:rPr>
                <w:color w:val="auto"/>
                <w:highlight w:val="none"/>
              </w:rPr>
            </w:pPr>
            <w:r>
              <w:rPr>
                <w:rFonts w:ascii="宋体" w:hAnsi="宋体"/>
                <w:color w:val="auto"/>
                <w:kern w:val="0"/>
                <w:szCs w:val="21"/>
                <w:highlight w:val="none"/>
              </w:rPr>
              <w:t>2</w:t>
            </w:r>
            <w:r>
              <w:rPr>
                <w:rFonts w:hint="eastAsia" w:ascii="宋体" w:hAnsi="宋体"/>
                <w:color w:val="auto"/>
                <w:kern w:val="0"/>
                <w:szCs w:val="21"/>
                <w:highlight w:val="none"/>
              </w:rPr>
              <w:t xml:space="preserve">. </w:t>
            </w:r>
            <w:r>
              <w:rPr>
                <w:rFonts w:hint="eastAsia"/>
                <w:color w:val="auto"/>
                <w:highlight w:val="none"/>
              </w:rPr>
              <w:t>以纸质投标保函形式担保的</w:t>
            </w:r>
            <w:r>
              <w:rPr>
                <w:color w:val="auto"/>
                <w:highlight w:val="none"/>
              </w:rPr>
              <w:t>投标保证金的金额</w:t>
            </w:r>
            <w:r>
              <w:rPr>
                <w:rFonts w:ascii="宋体" w:hAnsi="宋体"/>
                <w:color w:val="auto"/>
                <w:kern w:val="0"/>
                <w:szCs w:val="21"/>
                <w:highlight w:val="none"/>
              </w:rPr>
              <w:t>：</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1</w:t>
            </w:r>
            <w:r>
              <w:rPr>
                <w:rFonts w:ascii="宋体" w:hAnsi="宋体"/>
                <w:color w:val="auto"/>
                <w:kern w:val="0"/>
                <w:szCs w:val="21"/>
                <w:highlight w:val="none"/>
                <w:u w:val="single"/>
              </w:rPr>
              <w:t xml:space="preserve">  </w:t>
            </w:r>
            <w:r>
              <w:rPr>
                <w:rFonts w:ascii="宋体" w:hAnsi="宋体"/>
                <w:color w:val="auto"/>
                <w:kern w:val="0"/>
                <w:szCs w:val="21"/>
                <w:highlight w:val="none"/>
              </w:rPr>
              <w:t>万元整（人民币）</w:t>
            </w:r>
            <w:r>
              <w:rPr>
                <w:rFonts w:hint="eastAsia"/>
                <w:color w:val="auto"/>
                <w:highlight w:val="none"/>
              </w:rPr>
              <w:t>。</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 xml:space="preserve">3. </w:t>
            </w:r>
            <w:r>
              <w:rPr>
                <w:rFonts w:ascii="宋体" w:hAnsi="宋体"/>
                <w:color w:val="auto"/>
                <w:kern w:val="0"/>
                <w:szCs w:val="21"/>
                <w:highlight w:val="none"/>
              </w:rPr>
              <w:t>投标人须</w:t>
            </w:r>
            <w:r>
              <w:rPr>
                <w:rFonts w:hint="eastAsia"/>
                <w:color w:val="auto"/>
                <w:highlight w:val="none"/>
              </w:rPr>
              <w:t>在</w:t>
            </w:r>
            <w:r>
              <w:rPr>
                <w:rFonts w:hint="eastAsia" w:ascii="宋体" w:hAnsi="宋体"/>
                <w:color w:val="auto"/>
                <w:kern w:val="0"/>
                <w:szCs w:val="21"/>
                <w:highlight w:val="none"/>
              </w:rPr>
              <w:t>纸质投标保函</w:t>
            </w:r>
            <w:r>
              <w:rPr>
                <w:rFonts w:hint="eastAsia" w:ascii="宋体" w:hAnsi="宋体"/>
                <w:color w:val="auto"/>
                <w:kern w:val="0"/>
                <w:szCs w:val="21"/>
                <w:highlight w:val="none"/>
                <w:lang w:val="en-US" w:eastAsia="zh-CN"/>
              </w:rPr>
              <w:t>中注明</w:t>
            </w:r>
            <w:r>
              <w:rPr>
                <w:rFonts w:hint="eastAsia" w:ascii="宋体" w:hAnsi="宋体"/>
                <w:color w:val="auto"/>
                <w:kern w:val="0"/>
                <w:szCs w:val="21"/>
                <w:highlight w:val="none"/>
              </w:rPr>
              <w:t>在重庆市辖区范围内的核验</w:t>
            </w:r>
            <w:r>
              <w:rPr>
                <w:rFonts w:hint="eastAsia" w:ascii="宋体" w:hAnsi="宋体"/>
                <w:color w:val="auto"/>
                <w:kern w:val="0"/>
                <w:szCs w:val="21"/>
                <w:highlight w:val="none"/>
                <w:lang w:val="en-US" w:eastAsia="zh-CN"/>
              </w:rPr>
              <w:t>地址和核验方式，并</w:t>
            </w:r>
            <w:r>
              <w:rPr>
                <w:rFonts w:hint="eastAsia" w:ascii="宋体" w:hAnsi="宋体"/>
                <w:color w:val="auto"/>
                <w:kern w:val="0"/>
                <w:szCs w:val="21"/>
                <w:highlight w:val="none"/>
              </w:rPr>
              <w:t>确保其递交的纸质</w:t>
            </w:r>
            <w:r>
              <w:rPr>
                <w:rFonts w:ascii="宋体" w:hAnsi="宋体"/>
                <w:color w:val="auto"/>
                <w:kern w:val="0"/>
                <w:szCs w:val="21"/>
                <w:highlight w:val="none"/>
              </w:rPr>
              <w:t>投标保函能在</w:t>
            </w:r>
            <w:r>
              <w:rPr>
                <w:rFonts w:hint="eastAsia" w:ascii="宋体" w:hAnsi="宋体"/>
                <w:color w:val="auto"/>
                <w:kern w:val="0"/>
                <w:szCs w:val="21"/>
                <w:highlight w:val="none"/>
                <w:lang w:val="en-US" w:eastAsia="zh-CN"/>
              </w:rPr>
              <w:t>开立人</w:t>
            </w:r>
            <w:r>
              <w:rPr>
                <w:rFonts w:hint="eastAsia" w:ascii="宋体" w:hAnsi="宋体"/>
                <w:color w:val="auto"/>
                <w:kern w:val="0"/>
                <w:szCs w:val="21"/>
                <w:highlight w:val="none"/>
              </w:rPr>
              <w:t>在渝</w:t>
            </w:r>
            <w:r>
              <w:rPr>
                <w:rFonts w:hint="eastAsia" w:ascii="宋体" w:hAnsi="宋体"/>
                <w:color w:val="auto"/>
                <w:kern w:val="0"/>
                <w:szCs w:val="21"/>
                <w:highlight w:val="none"/>
                <w:lang w:val="en-US" w:eastAsia="zh-CN"/>
              </w:rPr>
              <w:t>的</w:t>
            </w:r>
            <w:r>
              <w:rPr>
                <w:rFonts w:hint="eastAsia" w:ascii="宋体" w:hAnsi="宋体"/>
                <w:color w:val="auto"/>
                <w:kern w:val="0"/>
                <w:szCs w:val="21"/>
                <w:highlight w:val="none"/>
              </w:rPr>
              <w:t>总部或者分支机构</w:t>
            </w:r>
            <w:r>
              <w:rPr>
                <w:rFonts w:hint="eastAsia" w:ascii="宋体" w:hAnsi="宋体"/>
                <w:color w:val="auto"/>
                <w:kern w:val="0"/>
                <w:szCs w:val="21"/>
                <w:highlight w:val="none"/>
                <w:lang w:val="en-US" w:eastAsia="zh-CN"/>
              </w:rPr>
              <w:t>进行</w:t>
            </w:r>
            <w:r>
              <w:rPr>
                <w:rFonts w:hint="eastAsia" w:ascii="宋体" w:hAnsi="宋体"/>
                <w:color w:val="auto"/>
                <w:kern w:val="0"/>
                <w:szCs w:val="21"/>
                <w:highlight w:val="none"/>
              </w:rPr>
              <w:t>核验。</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4. 投标人递交的纸质投标保函原件应与投标文件中提供的纸质投标保函</w:t>
            </w:r>
            <w:r>
              <w:rPr>
                <w:rFonts w:hint="eastAsia" w:ascii="宋体" w:hAnsi="宋体"/>
                <w:color w:val="auto"/>
                <w:kern w:val="0"/>
                <w:szCs w:val="21"/>
                <w:highlight w:val="none"/>
                <w:lang w:val="en-US" w:eastAsia="zh-CN"/>
              </w:rPr>
              <w:t>复印件</w:t>
            </w:r>
            <w:r>
              <w:rPr>
                <w:rFonts w:hint="eastAsia" w:ascii="宋体" w:hAnsi="宋体"/>
                <w:color w:val="auto"/>
                <w:kern w:val="0"/>
                <w:szCs w:val="21"/>
                <w:highlight w:val="none"/>
              </w:rPr>
              <w:t>一致，否则由评标委员会作否决投标处理。</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5. 在发出中标通知书前，招标人应当对投标人（至少中标候选人或中标人）</w:t>
            </w:r>
            <w:r>
              <w:rPr>
                <w:rFonts w:hint="eastAsia" w:ascii="宋体" w:hAnsi="宋体"/>
                <w:color w:val="auto"/>
                <w:kern w:val="0"/>
                <w:szCs w:val="21"/>
                <w:highlight w:val="none"/>
                <w:lang w:val="en-US" w:eastAsia="zh-CN"/>
              </w:rPr>
              <w:t>递交</w:t>
            </w:r>
            <w:r>
              <w:rPr>
                <w:rFonts w:hint="eastAsia" w:ascii="宋体" w:hAnsi="宋体"/>
                <w:color w:val="auto"/>
                <w:kern w:val="0"/>
                <w:szCs w:val="21"/>
                <w:highlight w:val="none"/>
              </w:rPr>
              <w:t>的纸质投标保函</w:t>
            </w:r>
            <w:r>
              <w:rPr>
                <w:rFonts w:hint="eastAsia" w:ascii="宋体" w:hAnsi="宋体"/>
                <w:color w:val="auto"/>
                <w:kern w:val="0"/>
                <w:szCs w:val="21"/>
                <w:highlight w:val="none"/>
                <w:lang w:val="en-US" w:eastAsia="zh-CN"/>
              </w:rPr>
              <w:t>的真实性、合法性、有效性进行核验，对核验不合格或无法按纸质投标保函注明的核验地点、核验方式进行核验的，视为投标人未提交纸质投标保函</w:t>
            </w:r>
            <w:r>
              <w:rPr>
                <w:rFonts w:hint="eastAsia" w:ascii="宋体" w:hAnsi="宋体"/>
                <w:color w:val="auto"/>
                <w:kern w:val="0"/>
                <w:szCs w:val="21"/>
                <w:highlight w:val="none"/>
              </w:rPr>
              <w:t>，对</w:t>
            </w:r>
            <w:r>
              <w:rPr>
                <w:rFonts w:hint="eastAsia" w:ascii="宋体" w:hAnsi="宋体"/>
                <w:color w:val="auto"/>
                <w:szCs w:val="21"/>
                <w:highlight w:val="none"/>
              </w:rPr>
              <w:t>已取得中标候选人资格或中标资格的投标人，</w:t>
            </w:r>
            <w:r>
              <w:rPr>
                <w:rFonts w:hint="eastAsia" w:ascii="宋体" w:hAnsi="宋体"/>
                <w:color w:val="auto"/>
                <w:szCs w:val="21"/>
                <w:highlight w:val="none"/>
                <w:lang w:val="en-US" w:eastAsia="zh-CN"/>
              </w:rPr>
              <w:t>按相关规定</w:t>
            </w:r>
            <w:r>
              <w:rPr>
                <w:rFonts w:hint="eastAsia" w:ascii="宋体" w:hAnsi="宋体"/>
                <w:color w:val="auto"/>
                <w:szCs w:val="21"/>
                <w:highlight w:val="none"/>
              </w:rPr>
              <w:t>取消中标候选人资格或中标资格</w:t>
            </w:r>
            <w:r>
              <w:rPr>
                <w:rFonts w:hint="eastAsia" w:ascii="宋体" w:hAnsi="宋体"/>
                <w:color w:val="auto"/>
                <w:kern w:val="0"/>
                <w:szCs w:val="21"/>
                <w:highlight w:val="none"/>
              </w:rPr>
              <w:t>，</w:t>
            </w:r>
            <w:r>
              <w:rPr>
                <w:rFonts w:hint="eastAsia" w:ascii="宋体" w:hAnsi="宋体"/>
                <w:color w:val="auto"/>
                <w:szCs w:val="21"/>
                <w:highlight w:val="none"/>
              </w:rPr>
              <w:t>给招标人造成损失的，投标人依法承担赔偿责任。</w:t>
            </w:r>
            <w:r>
              <w:rPr>
                <w:rFonts w:hint="eastAsia" w:ascii="宋体" w:hAnsi="宋体"/>
                <w:color w:val="auto"/>
                <w:kern w:val="0"/>
                <w:szCs w:val="21"/>
                <w:highlight w:val="none"/>
                <w:lang w:val="en-US" w:eastAsia="zh-CN"/>
              </w:rPr>
              <w:t>投标人提交的纸质投标</w:t>
            </w:r>
            <w:r>
              <w:rPr>
                <w:rFonts w:hint="eastAsia" w:ascii="宋体" w:hAnsi="宋体"/>
                <w:color w:val="auto"/>
                <w:szCs w:val="21"/>
                <w:highlight w:val="none"/>
              </w:rPr>
              <w:t>保函涉及弄虚作假或其他违法违规</w:t>
            </w:r>
            <w:r>
              <w:rPr>
                <w:rFonts w:hint="eastAsia" w:ascii="宋体" w:hAnsi="宋体"/>
                <w:color w:val="auto"/>
                <w:szCs w:val="21"/>
                <w:highlight w:val="none"/>
                <w:lang w:val="en-US" w:eastAsia="zh-CN"/>
              </w:rPr>
              <w:t>情形</w:t>
            </w:r>
            <w:r>
              <w:rPr>
                <w:rFonts w:hint="eastAsia" w:ascii="宋体" w:hAnsi="宋体"/>
                <w:color w:val="auto"/>
                <w:szCs w:val="21"/>
                <w:highlight w:val="none"/>
              </w:rPr>
              <w:t>的，移送相关部门处理</w:t>
            </w:r>
            <w:r>
              <w:rPr>
                <w:rFonts w:ascii="宋体" w:hAnsi="宋体"/>
                <w:color w:val="auto"/>
                <w:kern w:val="0"/>
                <w:szCs w:val="21"/>
                <w:highlight w:val="none"/>
              </w:rPr>
              <w:t>。</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6. 若投标人为联合体，则由联合体牵头人提供纸质投标保函。</w:t>
            </w:r>
          </w:p>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二、</w:t>
            </w:r>
            <w:r>
              <w:rPr>
                <w:rFonts w:hint="eastAsia" w:ascii="宋体" w:hAnsi="宋体"/>
                <w:color w:val="auto"/>
                <w:kern w:val="0"/>
                <w:szCs w:val="21"/>
                <w:highlight w:val="none"/>
              </w:rPr>
              <w:t>纸质</w:t>
            </w:r>
            <w:r>
              <w:rPr>
                <w:rFonts w:ascii="宋体" w:hAnsi="宋体"/>
                <w:color w:val="auto"/>
                <w:kern w:val="0"/>
                <w:szCs w:val="21"/>
                <w:highlight w:val="none"/>
              </w:rPr>
              <w:t>投标保函的</w:t>
            </w:r>
            <w:r>
              <w:rPr>
                <w:rFonts w:hint="eastAsia" w:ascii="宋体" w:hAnsi="宋体"/>
                <w:color w:val="auto"/>
                <w:kern w:val="0"/>
                <w:szCs w:val="21"/>
                <w:highlight w:val="none"/>
              </w:rPr>
              <w:t>退还、注销</w:t>
            </w:r>
          </w:p>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招标人应当在法定时间内确定中标人，向中标人发出中标通知书，同时向除中标候选人以外的其他投标人退还</w:t>
            </w:r>
            <w:r>
              <w:rPr>
                <w:rFonts w:hint="eastAsia" w:ascii="宋体" w:hAnsi="宋体"/>
                <w:color w:val="auto"/>
                <w:kern w:val="0"/>
                <w:szCs w:val="21"/>
                <w:highlight w:val="none"/>
              </w:rPr>
              <w:t>纸质</w:t>
            </w:r>
            <w:r>
              <w:rPr>
                <w:rFonts w:ascii="宋体" w:hAnsi="宋体"/>
                <w:color w:val="auto"/>
                <w:kern w:val="0"/>
                <w:szCs w:val="21"/>
                <w:highlight w:val="none"/>
              </w:rPr>
              <w:t>投标保函并书面通知相关</w:t>
            </w:r>
            <w:r>
              <w:rPr>
                <w:rFonts w:hint="eastAsia" w:ascii="宋体" w:hAnsi="宋体"/>
                <w:color w:val="auto"/>
                <w:kern w:val="0"/>
                <w:szCs w:val="21"/>
                <w:highlight w:val="none"/>
                <w:lang w:val="en-US" w:eastAsia="zh-CN"/>
              </w:rPr>
              <w:t>金融机构</w:t>
            </w:r>
            <w:r>
              <w:rPr>
                <w:rFonts w:ascii="宋体" w:hAnsi="宋体"/>
                <w:color w:val="auto"/>
                <w:kern w:val="0"/>
                <w:szCs w:val="21"/>
                <w:highlight w:val="none"/>
              </w:rPr>
              <w:t>本项目准予提前注销</w:t>
            </w:r>
            <w:r>
              <w:rPr>
                <w:rFonts w:hint="eastAsia" w:ascii="宋体" w:hAnsi="宋体"/>
                <w:color w:val="auto"/>
                <w:kern w:val="0"/>
                <w:szCs w:val="21"/>
                <w:highlight w:val="none"/>
              </w:rPr>
              <w:t>纸质</w:t>
            </w:r>
            <w:r>
              <w:rPr>
                <w:rFonts w:ascii="宋体" w:hAnsi="宋体"/>
                <w:color w:val="auto"/>
                <w:kern w:val="0"/>
                <w:szCs w:val="21"/>
                <w:highlight w:val="none"/>
              </w:rPr>
              <w:t>投标保函。具体注销事宜由投标人与</w:t>
            </w:r>
            <w:r>
              <w:rPr>
                <w:rFonts w:hint="eastAsia" w:ascii="宋体" w:hAnsi="宋体"/>
                <w:color w:val="auto"/>
                <w:kern w:val="0"/>
                <w:szCs w:val="21"/>
                <w:highlight w:val="none"/>
                <w:lang w:val="en-US" w:eastAsia="zh-CN"/>
              </w:rPr>
              <w:t>金融机构</w:t>
            </w:r>
            <w:r>
              <w:rPr>
                <w:rFonts w:ascii="宋体" w:hAnsi="宋体"/>
                <w:color w:val="auto"/>
                <w:kern w:val="0"/>
                <w:szCs w:val="21"/>
                <w:highlight w:val="none"/>
              </w:rPr>
              <w:t>协商。</w:t>
            </w:r>
          </w:p>
          <w:p>
            <w:pPr>
              <w:snapToGrid w:val="0"/>
              <w:spacing w:line="400" w:lineRule="exact"/>
              <w:ind w:firstLine="420" w:firstLineChars="200"/>
              <w:jc w:val="left"/>
              <w:rPr>
                <w:rFonts w:ascii="Times New Roman" w:hAnsi="Times New Roman" w:eastAsia="宋体" w:cs="Times New Roman"/>
                <w:color w:val="auto"/>
                <w:kern w:val="2"/>
                <w:sz w:val="21"/>
                <w:szCs w:val="24"/>
                <w:highlight w:val="none"/>
                <w:lang w:val="en-US" w:eastAsia="zh-CN" w:bidi="ar-SA"/>
              </w:rPr>
            </w:pPr>
            <w:r>
              <w:rPr>
                <w:rFonts w:ascii="宋体" w:hAnsi="宋体"/>
                <w:color w:val="auto"/>
                <w:kern w:val="0"/>
                <w:szCs w:val="21"/>
                <w:highlight w:val="none"/>
              </w:rPr>
              <w:t>招标人应在法定时间内和中标人</w:t>
            </w:r>
            <w:r>
              <w:rPr>
                <w:rFonts w:hint="eastAsia" w:ascii="宋体" w:hAnsi="宋体"/>
                <w:color w:val="auto"/>
                <w:kern w:val="0"/>
                <w:szCs w:val="21"/>
                <w:highlight w:val="none"/>
              </w:rPr>
              <w:t>签订</w:t>
            </w:r>
            <w:r>
              <w:rPr>
                <w:rFonts w:ascii="宋体" w:hAnsi="宋体"/>
                <w:color w:val="auto"/>
                <w:kern w:val="0"/>
                <w:szCs w:val="21"/>
                <w:highlight w:val="none"/>
              </w:rPr>
              <w:t>合同，并同时书面通知相关</w:t>
            </w:r>
            <w:r>
              <w:rPr>
                <w:rFonts w:hint="eastAsia" w:ascii="宋体" w:hAnsi="宋体"/>
                <w:color w:val="auto"/>
                <w:kern w:val="0"/>
                <w:szCs w:val="21"/>
                <w:highlight w:val="none"/>
                <w:lang w:val="en-US" w:eastAsia="zh-CN"/>
              </w:rPr>
              <w:t>金融机构</w:t>
            </w:r>
            <w:r>
              <w:rPr>
                <w:rFonts w:ascii="宋体" w:hAnsi="宋体"/>
                <w:color w:val="auto"/>
                <w:kern w:val="0"/>
                <w:szCs w:val="21"/>
                <w:highlight w:val="none"/>
              </w:rPr>
              <w:t>向中标人和其他中标候选人注销</w:t>
            </w:r>
            <w:r>
              <w:rPr>
                <w:rFonts w:hint="eastAsia" w:ascii="宋体" w:hAnsi="宋体"/>
                <w:color w:val="auto"/>
                <w:kern w:val="0"/>
                <w:szCs w:val="21"/>
                <w:highlight w:val="none"/>
              </w:rPr>
              <w:t>纸质</w:t>
            </w:r>
            <w:r>
              <w:rPr>
                <w:rFonts w:ascii="宋体" w:hAnsi="宋体"/>
                <w:color w:val="auto"/>
                <w:kern w:val="0"/>
                <w:szCs w:val="21"/>
                <w:highlight w:val="none"/>
              </w:rPr>
              <w:t>投标保函。具体注销事宜由投标人与</w:t>
            </w:r>
            <w:r>
              <w:rPr>
                <w:rFonts w:hint="eastAsia" w:ascii="宋体" w:hAnsi="宋体"/>
                <w:color w:val="auto"/>
                <w:kern w:val="0"/>
                <w:szCs w:val="21"/>
                <w:highlight w:val="none"/>
                <w:lang w:val="en-US" w:eastAsia="zh-CN"/>
              </w:rPr>
              <w:t>金融机构</w:t>
            </w:r>
            <w:r>
              <w:rPr>
                <w:rFonts w:ascii="宋体" w:hAnsi="宋体"/>
                <w:color w:val="auto"/>
                <w:kern w:val="0"/>
                <w:szCs w:val="21"/>
                <w:highlight w:val="none"/>
              </w:rPr>
              <w:t>协商。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3.6</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是否允许递交</w:t>
            </w:r>
          </w:p>
          <w:p>
            <w:pPr>
              <w:snapToGrid w:val="0"/>
              <w:spacing w:after="93" w:afterLines="30" w:line="400" w:lineRule="exact"/>
              <w:jc w:val="center"/>
              <w:rPr>
                <w:rFonts w:ascii="宋体" w:hAnsi="宋体"/>
                <w:kern w:val="0"/>
                <w:szCs w:val="21"/>
                <w:highlight w:val="none"/>
              </w:rPr>
            </w:pPr>
            <w:r>
              <w:rPr>
                <w:rFonts w:ascii="宋体" w:hAnsi="宋体"/>
                <w:kern w:val="0"/>
                <w:szCs w:val="21"/>
                <w:highlight w:val="none"/>
              </w:rPr>
              <w:t>备选投标方案</w:t>
            </w:r>
          </w:p>
        </w:tc>
        <w:tc>
          <w:tcPr>
            <w:tcW w:w="6490" w:type="dxa"/>
            <w:vAlign w:val="center"/>
          </w:tcPr>
          <w:p>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hint="eastAsia" w:ascii="宋体" w:hAnsi="宋体"/>
                <w:kern w:val="0"/>
                <w:szCs w:val="21"/>
                <w:highlight w:val="none"/>
              </w:rPr>
              <w:t>3.7.1</w:t>
            </w:r>
          </w:p>
        </w:tc>
        <w:tc>
          <w:tcPr>
            <w:tcW w:w="1644" w:type="dxa"/>
            <w:vAlign w:val="center"/>
          </w:tcPr>
          <w:p>
            <w:pPr>
              <w:snapToGrid w:val="0"/>
              <w:spacing w:after="93" w:afterLines="30" w:line="400" w:lineRule="exact"/>
              <w:jc w:val="center"/>
              <w:rPr>
                <w:rFonts w:ascii="宋体" w:hAnsi="宋体"/>
                <w:kern w:val="0"/>
                <w:szCs w:val="21"/>
                <w:highlight w:val="none"/>
              </w:rPr>
            </w:pPr>
            <w:r>
              <w:rPr>
                <w:rFonts w:hint="eastAsia" w:ascii="宋体" w:hAnsi="宋体"/>
                <w:kern w:val="0"/>
                <w:szCs w:val="21"/>
                <w:highlight w:val="none"/>
                <w:lang w:eastAsia="zh-CN"/>
              </w:rPr>
              <w:t>竞选文件</w:t>
            </w:r>
            <w:r>
              <w:rPr>
                <w:rFonts w:hint="eastAsia" w:ascii="宋体" w:hAnsi="宋体"/>
                <w:kern w:val="0"/>
                <w:szCs w:val="21"/>
                <w:highlight w:val="none"/>
              </w:rPr>
              <w:t>格式要求</w:t>
            </w:r>
          </w:p>
        </w:tc>
        <w:tc>
          <w:tcPr>
            <w:tcW w:w="6490" w:type="dxa"/>
            <w:vAlign w:val="center"/>
          </w:tcPr>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编制</w:t>
            </w:r>
            <w:r>
              <w:rPr>
                <w:rFonts w:hint="eastAsia" w:ascii="宋体" w:hAnsi="宋体"/>
                <w:kern w:val="0"/>
                <w:szCs w:val="21"/>
                <w:highlight w:val="none"/>
                <w:lang w:eastAsia="zh-CN"/>
              </w:rPr>
              <w:t>竞选文件</w:t>
            </w:r>
            <w:r>
              <w:rPr>
                <w:rFonts w:hint="eastAsia" w:ascii="宋体" w:hAnsi="宋体"/>
                <w:kern w:val="0"/>
                <w:szCs w:val="21"/>
                <w:highlight w:val="none"/>
              </w:rPr>
              <w:t>时不得对第八章“</w:t>
            </w:r>
            <w:r>
              <w:rPr>
                <w:rFonts w:hint="eastAsia" w:ascii="宋体" w:hAnsi="宋体"/>
                <w:kern w:val="0"/>
                <w:szCs w:val="21"/>
                <w:highlight w:val="none"/>
                <w:lang w:eastAsia="zh-CN"/>
              </w:rPr>
              <w:t>竞选文件</w:t>
            </w:r>
            <w:r>
              <w:rPr>
                <w:rFonts w:hint="eastAsia" w:ascii="宋体" w:hAnsi="宋体"/>
                <w:kern w:val="0"/>
                <w:szCs w:val="21"/>
                <w:highlight w:val="none"/>
              </w:rPr>
              <w:t>格式”的相应要素作实质性修改，否则由评标委员会作否决投标处理。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3.7.3</w:t>
            </w:r>
          </w:p>
        </w:tc>
        <w:tc>
          <w:tcPr>
            <w:tcW w:w="1644" w:type="dxa"/>
            <w:vAlign w:val="center"/>
          </w:tcPr>
          <w:p>
            <w:pPr>
              <w:snapToGrid w:val="0"/>
              <w:spacing w:line="400" w:lineRule="exact"/>
              <w:jc w:val="center"/>
              <w:rPr>
                <w:rFonts w:ascii="宋体" w:hAnsi="宋体"/>
                <w:kern w:val="0"/>
                <w:szCs w:val="21"/>
                <w:highlight w:val="none"/>
              </w:rPr>
            </w:pPr>
            <w:r>
              <w:rPr>
                <w:rFonts w:hint="eastAsia" w:ascii="宋体" w:hAnsi="宋体"/>
                <w:kern w:val="0"/>
                <w:szCs w:val="21"/>
                <w:highlight w:val="none"/>
              </w:rPr>
              <w:t>签名</w:t>
            </w:r>
            <w:r>
              <w:rPr>
                <w:rFonts w:ascii="宋体" w:hAnsi="宋体"/>
                <w:kern w:val="0"/>
                <w:szCs w:val="21"/>
                <w:highlight w:val="none"/>
              </w:rPr>
              <w:t>盖章要求</w:t>
            </w:r>
          </w:p>
        </w:tc>
        <w:tc>
          <w:tcPr>
            <w:tcW w:w="6490" w:type="dxa"/>
            <w:vAlign w:val="center"/>
          </w:tcPr>
          <w:p>
            <w:pPr>
              <w:snapToGrid w:val="0"/>
              <w:spacing w:line="400" w:lineRule="exact"/>
              <w:ind w:firstLine="420" w:firstLineChars="200"/>
              <w:rPr>
                <w:rFonts w:ascii="宋体" w:hAnsi="宋体"/>
                <w:szCs w:val="21"/>
                <w:highlight w:val="none"/>
              </w:rPr>
            </w:pPr>
            <w:r>
              <w:rPr>
                <w:rFonts w:hint="eastAsia" w:ascii="宋体" w:hAnsi="宋体"/>
                <w:szCs w:val="21"/>
                <w:highlight w:val="none"/>
                <w:lang w:eastAsia="zh-CN"/>
              </w:rPr>
              <w:t>竞选文件</w:t>
            </w:r>
            <w:r>
              <w:rPr>
                <w:rFonts w:hint="eastAsia" w:ascii="宋体" w:hAnsi="宋体"/>
                <w:szCs w:val="21"/>
                <w:highlight w:val="none"/>
              </w:rPr>
              <w:t>应用不褪色的材料书写或打印，并由</w:t>
            </w:r>
            <w:r>
              <w:rPr>
                <w:rFonts w:hint="eastAsia" w:ascii="宋体" w:hAnsi="宋体"/>
                <w:szCs w:val="21"/>
                <w:highlight w:val="none"/>
                <w:lang w:eastAsia="zh-CN"/>
              </w:rPr>
              <w:t>竞选人</w:t>
            </w:r>
            <w:r>
              <w:rPr>
                <w:rFonts w:hint="eastAsia" w:ascii="宋体" w:hAnsi="宋体"/>
                <w:szCs w:val="21"/>
                <w:highlight w:val="none"/>
              </w:rPr>
              <w:t>的法定代表人或其委托代理人在招标文件规定的位置按招标文件要求签名或盖章、盖单位法人章。委托代理人签名的，</w:t>
            </w:r>
            <w:r>
              <w:rPr>
                <w:rFonts w:hint="eastAsia" w:ascii="宋体" w:hAnsi="宋体"/>
                <w:szCs w:val="21"/>
                <w:highlight w:val="none"/>
                <w:lang w:eastAsia="zh-CN"/>
              </w:rPr>
              <w:t>竞选文件</w:t>
            </w:r>
            <w:r>
              <w:rPr>
                <w:rFonts w:hint="eastAsia" w:ascii="宋体" w:hAnsi="宋体"/>
                <w:szCs w:val="21"/>
                <w:highlight w:val="none"/>
              </w:rPr>
              <w:t>应附法定代表人签署的授权委托书。</w:t>
            </w:r>
            <w:r>
              <w:rPr>
                <w:rFonts w:hint="eastAsia" w:ascii="宋体" w:hAnsi="宋体"/>
                <w:szCs w:val="21"/>
                <w:highlight w:val="none"/>
                <w:lang w:eastAsia="zh-CN"/>
              </w:rPr>
              <w:t>竞选文件</w:t>
            </w:r>
            <w:r>
              <w:rPr>
                <w:rFonts w:hint="eastAsia" w:ascii="宋体" w:hAnsi="宋体"/>
                <w:szCs w:val="21"/>
                <w:highlight w:val="none"/>
              </w:rPr>
              <w:t>应尽量避免涂改、行间插字或删除。如果出现上述情况，改动之处应加盖单位法人章或由</w:t>
            </w:r>
            <w:r>
              <w:rPr>
                <w:rFonts w:hint="eastAsia" w:ascii="宋体" w:hAnsi="宋体"/>
                <w:szCs w:val="21"/>
                <w:highlight w:val="none"/>
                <w:lang w:eastAsia="zh-CN"/>
              </w:rPr>
              <w:t>竞选人</w:t>
            </w:r>
            <w:r>
              <w:rPr>
                <w:rFonts w:hint="eastAsia" w:ascii="宋体" w:hAnsi="宋体"/>
                <w:szCs w:val="21"/>
                <w:highlight w:val="none"/>
              </w:rPr>
              <w:t>的法定代表人或其授权的代理人签名确认。</w:t>
            </w:r>
          </w:p>
          <w:p>
            <w:pPr>
              <w:snapToGrid w:val="0"/>
              <w:spacing w:line="400" w:lineRule="exact"/>
              <w:ind w:firstLine="420" w:firstLineChars="200"/>
              <w:rPr>
                <w:rFonts w:ascii="宋体" w:hAnsi="宋体"/>
                <w:i/>
                <w:szCs w:val="21"/>
                <w:highlight w:val="none"/>
              </w:rPr>
            </w:pPr>
            <w:r>
              <w:rPr>
                <w:rFonts w:hint="eastAsia" w:ascii="宋体" w:hAnsi="宋体"/>
                <w:szCs w:val="21"/>
                <w:highlight w:val="none"/>
              </w:rPr>
              <w:t>未按上述规定执行的，交由评标委员会作否决投标处理。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3.7.4</w:t>
            </w:r>
          </w:p>
        </w:tc>
        <w:tc>
          <w:tcPr>
            <w:tcW w:w="1644" w:type="dxa"/>
            <w:vAlign w:val="center"/>
          </w:tcPr>
          <w:p>
            <w:pPr>
              <w:snapToGrid w:val="0"/>
              <w:spacing w:line="400" w:lineRule="exact"/>
              <w:rPr>
                <w:rFonts w:ascii="宋体" w:hAnsi="宋体"/>
                <w:spacing w:val="-6"/>
                <w:kern w:val="0"/>
                <w:szCs w:val="21"/>
                <w:highlight w:val="none"/>
              </w:rPr>
            </w:pPr>
            <w:r>
              <w:rPr>
                <w:rFonts w:hint="eastAsia" w:ascii="宋体" w:hAnsi="宋体"/>
                <w:spacing w:val="-6"/>
                <w:kern w:val="0"/>
                <w:szCs w:val="21"/>
                <w:highlight w:val="none"/>
                <w:lang w:eastAsia="zh-CN"/>
              </w:rPr>
              <w:t>竞选文件</w:t>
            </w:r>
            <w:r>
              <w:rPr>
                <w:rFonts w:ascii="宋体" w:hAnsi="宋体"/>
                <w:spacing w:val="-6"/>
                <w:kern w:val="0"/>
                <w:szCs w:val="21"/>
                <w:highlight w:val="none"/>
              </w:rPr>
              <w:t>的份数</w:t>
            </w:r>
          </w:p>
        </w:tc>
        <w:tc>
          <w:tcPr>
            <w:tcW w:w="6490" w:type="dxa"/>
            <w:vAlign w:val="center"/>
          </w:tcPr>
          <w:p>
            <w:pPr>
              <w:autoSpaceDE w:val="0"/>
              <w:autoSpaceDN w:val="0"/>
              <w:adjustRightInd w:val="0"/>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竞选文件</w:t>
            </w:r>
            <w:r>
              <w:rPr>
                <w:rFonts w:ascii="宋体" w:hAnsi="宋体"/>
                <w:kern w:val="0"/>
                <w:szCs w:val="21"/>
                <w:highlight w:val="none"/>
              </w:rPr>
              <w:t>正本</w:t>
            </w:r>
            <w:r>
              <w:rPr>
                <w:rFonts w:hint="eastAsia" w:ascii="宋体" w:hAnsi="宋体"/>
                <w:kern w:val="0"/>
                <w:szCs w:val="21"/>
                <w:highlight w:val="none"/>
              </w:rPr>
              <w:t>1份、副本</w:t>
            </w:r>
            <w:r>
              <w:rPr>
                <w:rFonts w:hint="eastAsia" w:ascii="宋体" w:hAnsi="宋体"/>
                <w:kern w:val="0"/>
                <w:szCs w:val="21"/>
                <w:highlight w:val="none"/>
                <w:lang w:val="en-US" w:eastAsia="zh-CN"/>
              </w:rPr>
              <w:t>1</w:t>
            </w:r>
            <w:r>
              <w:rPr>
                <w:rFonts w:hint="eastAsia" w:ascii="宋体" w:hAnsi="宋体"/>
                <w:kern w:val="0"/>
                <w:szCs w:val="21"/>
                <w:highlight w:val="none"/>
              </w:rPr>
              <w:t>份，电子版形式（光盘</w:t>
            </w:r>
            <w:r>
              <w:rPr>
                <w:rFonts w:hint="eastAsia" w:ascii="宋体" w:hAnsi="宋体"/>
                <w:kern w:val="0"/>
                <w:szCs w:val="21"/>
                <w:highlight w:val="none"/>
                <w:lang w:val="en-US" w:eastAsia="zh-CN"/>
              </w:rPr>
              <w:t>或U盘</w:t>
            </w:r>
            <w:r>
              <w:rPr>
                <w:rFonts w:hint="eastAsia" w:ascii="宋体" w:hAnsi="宋体"/>
                <w:kern w:val="0"/>
                <w:szCs w:val="21"/>
                <w:highlight w:val="none"/>
              </w:rPr>
              <w:t>）1份。当副本和正本不一致时，以正本为准。否则由评标委员会作否决投标处理。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3.7.5</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装订要求</w:t>
            </w:r>
          </w:p>
        </w:tc>
        <w:tc>
          <w:tcPr>
            <w:tcW w:w="6490" w:type="dxa"/>
            <w:vAlign w:val="center"/>
          </w:tcPr>
          <w:p>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应将</w:t>
            </w:r>
            <w:r>
              <w:rPr>
                <w:rFonts w:hint="eastAsia" w:ascii="宋体" w:hAnsi="宋体"/>
                <w:szCs w:val="21"/>
                <w:highlight w:val="none"/>
                <w:lang w:eastAsia="zh-CN"/>
              </w:rPr>
              <w:t>竞选函</w:t>
            </w:r>
            <w:r>
              <w:rPr>
                <w:rFonts w:ascii="宋体" w:hAnsi="宋体"/>
                <w:szCs w:val="21"/>
                <w:highlight w:val="none"/>
              </w:rPr>
              <w:t>部分、</w:t>
            </w:r>
            <w:r>
              <w:rPr>
                <w:rFonts w:hint="eastAsia" w:ascii="宋体" w:hAnsi="宋体"/>
                <w:szCs w:val="21"/>
                <w:highlight w:val="none"/>
              </w:rPr>
              <w:t>经济</w:t>
            </w:r>
            <w:r>
              <w:rPr>
                <w:rFonts w:ascii="宋体" w:hAnsi="宋体"/>
                <w:szCs w:val="21"/>
                <w:highlight w:val="none"/>
              </w:rPr>
              <w:t>部分、</w:t>
            </w:r>
            <w:r>
              <w:rPr>
                <w:rFonts w:hint="eastAsia" w:ascii="宋体" w:hAnsi="宋体"/>
                <w:kern w:val="0"/>
                <w:szCs w:val="21"/>
                <w:highlight w:val="none"/>
              </w:rPr>
              <w:t>资格审查部分</w:t>
            </w:r>
            <w:r>
              <w:rPr>
                <w:rFonts w:ascii="宋体" w:hAnsi="宋体"/>
                <w:szCs w:val="21"/>
                <w:highlight w:val="none"/>
              </w:rPr>
              <w:t>各自分别装订成册。</w:t>
            </w:r>
          </w:p>
          <w:p>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2、装订</w:t>
            </w:r>
          </w:p>
          <w:p>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w:t>
            </w:r>
            <w:r>
              <w:rPr>
                <w:rFonts w:hint="eastAsia" w:ascii="宋体" w:hAnsi="宋体"/>
                <w:szCs w:val="21"/>
                <w:highlight w:val="none"/>
                <w:lang w:val="en-US" w:eastAsia="zh-CN"/>
              </w:rPr>
              <w:t>1</w:t>
            </w:r>
            <w:r>
              <w:rPr>
                <w:rFonts w:ascii="宋体" w:hAnsi="宋体"/>
                <w:szCs w:val="21"/>
                <w:highlight w:val="none"/>
              </w:rPr>
              <w:t>）</w:t>
            </w:r>
            <w:r>
              <w:rPr>
                <w:rFonts w:hint="eastAsia" w:ascii="宋体" w:hAnsi="宋体"/>
                <w:szCs w:val="21"/>
                <w:highlight w:val="none"/>
                <w:lang w:eastAsia="zh-CN"/>
              </w:rPr>
              <w:t>竞选函</w:t>
            </w:r>
            <w:r>
              <w:rPr>
                <w:rFonts w:ascii="宋体" w:hAnsi="宋体"/>
                <w:szCs w:val="21"/>
                <w:highlight w:val="none"/>
              </w:rPr>
              <w:t>部分的装订要求</w:t>
            </w:r>
          </w:p>
          <w:p>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应按照第八章规定格式装订成册，</w:t>
            </w:r>
            <w:r>
              <w:rPr>
                <w:rFonts w:hint="eastAsia" w:ascii="宋体" w:hAnsi="宋体" w:eastAsia="宋体" w:cs="宋体"/>
                <w:color w:val="auto"/>
                <w:szCs w:val="21"/>
                <w:highlight w:val="none"/>
                <w:lang w:val="en-US" w:eastAsia="zh-CN"/>
              </w:rPr>
              <w:t>原则上</w:t>
            </w:r>
            <w:r>
              <w:rPr>
                <w:rFonts w:ascii="宋体" w:hAnsi="宋体"/>
                <w:szCs w:val="21"/>
                <w:highlight w:val="none"/>
              </w:rPr>
              <w:t>应编制目录</w:t>
            </w:r>
            <w:r>
              <w:rPr>
                <w:rFonts w:hint="eastAsia" w:ascii="宋体" w:hAnsi="宋体"/>
                <w:szCs w:val="21"/>
                <w:highlight w:val="none"/>
                <w:lang w:eastAsia="zh-CN"/>
              </w:rPr>
              <w:t>（</w:t>
            </w:r>
            <w:r>
              <w:rPr>
                <w:rFonts w:hint="eastAsia" w:ascii="宋体" w:hAnsi="宋体"/>
                <w:szCs w:val="21"/>
                <w:highlight w:val="none"/>
                <w:lang w:val="en-US" w:eastAsia="zh-CN"/>
              </w:rPr>
              <w:t>但不得将目录编制作为评审因素</w:t>
            </w:r>
            <w:r>
              <w:rPr>
                <w:rFonts w:hint="eastAsia" w:ascii="宋体" w:hAnsi="宋体"/>
                <w:szCs w:val="21"/>
                <w:highlight w:val="none"/>
                <w:lang w:eastAsia="zh-CN"/>
              </w:rPr>
              <w:t>）</w:t>
            </w:r>
            <w:r>
              <w:rPr>
                <w:rFonts w:ascii="宋体" w:hAnsi="宋体"/>
                <w:szCs w:val="21"/>
                <w:highlight w:val="none"/>
              </w:rPr>
              <w:t>，标注页码。</w:t>
            </w:r>
          </w:p>
          <w:p>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w:t>
            </w:r>
            <w:r>
              <w:rPr>
                <w:rFonts w:hint="eastAsia" w:ascii="宋体" w:hAnsi="宋体"/>
                <w:szCs w:val="21"/>
                <w:highlight w:val="none"/>
                <w:lang w:val="en-US" w:eastAsia="zh-CN"/>
              </w:rPr>
              <w:t>2</w:t>
            </w:r>
            <w:r>
              <w:rPr>
                <w:rFonts w:ascii="宋体" w:hAnsi="宋体"/>
                <w:szCs w:val="21"/>
                <w:highlight w:val="none"/>
              </w:rPr>
              <w:t>）</w:t>
            </w:r>
            <w:r>
              <w:rPr>
                <w:rFonts w:hint="eastAsia" w:ascii="宋体" w:hAnsi="宋体"/>
                <w:szCs w:val="21"/>
                <w:highlight w:val="none"/>
              </w:rPr>
              <w:t>经济</w:t>
            </w:r>
            <w:r>
              <w:rPr>
                <w:rFonts w:ascii="宋体" w:hAnsi="宋体"/>
                <w:szCs w:val="21"/>
                <w:highlight w:val="none"/>
              </w:rPr>
              <w:t>部分的装订要求</w:t>
            </w:r>
          </w:p>
          <w:p>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应按照第八章规定格式装订成册，</w:t>
            </w:r>
            <w:r>
              <w:rPr>
                <w:rFonts w:hint="eastAsia" w:ascii="宋体" w:hAnsi="宋体" w:eastAsia="宋体" w:cs="宋体"/>
                <w:color w:val="auto"/>
                <w:szCs w:val="21"/>
                <w:highlight w:val="none"/>
                <w:lang w:val="en-US" w:eastAsia="zh-CN"/>
              </w:rPr>
              <w:t>原则上</w:t>
            </w:r>
            <w:r>
              <w:rPr>
                <w:rFonts w:ascii="宋体" w:hAnsi="宋体"/>
                <w:szCs w:val="21"/>
                <w:highlight w:val="none"/>
              </w:rPr>
              <w:t>应编制目录</w:t>
            </w:r>
            <w:r>
              <w:rPr>
                <w:rFonts w:hint="eastAsia" w:ascii="宋体" w:hAnsi="宋体"/>
                <w:szCs w:val="21"/>
                <w:highlight w:val="none"/>
                <w:lang w:eastAsia="zh-CN"/>
              </w:rPr>
              <w:t>（</w:t>
            </w:r>
            <w:r>
              <w:rPr>
                <w:rFonts w:hint="eastAsia" w:ascii="宋体" w:hAnsi="宋体"/>
                <w:szCs w:val="21"/>
                <w:highlight w:val="none"/>
                <w:lang w:val="en-US" w:eastAsia="zh-CN"/>
              </w:rPr>
              <w:t>但不得将目录编制作为评审因素</w:t>
            </w:r>
            <w:r>
              <w:rPr>
                <w:rFonts w:hint="eastAsia" w:ascii="宋体" w:hAnsi="宋体"/>
                <w:szCs w:val="21"/>
                <w:highlight w:val="none"/>
                <w:lang w:eastAsia="zh-CN"/>
              </w:rPr>
              <w:t>）</w:t>
            </w:r>
            <w:r>
              <w:rPr>
                <w:rFonts w:hint="eastAsia" w:ascii="宋体" w:hAnsi="宋体"/>
                <w:szCs w:val="21"/>
                <w:highlight w:val="none"/>
              </w:rPr>
              <w:t>，标注页码。</w:t>
            </w:r>
          </w:p>
          <w:p>
            <w:pPr>
              <w:adjustRightInd w:val="0"/>
              <w:snapToGrid w:val="0"/>
              <w:spacing w:line="400" w:lineRule="exact"/>
              <w:ind w:firstLine="420" w:firstLineChars="200"/>
              <w:rPr>
                <w:rFonts w:ascii="宋体" w:hAnsi="宋体"/>
                <w:kern w:val="0"/>
                <w:szCs w:val="21"/>
                <w:highlight w:val="none"/>
              </w:rPr>
            </w:pPr>
            <w:r>
              <w:rPr>
                <w:rFonts w:ascii="宋体" w:hAnsi="宋体"/>
                <w:szCs w:val="21"/>
                <w:highlight w:val="none"/>
              </w:rPr>
              <w:t>（</w:t>
            </w:r>
            <w:r>
              <w:rPr>
                <w:rFonts w:hint="eastAsia" w:ascii="宋体" w:hAnsi="宋体"/>
                <w:szCs w:val="21"/>
                <w:highlight w:val="none"/>
                <w:lang w:val="en-US" w:eastAsia="zh-CN"/>
              </w:rPr>
              <w:t>3</w:t>
            </w:r>
            <w:r>
              <w:rPr>
                <w:rFonts w:ascii="宋体" w:hAnsi="宋体"/>
                <w:szCs w:val="21"/>
                <w:highlight w:val="none"/>
              </w:rPr>
              <w:t>）</w:t>
            </w:r>
            <w:r>
              <w:rPr>
                <w:rFonts w:hint="eastAsia" w:ascii="宋体" w:hAnsi="宋体"/>
                <w:kern w:val="0"/>
                <w:szCs w:val="21"/>
                <w:highlight w:val="none"/>
              </w:rPr>
              <w:t>资格审查部分</w:t>
            </w:r>
            <w:r>
              <w:rPr>
                <w:rFonts w:ascii="宋体" w:hAnsi="宋体"/>
                <w:kern w:val="0"/>
                <w:szCs w:val="21"/>
                <w:highlight w:val="none"/>
              </w:rPr>
              <w:t>的装订要求</w:t>
            </w:r>
          </w:p>
          <w:p>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应按照第八章规定格式装订成册，</w:t>
            </w:r>
            <w:r>
              <w:rPr>
                <w:rFonts w:hint="eastAsia" w:ascii="宋体" w:hAnsi="宋体" w:eastAsia="宋体" w:cs="宋体"/>
                <w:color w:val="auto"/>
                <w:szCs w:val="21"/>
                <w:highlight w:val="none"/>
                <w:lang w:val="en-US" w:eastAsia="zh-CN"/>
              </w:rPr>
              <w:t>原则上</w:t>
            </w:r>
            <w:r>
              <w:rPr>
                <w:rFonts w:ascii="宋体" w:hAnsi="宋体"/>
                <w:szCs w:val="21"/>
                <w:highlight w:val="none"/>
              </w:rPr>
              <w:t>应编制目录</w:t>
            </w:r>
            <w:r>
              <w:rPr>
                <w:rFonts w:hint="eastAsia" w:ascii="宋体" w:hAnsi="宋体"/>
                <w:szCs w:val="21"/>
                <w:highlight w:val="none"/>
                <w:lang w:eastAsia="zh-CN"/>
              </w:rPr>
              <w:t>（</w:t>
            </w:r>
            <w:r>
              <w:rPr>
                <w:rFonts w:hint="eastAsia" w:ascii="宋体" w:hAnsi="宋体"/>
                <w:szCs w:val="21"/>
                <w:highlight w:val="none"/>
                <w:lang w:val="en-US" w:eastAsia="zh-CN"/>
              </w:rPr>
              <w:t>但不得将目录编制作为评审因素</w:t>
            </w:r>
            <w:r>
              <w:rPr>
                <w:rFonts w:hint="eastAsia" w:ascii="宋体" w:hAnsi="宋体"/>
                <w:szCs w:val="21"/>
                <w:highlight w:val="none"/>
                <w:lang w:eastAsia="zh-CN"/>
              </w:rPr>
              <w:t>）</w:t>
            </w:r>
            <w:r>
              <w:rPr>
                <w:rFonts w:ascii="宋体" w:hAnsi="宋体"/>
                <w:szCs w:val="21"/>
                <w:highlight w:val="none"/>
              </w:rPr>
              <w:t>，标注页码</w:t>
            </w:r>
            <w:r>
              <w:rPr>
                <w:rFonts w:hint="eastAsia" w:ascii="宋体" w:hAnsi="宋体"/>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4.1.1</w:t>
            </w:r>
          </w:p>
        </w:tc>
        <w:tc>
          <w:tcPr>
            <w:tcW w:w="1644" w:type="dxa"/>
            <w:vAlign w:val="center"/>
          </w:tcPr>
          <w:p>
            <w:pPr>
              <w:snapToGrid w:val="0"/>
              <w:spacing w:line="400" w:lineRule="exact"/>
              <w:jc w:val="center"/>
              <w:rPr>
                <w:rFonts w:ascii="宋体" w:hAnsi="宋体"/>
                <w:spacing w:val="-6"/>
                <w:kern w:val="0"/>
                <w:szCs w:val="21"/>
                <w:highlight w:val="none"/>
              </w:rPr>
            </w:pPr>
            <w:r>
              <w:rPr>
                <w:rFonts w:hint="eastAsia" w:ascii="宋体" w:hAnsi="宋体"/>
                <w:spacing w:val="-6"/>
                <w:kern w:val="0"/>
                <w:szCs w:val="21"/>
                <w:highlight w:val="none"/>
                <w:lang w:eastAsia="zh-CN"/>
              </w:rPr>
              <w:t>竞选文件</w:t>
            </w:r>
            <w:r>
              <w:rPr>
                <w:rFonts w:ascii="宋体" w:hAnsi="宋体"/>
                <w:spacing w:val="-6"/>
                <w:kern w:val="0"/>
                <w:szCs w:val="21"/>
                <w:highlight w:val="none"/>
              </w:rPr>
              <w:t>的密封</w:t>
            </w:r>
          </w:p>
        </w:tc>
        <w:tc>
          <w:tcPr>
            <w:tcW w:w="6490" w:type="dxa"/>
            <w:vAlign w:val="center"/>
          </w:tcPr>
          <w:p>
            <w:pPr>
              <w:adjustRightInd w:val="0"/>
              <w:snapToGrid w:val="0"/>
              <w:spacing w:line="400" w:lineRule="exact"/>
              <w:ind w:firstLine="420" w:firstLineChars="200"/>
              <w:rPr>
                <w:rFonts w:ascii="宋体" w:hAnsi="宋体"/>
                <w:szCs w:val="21"/>
                <w:highlight w:val="none"/>
              </w:rPr>
            </w:pPr>
            <w:r>
              <w:rPr>
                <w:rFonts w:hint="eastAsia" w:ascii="宋体" w:hAnsi="宋体"/>
                <w:szCs w:val="21"/>
              </w:rPr>
              <w:t>应用“投标文件”袋单独封装，并在封口处加盖投标人单位法人章，同时“投标文件”袋应按本表第4.1.2项的规定写明相应内容。“投标文件”袋未按要求密封的，</w:t>
            </w:r>
            <w:r>
              <w:rPr>
                <w:rFonts w:hint="eastAsia" w:ascii="宋体" w:hAnsi="宋体"/>
                <w:szCs w:val="21"/>
                <w:lang w:val="en-US" w:eastAsia="zh-CN"/>
              </w:rPr>
              <w:t>比选</w:t>
            </w:r>
            <w:r>
              <w:rPr>
                <w:rFonts w:hint="eastAsia" w:ascii="宋体" w:hAnsi="宋体"/>
                <w:szCs w:val="21"/>
              </w:rPr>
              <w:t>人应该拒收。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4.1.2</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封套上写明</w:t>
            </w:r>
          </w:p>
        </w:tc>
        <w:tc>
          <w:tcPr>
            <w:tcW w:w="6490" w:type="dxa"/>
            <w:vAlign w:val="center"/>
          </w:tcPr>
          <w:p>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应在“</w:t>
            </w:r>
            <w:r>
              <w:rPr>
                <w:rFonts w:hint="eastAsia" w:ascii="宋体" w:hAnsi="宋体"/>
                <w:kern w:val="0"/>
                <w:szCs w:val="21"/>
                <w:highlight w:val="none"/>
                <w:lang w:eastAsia="zh-CN"/>
              </w:rPr>
              <w:t>竞选文件</w:t>
            </w:r>
            <w:r>
              <w:rPr>
                <w:rFonts w:ascii="宋体" w:hAnsi="宋体"/>
                <w:kern w:val="0"/>
                <w:szCs w:val="21"/>
                <w:highlight w:val="none"/>
              </w:rPr>
              <w:t>”大袋封套上写明如下内容：</w:t>
            </w:r>
          </w:p>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比选人</w:t>
            </w:r>
            <w:r>
              <w:rPr>
                <w:rFonts w:ascii="宋体" w:hAnsi="宋体"/>
                <w:kern w:val="0"/>
                <w:szCs w:val="21"/>
                <w:highlight w:val="none"/>
              </w:rPr>
              <w:t>名称：</w:t>
            </w:r>
            <w:r>
              <w:rPr>
                <w:rFonts w:hint="eastAsia" w:ascii="宋体" w:hAnsi="宋体"/>
                <w:kern w:val="0"/>
                <w:szCs w:val="21"/>
                <w:highlight w:val="none"/>
                <w:u w:val="single"/>
              </w:rPr>
              <w:t xml:space="preserve">            </w:t>
            </w:r>
          </w:p>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竞选人</w:t>
            </w:r>
            <w:r>
              <w:rPr>
                <w:rFonts w:hint="eastAsia" w:ascii="宋体" w:hAnsi="宋体"/>
                <w:kern w:val="0"/>
                <w:szCs w:val="21"/>
                <w:highlight w:val="none"/>
              </w:rPr>
              <w:t>名称：</w:t>
            </w:r>
            <w:r>
              <w:rPr>
                <w:rFonts w:hint="eastAsia" w:ascii="宋体" w:hAnsi="宋体"/>
                <w:kern w:val="0"/>
                <w:szCs w:val="21"/>
                <w:highlight w:val="none"/>
                <w:u w:val="single"/>
              </w:rPr>
              <w:t xml:space="preserve">            </w:t>
            </w:r>
          </w:p>
          <w:p>
            <w:pPr>
              <w:snapToGrid w:val="0"/>
              <w:spacing w:line="400" w:lineRule="exact"/>
              <w:ind w:firstLine="420" w:firstLineChars="200"/>
              <w:rPr>
                <w:rFonts w:hint="eastAsia" w:ascii="宋体" w:hAnsi="宋体" w:eastAsia="宋体"/>
                <w:kern w:val="0"/>
                <w:szCs w:val="21"/>
                <w:highlight w:val="none"/>
                <w:lang w:eastAsia="zh-CN"/>
              </w:rPr>
            </w:pPr>
            <w:r>
              <w:rPr>
                <w:rFonts w:ascii="宋体" w:hAnsi="宋体"/>
                <w:kern w:val="0"/>
                <w:szCs w:val="21"/>
                <w:highlight w:val="none"/>
                <w:u w:val="single"/>
              </w:rPr>
              <w:t xml:space="preserve">                （项目名称）</w:t>
            </w:r>
            <w:r>
              <w:rPr>
                <w:rFonts w:hint="eastAsia" w:ascii="宋体" w:hAnsi="宋体"/>
                <w:kern w:val="0"/>
                <w:szCs w:val="21"/>
                <w:highlight w:val="none"/>
                <w:lang w:eastAsia="zh-CN"/>
              </w:rPr>
              <w:t>竞选文件</w:t>
            </w:r>
          </w:p>
          <w:p>
            <w:pPr>
              <w:snapToGrid w:val="0"/>
              <w:spacing w:line="400" w:lineRule="exact"/>
              <w:ind w:firstLine="420" w:firstLineChars="200"/>
              <w:rPr>
                <w:rFonts w:ascii="宋体" w:hAnsi="宋体"/>
                <w:szCs w:val="21"/>
                <w:highlight w:val="none"/>
              </w:rPr>
            </w:pPr>
            <w:r>
              <w:rPr>
                <w:rFonts w:ascii="宋体" w:hAnsi="宋体"/>
                <w:kern w:val="0"/>
                <w:szCs w:val="21"/>
                <w:highlight w:val="none"/>
              </w:rPr>
              <w:t>在</w:t>
            </w:r>
            <w:r>
              <w:rPr>
                <w:rFonts w:hint="eastAsia" w:ascii="宋体" w:hAnsi="宋体"/>
                <w:kern w:val="0"/>
                <w:szCs w:val="21"/>
                <w:highlight w:val="none"/>
                <w:u w:val="single"/>
              </w:rPr>
              <w:t xml:space="preserve">    </w:t>
            </w:r>
            <w:r>
              <w:rPr>
                <w:rFonts w:ascii="宋体" w:hAnsi="宋体"/>
                <w:kern w:val="0"/>
                <w:szCs w:val="21"/>
                <w:highlight w:val="none"/>
              </w:rPr>
              <w:t>年</w:t>
            </w:r>
            <w:r>
              <w:rPr>
                <w:rFonts w:hint="eastAsia" w:ascii="宋体" w:hAnsi="宋体"/>
                <w:kern w:val="0"/>
                <w:szCs w:val="21"/>
                <w:highlight w:val="none"/>
                <w:u w:val="single"/>
              </w:rPr>
              <w:t xml:space="preserve">    </w:t>
            </w:r>
            <w:r>
              <w:rPr>
                <w:rFonts w:ascii="宋体" w:hAnsi="宋体"/>
                <w:kern w:val="0"/>
                <w:szCs w:val="21"/>
                <w:highlight w:val="none"/>
              </w:rPr>
              <w:t>月</w:t>
            </w:r>
            <w:r>
              <w:rPr>
                <w:rFonts w:hint="eastAsia" w:ascii="宋体" w:hAnsi="宋体"/>
                <w:kern w:val="0"/>
                <w:szCs w:val="21"/>
                <w:highlight w:val="none"/>
                <w:u w:val="single"/>
              </w:rPr>
              <w:t xml:space="preserve">    </w:t>
            </w:r>
            <w:r>
              <w:rPr>
                <w:rFonts w:ascii="宋体" w:hAnsi="宋体"/>
                <w:kern w:val="0"/>
                <w:szCs w:val="21"/>
                <w:highlight w:val="none"/>
              </w:rPr>
              <w:t>日</w:t>
            </w:r>
            <w:r>
              <w:rPr>
                <w:rFonts w:hint="eastAsia" w:ascii="宋体" w:hAnsi="宋体"/>
                <w:kern w:val="0"/>
                <w:szCs w:val="21"/>
                <w:highlight w:val="none"/>
                <w:u w:val="single"/>
              </w:rPr>
              <w:t xml:space="preserve">    </w:t>
            </w:r>
            <w:r>
              <w:rPr>
                <w:rFonts w:ascii="宋体" w:hAnsi="宋体"/>
                <w:kern w:val="0"/>
                <w:szCs w:val="21"/>
                <w:highlight w:val="none"/>
              </w:rPr>
              <w:t>时</w:t>
            </w:r>
            <w:r>
              <w:rPr>
                <w:rFonts w:hint="eastAsia" w:ascii="宋体" w:hAnsi="宋体"/>
                <w:kern w:val="0"/>
                <w:szCs w:val="21"/>
                <w:highlight w:val="none"/>
                <w:u w:val="single"/>
              </w:rPr>
              <w:t xml:space="preserve">    </w:t>
            </w:r>
            <w:r>
              <w:rPr>
                <w:rFonts w:ascii="宋体" w:hAnsi="宋体"/>
                <w:kern w:val="0"/>
                <w:szCs w:val="21"/>
                <w:highlight w:val="none"/>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4.2.2</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递交</w:t>
            </w:r>
            <w:r>
              <w:rPr>
                <w:rFonts w:hint="eastAsia" w:ascii="宋体" w:hAnsi="宋体"/>
                <w:kern w:val="0"/>
                <w:szCs w:val="21"/>
                <w:highlight w:val="none"/>
                <w:lang w:eastAsia="zh-CN"/>
              </w:rPr>
              <w:t>竞选文件</w:t>
            </w:r>
            <w:r>
              <w:rPr>
                <w:rFonts w:ascii="宋体" w:hAnsi="宋体"/>
                <w:kern w:val="0"/>
                <w:szCs w:val="21"/>
                <w:highlight w:val="none"/>
              </w:rPr>
              <w:t>地点</w:t>
            </w:r>
          </w:p>
        </w:tc>
        <w:tc>
          <w:tcPr>
            <w:tcW w:w="6490" w:type="dxa"/>
            <w:vAlign w:val="center"/>
          </w:tcPr>
          <w:p>
            <w:pPr>
              <w:snapToGrid w:val="0"/>
              <w:spacing w:line="400" w:lineRule="exact"/>
              <w:ind w:firstLine="420" w:firstLineChars="200"/>
              <w:rPr>
                <w:rFonts w:hint="default" w:ascii="宋体" w:hAnsi="宋体" w:eastAsia="宋体"/>
                <w:bCs/>
                <w:i/>
                <w:szCs w:val="21"/>
                <w:highlight w:val="none"/>
                <w:lang w:val="en-US" w:eastAsia="zh-CN"/>
              </w:rPr>
            </w:pPr>
            <w:r>
              <w:rPr>
                <w:rFonts w:hint="eastAsia" w:ascii="宋体" w:hAnsi="宋体"/>
                <w:szCs w:val="21"/>
              </w:rPr>
              <w:t>重庆市南岸区茶园江桥路一号附1号</w:t>
            </w:r>
            <w:r>
              <w:rPr>
                <w:rFonts w:hint="eastAsia" w:ascii="宋体" w:hAnsi="宋体"/>
                <w:szCs w:val="21"/>
                <w:lang w:val="en-US" w:eastAsia="zh-CN"/>
              </w:rPr>
              <w:t>重庆经开投投资集团有限公司15楼接待室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4.2.3</w:t>
            </w:r>
          </w:p>
        </w:tc>
        <w:tc>
          <w:tcPr>
            <w:tcW w:w="1644" w:type="dxa"/>
            <w:vAlign w:val="center"/>
          </w:tcPr>
          <w:p>
            <w:pPr>
              <w:snapToGrid w:val="0"/>
              <w:spacing w:line="400" w:lineRule="exact"/>
              <w:jc w:val="center"/>
              <w:rPr>
                <w:rFonts w:hint="eastAsia" w:ascii="宋体" w:hAnsi="宋体" w:eastAsia="宋体"/>
                <w:kern w:val="0"/>
                <w:szCs w:val="21"/>
                <w:highlight w:val="none"/>
                <w:lang w:eastAsia="zh-CN"/>
              </w:rPr>
            </w:pPr>
            <w:r>
              <w:rPr>
                <w:rFonts w:ascii="宋体" w:hAnsi="宋体"/>
                <w:kern w:val="0"/>
                <w:szCs w:val="21"/>
                <w:highlight w:val="none"/>
              </w:rPr>
              <w:t>是否退还</w:t>
            </w:r>
            <w:r>
              <w:rPr>
                <w:rFonts w:hint="eastAsia" w:ascii="宋体" w:hAnsi="宋体"/>
                <w:kern w:val="0"/>
                <w:szCs w:val="21"/>
                <w:highlight w:val="none"/>
                <w:lang w:eastAsia="zh-CN"/>
              </w:rPr>
              <w:t>竞选文件</w:t>
            </w:r>
          </w:p>
        </w:tc>
        <w:tc>
          <w:tcPr>
            <w:tcW w:w="6490" w:type="dxa"/>
            <w:vAlign w:val="center"/>
          </w:tcPr>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w:t>
            </w:r>
            <w:r>
              <w:rPr>
                <w:rFonts w:ascii="宋体" w:hAnsi="宋体"/>
                <w:kern w:val="0"/>
                <w:szCs w:val="21"/>
                <w:highlight w:val="none"/>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5.1</w:t>
            </w:r>
            <w:r>
              <w:rPr>
                <w:rFonts w:hint="eastAsia" w:ascii="宋体" w:hAnsi="宋体"/>
                <w:kern w:val="0"/>
                <w:szCs w:val="21"/>
                <w:highlight w:val="none"/>
              </w:rPr>
              <w:t>.1</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开标时间和</w:t>
            </w:r>
          </w:p>
          <w:p>
            <w:pPr>
              <w:snapToGrid w:val="0"/>
              <w:spacing w:line="400" w:lineRule="exact"/>
              <w:jc w:val="center"/>
              <w:rPr>
                <w:rFonts w:ascii="宋体" w:hAnsi="宋体"/>
                <w:kern w:val="0"/>
                <w:szCs w:val="21"/>
                <w:highlight w:val="none"/>
              </w:rPr>
            </w:pPr>
            <w:r>
              <w:rPr>
                <w:rFonts w:ascii="宋体" w:hAnsi="宋体"/>
                <w:kern w:val="0"/>
                <w:szCs w:val="21"/>
                <w:highlight w:val="none"/>
              </w:rPr>
              <w:t>地点</w:t>
            </w:r>
          </w:p>
        </w:tc>
        <w:tc>
          <w:tcPr>
            <w:tcW w:w="6490" w:type="dxa"/>
            <w:vAlign w:val="center"/>
          </w:tcPr>
          <w:p>
            <w:pPr>
              <w:snapToGrid w:val="0"/>
              <w:spacing w:line="400" w:lineRule="exact"/>
              <w:ind w:firstLine="420" w:firstLineChars="200"/>
              <w:rPr>
                <w:rFonts w:hint="default" w:ascii="宋体" w:hAnsi="宋体" w:eastAsia="宋体"/>
                <w:kern w:val="0"/>
                <w:szCs w:val="21"/>
                <w:highlight w:val="none"/>
                <w:lang w:val="en-US" w:eastAsia="zh-CN"/>
              </w:rPr>
            </w:pPr>
            <w:r>
              <w:rPr>
                <w:rFonts w:ascii="宋体" w:hAnsi="宋体"/>
                <w:kern w:val="0"/>
                <w:szCs w:val="21"/>
                <w:highlight w:val="none"/>
              </w:rPr>
              <w:t>开标时间：</w:t>
            </w:r>
            <w:r>
              <w:rPr>
                <w:rFonts w:hint="eastAsia" w:ascii="宋体" w:hAnsi="宋体"/>
                <w:kern w:val="0"/>
                <w:szCs w:val="21"/>
                <w:highlight w:val="none"/>
                <w:lang w:val="en-US" w:eastAsia="zh-CN"/>
              </w:rPr>
              <w:t>2024年5月23日10时00分</w:t>
            </w:r>
          </w:p>
          <w:p>
            <w:pPr>
              <w:snapToGrid w:val="0"/>
              <w:spacing w:line="400" w:lineRule="exact"/>
              <w:ind w:firstLine="420" w:firstLineChars="200"/>
              <w:rPr>
                <w:rFonts w:hint="default" w:ascii="宋体" w:hAnsi="宋体"/>
                <w:bCs/>
                <w:i/>
                <w:szCs w:val="21"/>
                <w:highlight w:val="none"/>
                <w:lang w:val="en-US"/>
              </w:rPr>
            </w:pPr>
            <w:r>
              <w:rPr>
                <w:rFonts w:ascii="宋体" w:hAnsi="宋体"/>
                <w:kern w:val="0"/>
                <w:szCs w:val="21"/>
                <w:highlight w:val="none"/>
              </w:rPr>
              <w:t>开标地点</w:t>
            </w:r>
            <w:r>
              <w:rPr>
                <w:rFonts w:hint="eastAsia" w:ascii="宋体" w:hAnsi="宋体"/>
                <w:kern w:val="0"/>
                <w:szCs w:val="21"/>
                <w:highlight w:val="none"/>
                <w:lang w:val="en-US" w:eastAsia="zh-CN"/>
              </w:rPr>
              <w:t>：</w:t>
            </w:r>
            <w:r>
              <w:rPr>
                <w:rFonts w:hint="eastAsia" w:ascii="宋体" w:hAnsi="宋体"/>
                <w:szCs w:val="21"/>
              </w:rPr>
              <w:t>重庆市南岸区茶园江桥路一号附1号</w:t>
            </w:r>
            <w:r>
              <w:rPr>
                <w:rFonts w:hint="eastAsia" w:ascii="宋体" w:hAnsi="宋体"/>
                <w:szCs w:val="21"/>
                <w:lang w:val="en-US" w:eastAsia="zh-CN"/>
              </w:rPr>
              <w:t>重庆经开投投资集团有限公司15楼接待室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szCs w:val="21"/>
                <w:highlight w:val="none"/>
              </w:rPr>
            </w:pPr>
            <w:r>
              <w:rPr>
                <w:rFonts w:ascii="宋体" w:hAnsi="宋体"/>
                <w:szCs w:val="21"/>
                <w:highlight w:val="none"/>
              </w:rPr>
              <w:t>5.2</w:t>
            </w:r>
          </w:p>
        </w:tc>
        <w:tc>
          <w:tcPr>
            <w:tcW w:w="1644" w:type="dxa"/>
            <w:vAlign w:val="center"/>
          </w:tcPr>
          <w:p>
            <w:pPr>
              <w:snapToGrid w:val="0"/>
              <w:spacing w:line="400" w:lineRule="exact"/>
              <w:jc w:val="center"/>
              <w:rPr>
                <w:rFonts w:ascii="宋体" w:hAnsi="宋体"/>
                <w:szCs w:val="21"/>
                <w:highlight w:val="none"/>
              </w:rPr>
            </w:pPr>
            <w:r>
              <w:rPr>
                <w:rFonts w:ascii="宋体" w:hAnsi="宋体"/>
                <w:szCs w:val="21"/>
                <w:highlight w:val="none"/>
              </w:rPr>
              <w:t>开标程序</w:t>
            </w:r>
          </w:p>
        </w:tc>
        <w:tc>
          <w:tcPr>
            <w:tcW w:w="6490" w:type="dxa"/>
            <w:vAlign w:val="center"/>
          </w:tcPr>
          <w:p>
            <w:pPr>
              <w:autoSpaceDE w:val="0"/>
              <w:autoSpaceDN w:val="0"/>
              <w:adjustRightInd w:val="0"/>
              <w:snapToGrid w:val="0"/>
              <w:spacing w:line="400" w:lineRule="exact"/>
              <w:ind w:firstLine="420" w:firstLineChars="200"/>
              <w:rPr>
                <w:rFonts w:ascii="宋体" w:hAnsi="宋体"/>
                <w:szCs w:val="21"/>
                <w:highlight w:val="none"/>
              </w:rPr>
            </w:pPr>
            <w:r>
              <w:rPr>
                <w:rFonts w:ascii="宋体" w:hAnsi="宋体"/>
                <w:szCs w:val="21"/>
                <w:highlight w:val="none"/>
              </w:rPr>
              <w:t>主持人按下列程序进行开标：</w:t>
            </w:r>
          </w:p>
          <w:p>
            <w:pPr>
              <w:autoSpaceDE w:val="0"/>
              <w:autoSpaceDN w:val="0"/>
              <w:adjustRightInd w:val="0"/>
              <w:snapToGrid w:val="0"/>
              <w:spacing w:line="400" w:lineRule="exact"/>
              <w:ind w:firstLine="420" w:firstLineChars="200"/>
              <w:rPr>
                <w:rFonts w:ascii="宋体" w:hAnsi="宋体"/>
                <w:szCs w:val="21"/>
                <w:highlight w:val="none"/>
              </w:rPr>
            </w:pPr>
            <w:r>
              <w:rPr>
                <w:rFonts w:ascii="宋体" w:hAnsi="宋体"/>
                <w:szCs w:val="21"/>
                <w:highlight w:val="none"/>
              </w:rPr>
              <w:t>1. 核验参加开标会议的</w:t>
            </w:r>
            <w:r>
              <w:rPr>
                <w:rFonts w:hint="eastAsia" w:ascii="宋体" w:hAnsi="宋体"/>
                <w:szCs w:val="21"/>
                <w:highlight w:val="none"/>
                <w:lang w:eastAsia="zh-CN"/>
              </w:rPr>
              <w:t>竞选人</w:t>
            </w:r>
            <w:r>
              <w:rPr>
                <w:rFonts w:ascii="宋体" w:hAnsi="宋体"/>
                <w:szCs w:val="21"/>
                <w:highlight w:val="none"/>
              </w:rPr>
              <w:t>的法定代表人或</w:t>
            </w:r>
            <w:r>
              <w:rPr>
                <w:rFonts w:hint="eastAsia" w:ascii="宋体" w:hAnsi="宋体"/>
                <w:szCs w:val="21"/>
                <w:highlight w:val="none"/>
              </w:rPr>
              <w:t>委托代理人</w:t>
            </w:r>
            <w:r>
              <w:rPr>
                <w:rFonts w:ascii="宋体" w:hAnsi="宋体"/>
                <w:szCs w:val="21"/>
                <w:highlight w:val="none"/>
              </w:rPr>
              <w:t>本人身份证（原件），核验委托代理人的授权委托书</w:t>
            </w:r>
            <w:r>
              <w:rPr>
                <w:rFonts w:hint="eastAsia" w:ascii="宋体" w:hAnsi="宋体"/>
                <w:szCs w:val="21"/>
                <w:highlight w:val="none"/>
              </w:rPr>
              <w:t>、养老保险证明材料复印件</w:t>
            </w:r>
            <w:r>
              <w:rPr>
                <w:rFonts w:ascii="宋体" w:hAnsi="宋体"/>
                <w:szCs w:val="21"/>
                <w:highlight w:val="none"/>
              </w:rPr>
              <w:t>，以确认其身份合法有效；</w:t>
            </w:r>
            <w:r>
              <w:rPr>
                <w:rFonts w:hint="eastAsia" w:ascii="宋体" w:hAnsi="宋体"/>
                <w:szCs w:val="21"/>
                <w:highlight w:val="none"/>
              </w:rPr>
              <w:t>若经核实委托代理人提供资料与实际不符的，不得参加开标会。核验合格的法定代表人或委托代理人可自行选择是否参加开标会，不参加开标会的视为默认开标结果。</w:t>
            </w:r>
          </w:p>
          <w:p>
            <w:pPr>
              <w:autoSpaceDE w:val="0"/>
              <w:autoSpaceDN w:val="0"/>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lang w:val="en-US" w:eastAsia="zh-CN"/>
              </w:rPr>
              <w:t>2</w:t>
            </w:r>
            <w:r>
              <w:rPr>
                <w:rFonts w:ascii="宋体" w:hAnsi="宋体"/>
                <w:szCs w:val="21"/>
                <w:highlight w:val="none"/>
              </w:rPr>
              <w:t>. 公布在投标截止时间前递交</w:t>
            </w:r>
            <w:r>
              <w:rPr>
                <w:rFonts w:hint="eastAsia" w:ascii="宋体" w:hAnsi="宋体"/>
                <w:szCs w:val="21"/>
                <w:highlight w:val="none"/>
                <w:lang w:eastAsia="zh-CN"/>
              </w:rPr>
              <w:t>竞选文件</w:t>
            </w:r>
            <w:r>
              <w:rPr>
                <w:rFonts w:ascii="宋体" w:hAnsi="宋体"/>
                <w:szCs w:val="21"/>
                <w:highlight w:val="none"/>
              </w:rPr>
              <w:t>的</w:t>
            </w:r>
            <w:r>
              <w:rPr>
                <w:rFonts w:hint="eastAsia" w:ascii="宋体" w:hAnsi="宋体"/>
                <w:szCs w:val="21"/>
                <w:highlight w:val="none"/>
                <w:lang w:eastAsia="zh-CN"/>
              </w:rPr>
              <w:t>竞选人</w:t>
            </w:r>
            <w:r>
              <w:rPr>
                <w:rFonts w:ascii="宋体" w:hAnsi="宋体"/>
                <w:szCs w:val="21"/>
                <w:highlight w:val="none"/>
              </w:rPr>
              <w:t>名称</w:t>
            </w:r>
            <w:r>
              <w:rPr>
                <w:rFonts w:hint="eastAsia" w:ascii="宋体" w:hAnsi="宋体"/>
                <w:szCs w:val="21"/>
                <w:highlight w:val="none"/>
              </w:rPr>
              <w:t>。</w:t>
            </w:r>
          </w:p>
          <w:p>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lang w:val="en-US" w:eastAsia="zh-CN"/>
              </w:rPr>
              <w:t>3</w:t>
            </w:r>
            <w:r>
              <w:rPr>
                <w:rFonts w:ascii="宋体" w:hAnsi="宋体"/>
                <w:szCs w:val="21"/>
                <w:highlight w:val="none"/>
              </w:rPr>
              <w:t xml:space="preserve">. </w:t>
            </w:r>
            <w:r>
              <w:rPr>
                <w:rFonts w:hint="eastAsia" w:ascii="宋体" w:hAnsi="宋体"/>
                <w:szCs w:val="21"/>
                <w:highlight w:val="none"/>
                <w:lang w:eastAsia="zh-CN"/>
              </w:rPr>
              <w:t>竞选文件</w:t>
            </w:r>
            <w:r>
              <w:rPr>
                <w:rFonts w:hint="eastAsia" w:ascii="宋体" w:hAnsi="宋体"/>
                <w:szCs w:val="21"/>
                <w:highlight w:val="none"/>
              </w:rPr>
              <w:t>的密封检查：</w:t>
            </w:r>
            <w:r>
              <w:rPr>
                <w:rFonts w:hint="eastAsia" w:ascii="宋体" w:hAnsi="宋体"/>
                <w:szCs w:val="21"/>
                <w:highlight w:val="none"/>
                <w:lang w:eastAsia="zh-CN"/>
              </w:rPr>
              <w:t>竞选人</w:t>
            </w:r>
            <w:r>
              <w:rPr>
                <w:rFonts w:hint="eastAsia" w:ascii="宋体" w:hAnsi="宋体"/>
                <w:szCs w:val="21"/>
                <w:highlight w:val="none"/>
              </w:rPr>
              <w:t>可对自己的</w:t>
            </w:r>
            <w:r>
              <w:rPr>
                <w:rFonts w:hint="eastAsia" w:ascii="宋体" w:hAnsi="宋体"/>
                <w:szCs w:val="21"/>
                <w:highlight w:val="none"/>
                <w:lang w:eastAsia="zh-CN"/>
              </w:rPr>
              <w:t>竞选文件</w:t>
            </w:r>
            <w:r>
              <w:rPr>
                <w:rFonts w:hint="eastAsia" w:ascii="宋体" w:hAnsi="宋体"/>
                <w:szCs w:val="21"/>
                <w:highlight w:val="none"/>
              </w:rPr>
              <w:t>封装情况进行检查，以确认其</w:t>
            </w:r>
            <w:r>
              <w:rPr>
                <w:rFonts w:hint="eastAsia" w:ascii="宋体" w:hAnsi="宋体"/>
                <w:szCs w:val="21"/>
                <w:highlight w:val="none"/>
                <w:lang w:eastAsia="zh-CN"/>
              </w:rPr>
              <w:t>竞选文件</w:t>
            </w:r>
            <w:r>
              <w:rPr>
                <w:rFonts w:hint="eastAsia" w:ascii="宋体" w:hAnsi="宋体"/>
                <w:szCs w:val="21"/>
                <w:highlight w:val="none"/>
              </w:rPr>
              <w:t>密封完好。</w:t>
            </w:r>
          </w:p>
          <w:p>
            <w:pPr>
              <w:snapToGrid w:val="0"/>
              <w:spacing w:line="400" w:lineRule="exact"/>
              <w:ind w:firstLine="420" w:firstLineChars="200"/>
            </w:pPr>
            <w:r>
              <w:rPr>
                <w:rFonts w:hint="eastAsia" w:ascii="宋体" w:hAnsi="宋体"/>
                <w:color w:val="auto"/>
                <w:szCs w:val="21"/>
                <w:highlight w:val="none"/>
                <w:lang w:val="en-US" w:eastAsia="zh-CN"/>
              </w:rPr>
              <w:t>4</w:t>
            </w:r>
            <w:r>
              <w:rPr>
                <w:rFonts w:hint="eastAsia" w:ascii="宋体" w:hAnsi="宋体"/>
                <w:color w:val="auto"/>
                <w:szCs w:val="21"/>
                <w:highlight w:val="none"/>
              </w:rPr>
              <w:t>. 汇总投标保证金交纳情况</w:t>
            </w:r>
          </w:p>
          <w:p>
            <w:pPr>
              <w:snapToGrid w:val="0"/>
              <w:spacing w:line="400" w:lineRule="exact"/>
              <w:ind w:firstLine="420" w:firstLineChars="200"/>
              <w:rPr>
                <w:rFonts w:ascii="宋体" w:hAnsi="宋体"/>
                <w:szCs w:val="21"/>
                <w:highlight w:val="none"/>
              </w:rPr>
            </w:pPr>
            <w:r>
              <w:rPr>
                <w:rFonts w:hint="eastAsia" w:ascii="宋体" w:hAnsi="宋体"/>
                <w:szCs w:val="21"/>
                <w:highlight w:val="none"/>
                <w:lang w:val="en-US" w:eastAsia="zh-CN"/>
              </w:rPr>
              <w:t>5</w:t>
            </w:r>
            <w:r>
              <w:rPr>
                <w:rFonts w:ascii="宋体" w:hAnsi="宋体"/>
                <w:szCs w:val="21"/>
                <w:highlight w:val="none"/>
              </w:rPr>
              <w:t>. 公布最高限价</w:t>
            </w:r>
            <w:r>
              <w:rPr>
                <w:rFonts w:hint="eastAsia" w:ascii="宋体" w:hAnsi="宋体"/>
                <w:szCs w:val="21"/>
                <w:highlight w:val="none"/>
              </w:rPr>
              <w:t>。</w:t>
            </w:r>
          </w:p>
          <w:p>
            <w:pPr>
              <w:snapToGrid w:val="0"/>
              <w:spacing w:line="400" w:lineRule="exact"/>
              <w:ind w:firstLine="420" w:firstLineChars="200"/>
              <w:rPr>
                <w:rFonts w:ascii="宋体" w:hAnsi="宋体"/>
                <w:szCs w:val="21"/>
                <w:highlight w:val="none"/>
              </w:rPr>
            </w:pPr>
            <w:r>
              <w:rPr>
                <w:rFonts w:hint="eastAsia" w:ascii="宋体" w:hAnsi="宋体"/>
                <w:szCs w:val="21"/>
                <w:highlight w:val="none"/>
                <w:lang w:val="en-US" w:eastAsia="zh-CN"/>
              </w:rPr>
              <w:t>6</w:t>
            </w:r>
            <w:r>
              <w:rPr>
                <w:rFonts w:ascii="宋体" w:hAnsi="宋体"/>
                <w:szCs w:val="21"/>
                <w:highlight w:val="none"/>
              </w:rPr>
              <w:t>.</w:t>
            </w:r>
            <w:r>
              <w:rPr>
                <w:rFonts w:hint="eastAsia" w:ascii="宋体" w:hAnsi="宋体"/>
                <w:szCs w:val="21"/>
                <w:highlight w:val="none"/>
              </w:rPr>
              <w:t xml:space="preserve"> </w:t>
            </w:r>
            <w:r>
              <w:rPr>
                <w:rFonts w:ascii="宋体" w:hAnsi="宋体"/>
                <w:szCs w:val="21"/>
                <w:highlight w:val="none"/>
              </w:rPr>
              <w:t>逐单位随机开启</w:t>
            </w:r>
            <w:r>
              <w:rPr>
                <w:rFonts w:hint="eastAsia" w:ascii="宋体" w:hAnsi="宋体"/>
                <w:szCs w:val="21"/>
                <w:highlight w:val="none"/>
                <w:lang w:eastAsia="zh-CN"/>
              </w:rPr>
              <w:t>竞选文件</w:t>
            </w:r>
            <w:r>
              <w:rPr>
                <w:rFonts w:ascii="宋体" w:hAnsi="宋体"/>
                <w:szCs w:val="21"/>
                <w:highlight w:val="none"/>
              </w:rPr>
              <w:t>。公布</w:t>
            </w:r>
            <w:r>
              <w:rPr>
                <w:rFonts w:hint="eastAsia" w:ascii="宋体" w:hAnsi="宋体"/>
                <w:szCs w:val="21"/>
                <w:highlight w:val="none"/>
                <w:lang w:eastAsia="zh-CN"/>
              </w:rPr>
              <w:t>竞选人</w:t>
            </w:r>
            <w:r>
              <w:rPr>
                <w:rFonts w:ascii="宋体" w:hAnsi="宋体"/>
                <w:szCs w:val="21"/>
                <w:highlight w:val="none"/>
              </w:rPr>
              <w:t>名称、投标报价、质量要求、工期及其他内容并记录在案</w:t>
            </w:r>
            <w:r>
              <w:rPr>
                <w:rFonts w:hint="eastAsia" w:ascii="宋体" w:hAnsi="宋体"/>
                <w:szCs w:val="21"/>
                <w:highlight w:val="none"/>
              </w:rPr>
              <w:t>。</w:t>
            </w:r>
          </w:p>
          <w:p>
            <w:pPr>
              <w:numPr>
                <w:ilvl w:val="255"/>
                <w:numId w:val="0"/>
              </w:numPr>
              <w:autoSpaceDE w:val="0"/>
              <w:autoSpaceDN w:val="0"/>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lang w:val="en-US" w:eastAsia="zh-CN"/>
              </w:rPr>
              <w:t>7</w:t>
            </w:r>
            <w:r>
              <w:rPr>
                <w:rFonts w:hint="eastAsia" w:ascii="宋体" w:hAnsi="宋体"/>
                <w:szCs w:val="21"/>
                <w:highlight w:val="none"/>
              </w:rPr>
              <w:t>.</w:t>
            </w:r>
            <w:r>
              <w:rPr>
                <w:rFonts w:hint="eastAsia" w:ascii="宋体" w:hAnsi="宋体"/>
                <w:szCs w:val="21"/>
                <w:highlight w:val="none"/>
                <w:lang w:eastAsia="zh-CN"/>
              </w:rPr>
              <w:t>竞选人</w:t>
            </w:r>
            <w:r>
              <w:rPr>
                <w:rFonts w:hint="eastAsia" w:ascii="宋体" w:hAnsi="宋体"/>
                <w:szCs w:val="21"/>
                <w:highlight w:val="none"/>
              </w:rPr>
              <w:t>对开标有异议的，应当场提出，由</w:t>
            </w:r>
            <w:r>
              <w:rPr>
                <w:rFonts w:hint="eastAsia" w:ascii="宋体" w:hAnsi="宋体"/>
                <w:szCs w:val="21"/>
                <w:highlight w:val="none"/>
                <w:lang w:eastAsia="zh-CN"/>
              </w:rPr>
              <w:t>比选人</w:t>
            </w:r>
            <w:r>
              <w:rPr>
                <w:rFonts w:hint="eastAsia" w:ascii="宋体" w:hAnsi="宋体"/>
                <w:szCs w:val="21"/>
                <w:highlight w:val="none"/>
              </w:rPr>
              <w:t>或代理机构当场答复，并记录到开标记录表中。异议处理完毕后，汇总开标情况，打印开标记录表。</w:t>
            </w:r>
          </w:p>
          <w:p>
            <w:pPr>
              <w:autoSpaceDE w:val="0"/>
              <w:autoSpaceDN w:val="0"/>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lang w:val="en-US" w:eastAsia="zh-CN"/>
              </w:rPr>
              <w:t>8</w:t>
            </w:r>
            <w:r>
              <w:rPr>
                <w:rFonts w:ascii="宋体" w:hAnsi="宋体"/>
                <w:szCs w:val="21"/>
                <w:highlight w:val="none"/>
              </w:rPr>
              <w:t xml:space="preserve">. </w:t>
            </w:r>
            <w:r>
              <w:rPr>
                <w:rFonts w:hint="eastAsia" w:ascii="宋体" w:hAnsi="宋体"/>
                <w:szCs w:val="21"/>
                <w:highlight w:val="none"/>
                <w:lang w:eastAsia="zh-CN"/>
              </w:rPr>
              <w:t>竞选人</w:t>
            </w:r>
            <w:r>
              <w:rPr>
                <w:rFonts w:ascii="宋体" w:hAnsi="宋体"/>
                <w:szCs w:val="21"/>
                <w:highlight w:val="none"/>
              </w:rPr>
              <w:t>代表、</w:t>
            </w:r>
            <w:r>
              <w:rPr>
                <w:rFonts w:hint="eastAsia" w:ascii="宋体" w:hAnsi="宋体"/>
                <w:szCs w:val="21"/>
                <w:highlight w:val="none"/>
                <w:lang w:eastAsia="zh-CN"/>
              </w:rPr>
              <w:t>比选人</w:t>
            </w:r>
            <w:r>
              <w:rPr>
                <w:rFonts w:ascii="宋体" w:hAnsi="宋体"/>
                <w:szCs w:val="21"/>
                <w:highlight w:val="none"/>
              </w:rPr>
              <w:t>代表、监标人、</w:t>
            </w:r>
            <w:r>
              <w:rPr>
                <w:rFonts w:hint="eastAsia" w:ascii="宋体" w:hAnsi="宋体"/>
                <w:szCs w:val="21"/>
                <w:highlight w:val="none"/>
              </w:rPr>
              <w:t>主持人、</w:t>
            </w:r>
            <w:r>
              <w:rPr>
                <w:rFonts w:ascii="宋体" w:hAnsi="宋体"/>
                <w:szCs w:val="21"/>
                <w:highlight w:val="none"/>
              </w:rPr>
              <w:t>记录人等有关人员在开标记录上</w:t>
            </w:r>
            <w:r>
              <w:rPr>
                <w:rFonts w:hint="eastAsia" w:ascii="宋体" w:hAnsi="宋体"/>
                <w:szCs w:val="21"/>
                <w:highlight w:val="none"/>
              </w:rPr>
              <w:t>签名</w:t>
            </w:r>
            <w:r>
              <w:rPr>
                <w:rFonts w:ascii="宋体" w:hAnsi="宋体"/>
                <w:szCs w:val="21"/>
                <w:highlight w:val="none"/>
              </w:rPr>
              <w:t>确认</w:t>
            </w:r>
            <w:r>
              <w:rPr>
                <w:rFonts w:hint="eastAsia" w:ascii="宋体" w:hAnsi="宋体"/>
                <w:szCs w:val="21"/>
                <w:highlight w:val="none"/>
              </w:rPr>
              <w:t>。因其他原因未能签名的，视为默认开标结果。</w:t>
            </w:r>
          </w:p>
          <w:p>
            <w:pPr>
              <w:autoSpaceDE w:val="0"/>
              <w:autoSpaceDN w:val="0"/>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lang w:val="en-US" w:eastAsia="zh-CN"/>
              </w:rPr>
              <w:t>9</w:t>
            </w:r>
            <w:r>
              <w:rPr>
                <w:rFonts w:ascii="宋体" w:hAnsi="宋体"/>
                <w:szCs w:val="21"/>
                <w:highlight w:val="none"/>
              </w:rPr>
              <w:t>. 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6.1.1</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评标委员会的组建</w:t>
            </w:r>
          </w:p>
        </w:tc>
        <w:tc>
          <w:tcPr>
            <w:tcW w:w="6490" w:type="dxa"/>
            <w:vAlign w:val="center"/>
          </w:tcPr>
          <w:p>
            <w:pPr>
              <w:autoSpaceDE w:val="0"/>
              <w:autoSpaceDN w:val="0"/>
              <w:adjustRightInd w:val="0"/>
              <w:snapToGrid w:val="0"/>
              <w:spacing w:line="400" w:lineRule="exact"/>
              <w:ind w:firstLine="436" w:firstLineChars="200"/>
              <w:rPr>
                <w:rFonts w:ascii="宋体" w:hAnsi="宋体"/>
                <w:kern w:val="0"/>
                <w:szCs w:val="21"/>
                <w:highlight w:val="none"/>
              </w:rPr>
            </w:pPr>
            <w:r>
              <w:rPr>
                <w:rFonts w:hint="eastAsia" w:ascii="宋体" w:hAnsi="宋体"/>
                <w:spacing w:val="4"/>
                <w:kern w:val="0"/>
                <w:szCs w:val="21"/>
                <w:highlight w:val="none"/>
              </w:rPr>
              <w:t>由</w:t>
            </w:r>
            <w:r>
              <w:rPr>
                <w:rFonts w:hint="eastAsia" w:ascii="宋体" w:hAnsi="宋体"/>
                <w:spacing w:val="4"/>
                <w:kern w:val="0"/>
                <w:szCs w:val="21"/>
                <w:highlight w:val="none"/>
                <w:lang w:eastAsia="zh-CN"/>
              </w:rPr>
              <w:t>比选人</w:t>
            </w:r>
            <w:r>
              <w:rPr>
                <w:rFonts w:hint="eastAsia" w:ascii="宋体" w:hAnsi="宋体"/>
                <w:spacing w:val="4"/>
                <w:kern w:val="0"/>
                <w:szCs w:val="21"/>
              </w:rPr>
              <w:t>依法自行</w:t>
            </w:r>
            <w:r>
              <w:rPr>
                <w:rFonts w:hint="eastAsia" w:ascii="宋体" w:hAnsi="宋体"/>
                <w:spacing w:val="4"/>
                <w:kern w:val="0"/>
                <w:szCs w:val="21"/>
                <w:highlight w:val="none"/>
              </w:rPr>
              <w:t>组建评标委员会</w:t>
            </w:r>
            <w:r>
              <w:rPr>
                <w:rFonts w:hint="eastAsia" w:ascii="宋体" w:hAnsi="宋体"/>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7.1</w:t>
            </w:r>
          </w:p>
        </w:tc>
        <w:tc>
          <w:tcPr>
            <w:tcW w:w="1644" w:type="dxa"/>
            <w:vAlign w:val="center"/>
          </w:tcPr>
          <w:p>
            <w:pPr>
              <w:snapToGrid w:val="0"/>
              <w:spacing w:after="62" w:afterLines="20" w:line="400" w:lineRule="exact"/>
              <w:jc w:val="center"/>
              <w:rPr>
                <w:rFonts w:ascii="宋体" w:hAnsi="宋体"/>
                <w:kern w:val="0"/>
                <w:szCs w:val="21"/>
                <w:highlight w:val="none"/>
              </w:rPr>
            </w:pPr>
            <w:r>
              <w:rPr>
                <w:rFonts w:ascii="宋体" w:hAnsi="宋体"/>
                <w:kern w:val="0"/>
                <w:szCs w:val="21"/>
                <w:highlight w:val="none"/>
              </w:rPr>
              <w:t>是否授权评标委员会确定中标人</w:t>
            </w:r>
          </w:p>
        </w:tc>
        <w:tc>
          <w:tcPr>
            <w:tcW w:w="6490" w:type="dxa"/>
            <w:vAlign w:val="center"/>
          </w:tcPr>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是</w:t>
            </w:r>
          </w:p>
          <w:p>
            <w:pPr>
              <w:snapToGrid w:val="0"/>
              <w:spacing w:line="400" w:lineRule="exact"/>
              <w:ind w:firstLine="420" w:firstLineChars="200"/>
              <w:rPr>
                <w:rFonts w:ascii="宋体" w:hAnsi="宋体"/>
                <w:i/>
                <w:kern w:val="0"/>
                <w:szCs w:val="21"/>
                <w:highlight w:val="none"/>
              </w:rPr>
            </w:pPr>
            <w:r>
              <w:rPr>
                <w:rFonts w:hint="eastAsia" w:ascii="宋体" w:hAnsi="宋体"/>
                <w:kern w:val="0"/>
                <w:szCs w:val="21"/>
                <w:highlight w:val="none"/>
                <w:lang w:eastAsia="zh-CN"/>
              </w:rPr>
              <w:t>☑</w:t>
            </w:r>
            <w:r>
              <w:rPr>
                <w:rFonts w:ascii="宋体" w:hAnsi="宋体"/>
                <w:kern w:val="0"/>
                <w:szCs w:val="21"/>
                <w:highlight w:val="none"/>
              </w:rPr>
              <w:t>否，推荐经评审综合得分由高到低排名前三名为中标候选人。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eastAsia="宋体" w:cs="Times New Roman"/>
                <w:kern w:val="0"/>
                <w:sz w:val="21"/>
                <w:szCs w:val="21"/>
                <w:highlight w:val="none"/>
                <w:lang w:val="en-US" w:eastAsia="zh-CN" w:bidi="ar-SA"/>
              </w:rPr>
            </w:pPr>
            <w:r>
              <w:rPr>
                <w:rFonts w:hint="eastAsia" w:ascii="宋体" w:hAnsi="宋体"/>
                <w:kern w:val="0"/>
                <w:szCs w:val="21"/>
                <w:highlight w:val="none"/>
              </w:rPr>
              <w:t>7.2</w:t>
            </w:r>
          </w:p>
        </w:tc>
        <w:tc>
          <w:tcPr>
            <w:tcW w:w="1644" w:type="dxa"/>
            <w:vAlign w:val="center"/>
          </w:tcPr>
          <w:p>
            <w:pPr>
              <w:snapToGrid w:val="0"/>
              <w:spacing w:after="62" w:afterLines="20" w:line="400" w:lineRule="exact"/>
              <w:jc w:val="center"/>
              <w:rPr>
                <w:rFonts w:ascii="宋体" w:hAnsi="宋体" w:eastAsia="宋体" w:cs="Times New Roman"/>
                <w:kern w:val="0"/>
                <w:sz w:val="21"/>
                <w:szCs w:val="21"/>
                <w:highlight w:val="none"/>
                <w:lang w:val="en-US" w:eastAsia="zh-CN" w:bidi="ar-SA"/>
              </w:rPr>
            </w:pPr>
            <w:r>
              <w:rPr>
                <w:rFonts w:ascii="宋体" w:hAnsi="宋体"/>
                <w:kern w:val="0"/>
                <w:szCs w:val="21"/>
                <w:highlight w:val="none"/>
              </w:rPr>
              <w:t>中标公示</w:t>
            </w:r>
          </w:p>
        </w:tc>
        <w:tc>
          <w:tcPr>
            <w:tcW w:w="6490" w:type="dxa"/>
            <w:vAlign w:val="center"/>
          </w:tcPr>
          <w:p>
            <w:pPr>
              <w:snapToGrid w:val="0"/>
              <w:spacing w:line="400" w:lineRule="exact"/>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在收到评标报告后3日内将评标结果在在行采家(https://www.gec123.com/) 和重庆经开区投资集团官网（http://www.cetzig.com/）上进行公示</w:t>
            </w:r>
            <w:r>
              <w:rPr>
                <w:rFonts w:hint="eastAsia" w:ascii="宋体" w:hAnsi="宋体" w:cs="宋体"/>
                <w:szCs w:val="21"/>
                <w:highlight w:val="none"/>
              </w:rPr>
              <w:t>，公示期为</w:t>
            </w:r>
            <w:r>
              <w:rPr>
                <w:rFonts w:hint="eastAsia" w:ascii="宋体" w:hAnsi="宋体" w:cs="宋体"/>
                <w:szCs w:val="21"/>
                <w:highlight w:val="none"/>
                <w:lang w:val="en-US" w:eastAsia="zh-CN"/>
              </w:rPr>
              <w:t>1个工作</w:t>
            </w:r>
            <w:r>
              <w:rPr>
                <w:rFonts w:hint="eastAsia" w:ascii="宋体" w:hAnsi="宋体" w:cs="宋体"/>
                <w:szCs w:val="21"/>
                <w:highlight w:val="none"/>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eastAsia="宋体" w:cs="Times New Roman"/>
                <w:kern w:val="0"/>
                <w:sz w:val="21"/>
                <w:szCs w:val="21"/>
                <w:highlight w:val="none"/>
                <w:lang w:val="en-US" w:eastAsia="zh-CN" w:bidi="ar-SA"/>
              </w:rPr>
            </w:pPr>
            <w:r>
              <w:rPr>
                <w:rFonts w:ascii="宋体" w:hAnsi="宋体"/>
                <w:kern w:val="0"/>
                <w:szCs w:val="21"/>
                <w:highlight w:val="none"/>
              </w:rPr>
              <w:t>7.3.1</w:t>
            </w:r>
          </w:p>
        </w:tc>
        <w:tc>
          <w:tcPr>
            <w:tcW w:w="1644" w:type="dxa"/>
            <w:vAlign w:val="center"/>
          </w:tcPr>
          <w:p>
            <w:pPr>
              <w:snapToGrid w:val="0"/>
              <w:spacing w:line="400" w:lineRule="exact"/>
              <w:jc w:val="center"/>
              <w:rPr>
                <w:rFonts w:ascii="宋体" w:hAnsi="宋体" w:eastAsia="宋体" w:cs="Times New Roman"/>
                <w:kern w:val="0"/>
                <w:sz w:val="21"/>
                <w:szCs w:val="21"/>
                <w:highlight w:val="none"/>
                <w:lang w:val="en-US" w:eastAsia="zh-CN" w:bidi="ar-SA"/>
              </w:rPr>
            </w:pPr>
            <w:r>
              <w:rPr>
                <w:rFonts w:ascii="宋体" w:hAnsi="宋体"/>
                <w:kern w:val="0"/>
                <w:szCs w:val="21"/>
                <w:highlight w:val="none"/>
              </w:rPr>
              <w:t>履约担保</w:t>
            </w:r>
          </w:p>
        </w:tc>
        <w:tc>
          <w:tcPr>
            <w:tcW w:w="6490" w:type="dxa"/>
            <w:vAlign w:val="center"/>
          </w:tcPr>
          <w:p>
            <w:pPr>
              <w:numPr>
                <w:ilvl w:val="0"/>
                <w:numId w:val="1"/>
              </w:numPr>
              <w:snapToGrid w:val="0"/>
              <w:spacing w:line="400" w:lineRule="exact"/>
              <w:ind w:firstLine="420" w:firstLineChars="200"/>
              <w:rPr>
                <w:rFonts w:hint="eastAsia" w:ascii="宋体" w:hAnsi="宋体"/>
                <w:kern w:val="0"/>
                <w:szCs w:val="21"/>
                <w:highlight w:val="none"/>
              </w:rPr>
            </w:pPr>
            <w:r>
              <w:rPr>
                <w:rFonts w:hint="eastAsia" w:ascii="宋体" w:hAnsi="宋体"/>
                <w:kern w:val="0"/>
                <w:szCs w:val="21"/>
                <w:highlight w:val="none"/>
              </w:rPr>
              <w:t>中标人是否提供履约担保：</w:t>
            </w:r>
            <w:r>
              <w:rPr>
                <w:rFonts w:hint="eastAsia" w:ascii="宋体" w:hAnsi="宋体"/>
                <w:kern w:val="0"/>
                <w:szCs w:val="21"/>
                <w:highlight w:val="none"/>
                <w:u w:val="single"/>
              </w:rPr>
              <w:t>提供</w:t>
            </w:r>
            <w:r>
              <w:rPr>
                <w:rFonts w:hint="eastAsia" w:ascii="宋体" w:hAnsi="宋体"/>
                <w:kern w:val="0"/>
                <w:szCs w:val="21"/>
                <w:highlight w:val="none"/>
              </w:rPr>
              <w:t>。</w:t>
            </w:r>
          </w:p>
          <w:p>
            <w:pPr>
              <w:numPr>
                <w:ilvl w:val="0"/>
                <w:numId w:val="0"/>
              </w:num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2、中标人提供履约担保的形式、金额及期限：</w:t>
            </w:r>
          </w:p>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（1）履约担保的形式：现金或银行保函或现金+银行保函的组合；采用银行保函形式的，保函必须为不可撤销且见索即付；</w:t>
            </w:r>
          </w:p>
          <w:p>
            <w:pPr>
              <w:snapToGrid w:val="0"/>
              <w:spacing w:line="400" w:lineRule="exact"/>
              <w:ind w:firstLine="420" w:firstLineChars="200"/>
              <w:rPr>
                <w:rFonts w:ascii="宋体" w:hAnsi="宋体"/>
                <w:i/>
                <w:kern w:val="0"/>
                <w:szCs w:val="21"/>
                <w:highlight w:val="none"/>
              </w:rPr>
            </w:pPr>
            <w:r>
              <w:rPr>
                <w:rFonts w:hint="eastAsia" w:ascii="宋体" w:hAnsi="宋体"/>
                <w:kern w:val="0"/>
                <w:szCs w:val="21"/>
                <w:highlight w:val="none"/>
              </w:rPr>
              <w:t>（2）履约担保的金额：</w:t>
            </w:r>
            <w:r>
              <w:rPr>
                <w:rFonts w:hint="eastAsia" w:ascii="宋体" w:hAnsi="宋体"/>
                <w:kern w:val="0"/>
                <w:szCs w:val="21"/>
                <w:highlight w:val="none"/>
                <w:u w:val="single"/>
              </w:rPr>
              <w:t xml:space="preserve"> </w:t>
            </w:r>
            <w:r>
              <w:rPr>
                <w:rFonts w:hint="eastAsia" w:ascii="宋体" w:hAnsi="宋体"/>
                <w:kern w:val="0"/>
                <w:szCs w:val="21"/>
                <w:highlight w:val="none"/>
                <w:u w:val="single"/>
                <w:lang w:val="en-US" w:eastAsia="zh-CN"/>
              </w:rPr>
              <w:t>中标金额5%</w:t>
            </w:r>
            <w:r>
              <w:rPr>
                <w:rFonts w:hint="eastAsia" w:ascii="宋体" w:hAnsi="宋体"/>
                <w:kern w:val="0"/>
                <w:szCs w:val="21"/>
                <w:highlight w:val="none"/>
                <w:u w:val="single"/>
              </w:rPr>
              <w:t xml:space="preserve"> </w:t>
            </w:r>
            <w:r>
              <w:rPr>
                <w:rFonts w:hint="eastAsia" w:ascii="宋体" w:hAnsi="宋体"/>
                <w:kern w:val="0"/>
                <w:szCs w:val="21"/>
                <w:highlight w:val="none"/>
              </w:rPr>
              <w:t>；</w:t>
            </w:r>
          </w:p>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（3）履约担保的提交时间：</w:t>
            </w:r>
            <w:r>
              <w:rPr>
                <w:rFonts w:hint="eastAsia"/>
                <w:szCs w:val="21"/>
              </w:rPr>
              <w:t>从</w:t>
            </w:r>
            <w:r>
              <w:rPr>
                <w:rFonts w:hint="eastAsia"/>
                <w:szCs w:val="21"/>
                <w:lang w:val="en-US" w:eastAsia="zh-CN"/>
              </w:rPr>
              <w:t>中标通知书</w:t>
            </w:r>
            <w:r>
              <w:rPr>
                <w:rFonts w:hint="eastAsia"/>
                <w:szCs w:val="21"/>
              </w:rPr>
              <w:t>送达拟中标人之日起</w:t>
            </w:r>
            <w:r>
              <w:rPr>
                <w:rFonts w:hint="eastAsia"/>
                <w:szCs w:val="21"/>
                <w:u w:val="single"/>
              </w:rPr>
              <w:t xml:space="preserve"> </w:t>
            </w:r>
            <w:r>
              <w:rPr>
                <w:szCs w:val="21"/>
                <w:u w:val="single"/>
              </w:rPr>
              <w:t>10</w:t>
            </w:r>
            <w:r>
              <w:rPr>
                <w:rFonts w:hint="eastAsia"/>
                <w:szCs w:val="21"/>
                <w:u w:val="single"/>
              </w:rPr>
              <w:t xml:space="preserve"> </w:t>
            </w:r>
            <w:r>
              <w:rPr>
                <w:rFonts w:hint="eastAsia"/>
                <w:szCs w:val="21"/>
              </w:rPr>
              <w:t>工作日内</w:t>
            </w:r>
            <w:r>
              <w:rPr>
                <w:rFonts w:hint="eastAsia"/>
                <w:szCs w:val="21"/>
                <w:lang w:eastAsia="zh-CN"/>
              </w:rPr>
              <w:t>，</w:t>
            </w:r>
            <w:r>
              <w:rPr>
                <w:rFonts w:hint="eastAsia"/>
                <w:szCs w:val="21"/>
                <w:lang w:val="en-US" w:eastAsia="zh-CN"/>
              </w:rPr>
              <w:t>且在合同签订前</w:t>
            </w:r>
            <w:r>
              <w:rPr>
                <w:rFonts w:hint="eastAsia" w:ascii="宋体" w:hAnsi="宋体"/>
                <w:kern w:val="0"/>
                <w:szCs w:val="21"/>
                <w:highlight w:val="none"/>
              </w:rPr>
              <w:t>。</w:t>
            </w:r>
          </w:p>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（4）履约担保的期限：见专用合同条款。</w:t>
            </w:r>
          </w:p>
          <w:p>
            <w:pPr>
              <w:snapToGrid w:val="0"/>
              <w:spacing w:after="62" w:afterLines="20" w:line="400" w:lineRule="exact"/>
              <w:ind w:firstLine="420" w:firstLineChars="200"/>
              <w:rPr>
                <w:rFonts w:ascii="宋体" w:hAnsi="宋体" w:eastAsia="宋体" w:cs="Times New Roman"/>
                <w:kern w:val="0"/>
                <w:sz w:val="21"/>
                <w:szCs w:val="21"/>
                <w:highlight w:val="none"/>
                <w:lang w:val="en-US" w:eastAsia="zh-CN" w:bidi="ar-SA"/>
              </w:rPr>
            </w:pPr>
            <w:r>
              <w:rPr>
                <w:rFonts w:hint="eastAsia" w:ascii="宋体" w:hAnsi="宋体"/>
                <w:kern w:val="0"/>
                <w:szCs w:val="21"/>
                <w:highlight w:val="none"/>
              </w:rPr>
              <w:t>（5）履约担保的退还时间：见专用合同条款。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default" w:ascii="宋体" w:hAnsi="宋体" w:eastAsia="宋体" w:cs="Times New Roman"/>
                <w:kern w:val="0"/>
                <w:sz w:val="21"/>
                <w:szCs w:val="21"/>
                <w:highlight w:val="none"/>
                <w:lang w:val="en-US" w:eastAsia="zh-CN" w:bidi="ar-SA"/>
              </w:rPr>
            </w:pPr>
            <w:r>
              <w:rPr>
                <w:rFonts w:hint="eastAsia" w:ascii="宋体" w:hAnsi="宋体"/>
                <w:kern w:val="0"/>
                <w:szCs w:val="21"/>
                <w:highlight w:val="none"/>
                <w:lang w:val="en-US" w:eastAsia="zh-CN"/>
              </w:rPr>
              <w:t>7.3.2</w:t>
            </w:r>
          </w:p>
        </w:tc>
        <w:tc>
          <w:tcPr>
            <w:tcW w:w="1644" w:type="dxa"/>
            <w:vAlign w:val="center"/>
          </w:tcPr>
          <w:p>
            <w:pPr>
              <w:snapToGrid w:val="0"/>
              <w:spacing w:line="400" w:lineRule="exact"/>
              <w:jc w:val="center"/>
              <w:rPr>
                <w:rFonts w:ascii="宋体" w:hAnsi="宋体" w:eastAsia="宋体" w:cs="Times New Roman"/>
                <w:kern w:val="0"/>
                <w:sz w:val="21"/>
                <w:szCs w:val="21"/>
                <w:lang w:val="en-US" w:eastAsia="zh-CN" w:bidi="ar-SA"/>
              </w:rPr>
            </w:pPr>
            <w:r>
              <w:rPr>
                <w:rFonts w:hint="eastAsia" w:ascii="宋体" w:hAnsi="宋体"/>
                <w:kern w:val="0"/>
                <w:szCs w:val="21"/>
              </w:rPr>
              <w:t>低价风险担保</w:t>
            </w:r>
          </w:p>
        </w:tc>
        <w:tc>
          <w:tcPr>
            <w:tcW w:w="6490" w:type="dxa"/>
            <w:vAlign w:val="center"/>
          </w:tcPr>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1、低价风险担保：中标价低于最高限价的85%时提供，如不按时足额提供，视为中标人放弃中标，采购人有权不退还其投标保证金，</w:t>
            </w:r>
            <w:r>
              <w:rPr>
                <w:rFonts w:hint="eastAsia"/>
              </w:rPr>
              <w:t>并报采购投标行政监督部门按照信用管理办法的规定处理，对中标人的不良行为直接记12分，纳入重点关注名单。</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2、中标人提供低价风险担保的形式、金额及期限：</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）低价风险担保的形式：现金或银行保函</w:t>
            </w:r>
            <w:r>
              <w:rPr>
                <w:rFonts w:hint="eastAsia"/>
              </w:rPr>
              <w:t>或现金+银行保函的组合；采用银行保函形式的，保函必须为不可撤销且见索即付</w:t>
            </w:r>
            <w:r>
              <w:rPr>
                <w:rFonts w:hint="eastAsia" w:ascii="宋体" w:hAnsi="宋体"/>
                <w:kern w:val="0"/>
                <w:szCs w:val="21"/>
              </w:rPr>
              <w:t>。</w:t>
            </w:r>
          </w:p>
          <w:p>
            <w:pPr>
              <w:autoSpaceDE w:val="0"/>
              <w:autoSpaceDN w:val="0"/>
              <w:adjustRightInd w:val="0"/>
              <w:snapToGrid w:val="0"/>
              <w:spacing w:line="400" w:lineRule="exact"/>
              <w:ind w:firstLine="420" w:firstLineChars="200"/>
            </w:pPr>
            <w:r>
              <w:rPr>
                <w:rFonts w:hint="eastAsia" w:ascii="宋体" w:hAnsi="宋体"/>
                <w:kern w:val="0"/>
                <w:szCs w:val="21"/>
              </w:rPr>
              <w:t>（</w:t>
            </w:r>
            <w:r>
              <w:rPr>
                <w:rFonts w:ascii="宋体" w:hAnsi="宋体"/>
                <w:kern w:val="0"/>
                <w:szCs w:val="21"/>
              </w:rPr>
              <w:t>2</w:t>
            </w:r>
            <w:r>
              <w:rPr>
                <w:rFonts w:hint="eastAsia" w:ascii="宋体" w:hAnsi="宋体"/>
                <w:kern w:val="0"/>
                <w:szCs w:val="21"/>
              </w:rPr>
              <w:t>）低价风险担保的金额：（最高限价×</w:t>
            </w:r>
            <w:r>
              <w:rPr>
                <w:rFonts w:ascii="宋体" w:hAnsi="宋体"/>
                <w:kern w:val="0"/>
                <w:szCs w:val="21"/>
              </w:rPr>
              <w:t>85%-</w:t>
            </w:r>
            <w:r>
              <w:rPr>
                <w:rFonts w:hint="eastAsia" w:ascii="宋体" w:hAnsi="宋体"/>
                <w:kern w:val="0"/>
                <w:szCs w:val="21"/>
              </w:rPr>
              <w:t>中标价）×3</w:t>
            </w:r>
            <w:r>
              <w:rPr>
                <w:rStyle w:val="55"/>
                <w:rFonts w:hint="eastAsia"/>
              </w:rPr>
              <w:t>，</w:t>
            </w:r>
            <w:r>
              <w:rPr>
                <w:rStyle w:val="55"/>
              </w:rPr>
              <w:t>且最高不超过最高限价的85%</w:t>
            </w:r>
            <w:r>
              <w:rPr>
                <w:rStyle w:val="55"/>
                <w:rFonts w:hint="eastAsia"/>
              </w:rPr>
              <w:t>，</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3</w:t>
            </w:r>
            <w:r>
              <w:rPr>
                <w:rFonts w:hint="eastAsia" w:ascii="宋体" w:hAnsi="宋体"/>
                <w:kern w:val="0"/>
                <w:szCs w:val="21"/>
              </w:rPr>
              <w:t>）低价风险担保送达采购人的时间：</w:t>
            </w:r>
            <w:r>
              <w:rPr>
                <w:rFonts w:hint="eastAsia"/>
                <w:szCs w:val="21"/>
              </w:rPr>
              <w:t>从</w:t>
            </w:r>
            <w:r>
              <w:rPr>
                <w:rFonts w:hint="eastAsia"/>
                <w:szCs w:val="21"/>
                <w:lang w:val="en-US" w:eastAsia="zh-CN"/>
              </w:rPr>
              <w:t>中标通知书</w:t>
            </w:r>
            <w:r>
              <w:rPr>
                <w:rFonts w:hint="eastAsia"/>
                <w:szCs w:val="21"/>
              </w:rPr>
              <w:t>送达拟中标人之日起</w:t>
            </w:r>
            <w:r>
              <w:rPr>
                <w:rFonts w:hint="eastAsia"/>
                <w:szCs w:val="21"/>
                <w:u w:val="single"/>
              </w:rPr>
              <w:t xml:space="preserve"> </w:t>
            </w:r>
            <w:r>
              <w:rPr>
                <w:szCs w:val="21"/>
                <w:u w:val="single"/>
              </w:rPr>
              <w:t>10</w:t>
            </w:r>
            <w:r>
              <w:rPr>
                <w:rFonts w:hint="eastAsia"/>
                <w:szCs w:val="21"/>
                <w:u w:val="single"/>
              </w:rPr>
              <w:t xml:space="preserve"> </w:t>
            </w:r>
            <w:r>
              <w:rPr>
                <w:rFonts w:hint="eastAsia"/>
                <w:szCs w:val="21"/>
              </w:rPr>
              <w:t>工作日内</w:t>
            </w:r>
            <w:r>
              <w:rPr>
                <w:rFonts w:hint="eastAsia" w:ascii="宋体" w:hAnsi="宋体"/>
                <w:kern w:val="0"/>
                <w:szCs w:val="21"/>
              </w:rPr>
              <w:t>；</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（4）中标人因自身原因未按中标通知书规定的时限与采购人签订合同的，采购人有权扣除其低价风险担保并取消中标资格。</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（5）低价风险担保的期限：</w:t>
            </w:r>
            <w:r>
              <w:rPr>
                <w:rFonts w:hint="eastAsia" w:ascii="宋体" w:hAnsi="宋体"/>
                <w:kern w:val="0"/>
                <w:szCs w:val="21"/>
                <w:u w:val="single"/>
              </w:rPr>
              <w:t>自低价风险担保生效之日起至竣工验收合格之日止</w:t>
            </w:r>
            <w:r>
              <w:rPr>
                <w:rFonts w:hint="eastAsia" w:ascii="宋体" w:hAnsi="宋体"/>
                <w:kern w:val="0"/>
                <w:szCs w:val="21"/>
              </w:rPr>
              <w:t>。</w:t>
            </w:r>
          </w:p>
          <w:p>
            <w:pPr>
              <w:widowControl/>
              <w:spacing w:line="400" w:lineRule="exact"/>
              <w:ind w:firstLine="420" w:firstLineChars="200"/>
              <w:rPr>
                <w:rFonts w:ascii="宋体" w:hAnsi="宋体"/>
                <w:kern w:val="0"/>
                <w:szCs w:val="21"/>
              </w:rPr>
            </w:pPr>
            <w:r>
              <w:rPr>
                <w:rFonts w:hint="eastAsia" w:ascii="宋体" w:hAnsi="宋体"/>
                <w:kern w:val="0"/>
                <w:szCs w:val="21"/>
              </w:rPr>
              <w:t>3、低价风险担保的退还时间：见专用合同条款。</w:t>
            </w:r>
          </w:p>
          <w:p>
            <w:pPr>
              <w:widowControl/>
              <w:spacing w:line="400" w:lineRule="exact"/>
              <w:ind w:firstLine="420" w:firstLineChars="200"/>
            </w:pPr>
            <w:r>
              <w:rPr>
                <w:rFonts w:hint="eastAsia"/>
              </w:rPr>
              <w:t>4、采用经评审最低投标价法的项目，拟中标人或者中标人放弃中标项目，无正当理由不与采购人签订合同，在签订合同时向采购人提出附加条件或者更改合同实质性内容，或者拒不按照采购文件规定提交低价风险担保或履约担保的，取消其中标资格，投标保证金不予退还，给采购人造成的损失超过投标保证金数额的，拟中标人或中标人应对超过部分予以赔偿。</w:t>
            </w:r>
          </w:p>
          <w:p>
            <w:pPr>
              <w:widowControl/>
              <w:spacing w:line="400" w:lineRule="exact"/>
              <w:ind w:firstLine="420" w:firstLineChars="200"/>
              <w:rPr>
                <w:rFonts w:hint="eastAsia" w:ascii="宋体" w:hAnsi="宋体" w:eastAsia="宋体" w:cs="Times New Roman"/>
                <w:kern w:val="0"/>
                <w:sz w:val="21"/>
                <w:szCs w:val="21"/>
                <w:lang w:val="en-US" w:eastAsia="zh-CN" w:bidi="ar-SA"/>
              </w:rPr>
            </w:pPr>
            <w:r>
              <w:rPr>
                <w:rFonts w:hint="eastAsia"/>
              </w:rPr>
              <w:t>5、投标总报价低于最高限价85%的，投标人应在编制投标文件时，在投标函部分中递交低价风险担保缴纳承诺书。承诺书格式详见第八章投标文件格式。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8.1</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重新招标</w:t>
            </w:r>
            <w:r>
              <w:rPr>
                <w:rFonts w:hint="eastAsia" w:ascii="宋体" w:hAnsi="宋体"/>
                <w:kern w:val="0"/>
                <w:szCs w:val="21"/>
                <w:highlight w:val="none"/>
              </w:rPr>
              <w:t>的情形</w:t>
            </w:r>
          </w:p>
        </w:tc>
        <w:tc>
          <w:tcPr>
            <w:tcW w:w="6490" w:type="dxa"/>
            <w:vAlign w:val="center"/>
          </w:tcPr>
          <w:p>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1.按</w:t>
            </w:r>
            <w:r>
              <w:rPr>
                <w:rFonts w:hint="eastAsia" w:ascii="宋体" w:hAnsi="宋体"/>
                <w:kern w:val="0"/>
                <w:szCs w:val="21"/>
                <w:highlight w:val="none"/>
                <w:lang w:eastAsia="zh-CN"/>
              </w:rPr>
              <w:t>竞选人</w:t>
            </w:r>
            <w:r>
              <w:rPr>
                <w:rFonts w:ascii="宋体" w:hAnsi="宋体"/>
                <w:kern w:val="0"/>
                <w:szCs w:val="21"/>
                <w:highlight w:val="none"/>
              </w:rPr>
              <w:t>须知第8.1（1）执行；</w:t>
            </w:r>
          </w:p>
          <w:p>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2.按</w:t>
            </w:r>
            <w:r>
              <w:rPr>
                <w:rFonts w:hint="eastAsia" w:ascii="宋体" w:hAnsi="宋体"/>
                <w:kern w:val="0"/>
                <w:szCs w:val="21"/>
                <w:highlight w:val="none"/>
                <w:lang w:eastAsia="zh-CN"/>
              </w:rPr>
              <w:t>竞选人</w:t>
            </w:r>
            <w:r>
              <w:rPr>
                <w:rFonts w:ascii="宋体" w:hAnsi="宋体"/>
                <w:kern w:val="0"/>
                <w:szCs w:val="21"/>
                <w:highlight w:val="none"/>
              </w:rPr>
              <w:t>须知第8.1（2）执行；</w:t>
            </w:r>
          </w:p>
          <w:p>
            <w:pPr>
              <w:widowControl/>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3.</w:t>
            </w:r>
            <w:r>
              <w:rPr>
                <w:rFonts w:ascii="宋体" w:hAnsi="宋体"/>
                <w:kern w:val="0"/>
                <w:szCs w:val="21"/>
                <w:highlight w:val="none"/>
              </w:rPr>
              <w:t>按</w:t>
            </w:r>
            <w:r>
              <w:rPr>
                <w:rFonts w:hint="eastAsia" w:ascii="宋体" w:hAnsi="宋体"/>
                <w:kern w:val="0"/>
                <w:szCs w:val="21"/>
                <w:highlight w:val="none"/>
                <w:lang w:eastAsia="zh-CN"/>
              </w:rPr>
              <w:t>竞选人</w:t>
            </w:r>
            <w:r>
              <w:rPr>
                <w:rFonts w:ascii="宋体" w:hAnsi="宋体"/>
                <w:kern w:val="0"/>
                <w:szCs w:val="21"/>
                <w:highlight w:val="none"/>
              </w:rPr>
              <w:t>须知第8.1（3）执行；</w:t>
            </w:r>
          </w:p>
          <w:p>
            <w:pPr>
              <w:widowControl/>
              <w:spacing w:after="62" w:afterLines="20" w:line="400" w:lineRule="exact"/>
              <w:ind w:firstLine="420" w:firstLineChars="200"/>
              <w:rPr>
                <w:rFonts w:ascii="宋体" w:hAnsi="宋体"/>
                <w:kern w:val="0"/>
                <w:szCs w:val="21"/>
                <w:highlight w:val="none"/>
              </w:rPr>
            </w:pPr>
            <w:r>
              <w:rPr>
                <w:rFonts w:ascii="宋体" w:hAnsi="宋体"/>
                <w:snapToGrid w:val="0"/>
                <w:kern w:val="0"/>
                <w:szCs w:val="21"/>
                <w:highlight w:val="none"/>
              </w:rPr>
              <w:t>4.</w:t>
            </w:r>
            <w:r>
              <w:rPr>
                <w:rFonts w:ascii="宋体" w:hAnsi="宋体"/>
                <w:kern w:val="0"/>
                <w:szCs w:val="21"/>
                <w:highlight w:val="none"/>
              </w:rPr>
              <w:t>按</w:t>
            </w:r>
            <w:r>
              <w:rPr>
                <w:rFonts w:hint="eastAsia" w:ascii="宋体" w:hAnsi="宋体"/>
                <w:kern w:val="0"/>
                <w:szCs w:val="21"/>
                <w:highlight w:val="none"/>
                <w:lang w:eastAsia="zh-CN"/>
              </w:rPr>
              <w:t>竞选人</w:t>
            </w:r>
            <w:r>
              <w:rPr>
                <w:rFonts w:ascii="宋体" w:hAnsi="宋体"/>
                <w:kern w:val="0"/>
                <w:szCs w:val="21"/>
                <w:highlight w:val="none"/>
              </w:rPr>
              <w:t>须知第8.1（4）执行</w:t>
            </w:r>
            <w:r>
              <w:rPr>
                <w:rFonts w:hint="eastAsia" w:ascii="宋体" w:hAnsi="宋体"/>
                <w:kern w:val="0"/>
                <w:szCs w:val="21"/>
                <w:highlight w:val="none"/>
              </w:rPr>
              <w:t>。</w:t>
            </w:r>
          </w:p>
          <w:p>
            <w:pPr>
              <w:widowControl/>
              <w:spacing w:after="62" w:afterLines="20" w:line="400" w:lineRule="exact"/>
              <w:ind w:firstLine="420" w:firstLineChars="200"/>
              <w:rPr>
                <w:rFonts w:ascii="宋体" w:hAnsi="宋体"/>
                <w:kern w:val="0"/>
                <w:szCs w:val="21"/>
                <w:highlight w:val="none"/>
              </w:rPr>
            </w:pPr>
            <w:r>
              <w:rPr>
                <w:rFonts w:hint="eastAsia" w:ascii="宋体" w:hAnsi="宋体"/>
                <w:kern w:val="0"/>
                <w:szCs w:val="21"/>
                <w:highlight w:val="none"/>
              </w:rPr>
              <w:t>注：本款只适用于首次招标。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8.2</w:t>
            </w:r>
          </w:p>
        </w:tc>
        <w:tc>
          <w:tcPr>
            <w:tcW w:w="1644" w:type="dxa"/>
            <w:vAlign w:val="center"/>
          </w:tcPr>
          <w:p>
            <w:pPr>
              <w:snapToGrid w:val="0"/>
              <w:spacing w:line="400" w:lineRule="exact"/>
              <w:jc w:val="center"/>
              <w:rPr>
                <w:highlight w:val="none"/>
              </w:rPr>
            </w:pPr>
            <w:bookmarkStart w:id="105" w:name="_Toc509218709"/>
            <w:bookmarkStart w:id="106" w:name="_Toc430530434"/>
            <w:bookmarkStart w:id="107" w:name="_Toc536628250"/>
            <w:bookmarkStart w:id="108" w:name="_Toc13210670"/>
            <w:bookmarkStart w:id="109" w:name="_Toc16930431"/>
            <w:r>
              <w:rPr>
                <w:rFonts w:hint="eastAsia" w:ascii="宋体" w:hAnsi="宋体"/>
                <w:kern w:val="0"/>
                <w:szCs w:val="21"/>
                <w:highlight w:val="none"/>
              </w:rPr>
              <w:t>重新</w:t>
            </w:r>
            <w:r>
              <w:rPr>
                <w:rFonts w:ascii="宋体" w:hAnsi="宋体"/>
                <w:kern w:val="0"/>
                <w:szCs w:val="21"/>
                <w:highlight w:val="none"/>
              </w:rPr>
              <w:t>招标和不再招标</w:t>
            </w:r>
            <w:bookmarkEnd w:id="105"/>
            <w:bookmarkEnd w:id="106"/>
            <w:bookmarkEnd w:id="107"/>
            <w:bookmarkEnd w:id="108"/>
            <w:bookmarkEnd w:id="109"/>
          </w:p>
        </w:tc>
        <w:tc>
          <w:tcPr>
            <w:tcW w:w="6490" w:type="dxa"/>
            <w:vAlign w:val="center"/>
          </w:tcPr>
          <w:p>
            <w:pPr>
              <w:autoSpaceDE w:val="0"/>
              <w:autoSpaceDN w:val="0"/>
              <w:adjustRightInd w:val="0"/>
              <w:snapToGrid w:val="0"/>
              <w:spacing w:after="62" w:afterLines="20" w:line="400" w:lineRule="exact"/>
              <w:ind w:firstLine="420" w:firstLineChars="200"/>
              <w:rPr>
                <w:rFonts w:ascii="宋体" w:hAnsi="宋体"/>
                <w:snapToGrid w:val="0"/>
                <w:kern w:val="0"/>
                <w:szCs w:val="21"/>
                <w:highlight w:val="none"/>
              </w:rPr>
            </w:pPr>
            <w:r>
              <w:rPr>
                <w:rFonts w:hint="eastAsia" w:ascii="宋体" w:hAnsi="宋体"/>
                <w:snapToGrid w:val="0"/>
                <w:kern w:val="0"/>
                <w:szCs w:val="21"/>
                <w:highlight w:val="none"/>
              </w:rPr>
              <w:t>重新招标的</w:t>
            </w:r>
            <w:r>
              <w:rPr>
                <w:rFonts w:hint="eastAsia" w:ascii="宋体" w:hAnsi="宋体"/>
                <w:snapToGrid w:val="0"/>
                <w:kern w:val="0"/>
                <w:szCs w:val="21"/>
                <w:highlight w:val="none"/>
                <w:lang w:eastAsia="zh-CN"/>
              </w:rPr>
              <w:t>竞选人</w:t>
            </w:r>
            <w:r>
              <w:rPr>
                <w:rFonts w:hint="eastAsia" w:ascii="宋体" w:hAnsi="宋体"/>
                <w:snapToGrid w:val="0"/>
                <w:kern w:val="0"/>
                <w:szCs w:val="21"/>
                <w:highlight w:val="none"/>
              </w:rPr>
              <w:t>仍然少于三个的，按照招标投标法律法规规定的程序开标和评标。重新招标经评审有有效</w:t>
            </w:r>
            <w:r>
              <w:rPr>
                <w:rFonts w:hint="eastAsia" w:ascii="宋体" w:hAnsi="宋体"/>
                <w:snapToGrid w:val="0"/>
                <w:kern w:val="0"/>
                <w:szCs w:val="21"/>
                <w:highlight w:val="none"/>
                <w:lang w:eastAsia="zh-CN"/>
              </w:rPr>
              <w:t>竞选人</w:t>
            </w:r>
            <w:r>
              <w:rPr>
                <w:rFonts w:hint="eastAsia" w:ascii="宋体" w:hAnsi="宋体"/>
                <w:snapToGrid w:val="0"/>
                <w:kern w:val="0"/>
                <w:szCs w:val="21"/>
                <w:highlight w:val="none"/>
              </w:rPr>
              <w:t>的，应当依法确定中标候选人；无有效</w:t>
            </w:r>
            <w:r>
              <w:rPr>
                <w:rFonts w:hint="eastAsia" w:ascii="宋体" w:hAnsi="宋体"/>
                <w:snapToGrid w:val="0"/>
                <w:kern w:val="0"/>
                <w:szCs w:val="21"/>
                <w:highlight w:val="none"/>
                <w:lang w:eastAsia="zh-CN"/>
              </w:rPr>
              <w:t>竞选人</w:t>
            </w:r>
            <w:r>
              <w:rPr>
                <w:rFonts w:hint="eastAsia" w:ascii="宋体" w:hAnsi="宋体"/>
                <w:snapToGrid w:val="0"/>
                <w:kern w:val="0"/>
                <w:szCs w:val="21"/>
                <w:highlight w:val="none"/>
              </w:rPr>
              <w:t>的，可以不再进行招标，但是按照国家有关规定需要履行审批、核准、备案手续的依法必须进行招标的项目，应当报原项目投资主管部门审批、核准、备案</w:t>
            </w:r>
            <w:r>
              <w:rPr>
                <w:rFonts w:ascii="宋体" w:hAnsi="宋体"/>
                <w:snapToGrid w:val="0"/>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10</w:t>
            </w:r>
          </w:p>
        </w:tc>
        <w:tc>
          <w:tcPr>
            <w:tcW w:w="8134" w:type="dxa"/>
            <w:gridSpan w:val="2"/>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sz w:val="21"/>
                <w:szCs w:val="21"/>
              </w:rPr>
              <w:t>10.1</w:t>
            </w:r>
          </w:p>
        </w:tc>
        <w:tc>
          <w:tcPr>
            <w:tcW w:w="1644" w:type="dxa"/>
            <w:vAlign w:val="center"/>
          </w:tcPr>
          <w:p>
            <w:pPr>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Theme="minorEastAsia" w:hAnsiTheme="minorEastAsia" w:eastAsiaTheme="minorEastAsia" w:cstheme="minorEastAsia"/>
                <w:sz w:val="21"/>
                <w:szCs w:val="21"/>
              </w:rPr>
              <w:t>工程款</w:t>
            </w:r>
            <w:r>
              <w:rPr>
                <w:rFonts w:hint="eastAsia" w:asciiTheme="minorEastAsia" w:hAnsiTheme="minorEastAsia" w:eastAsiaTheme="minorEastAsia" w:cstheme="minorEastAsia"/>
                <w:sz w:val="21"/>
                <w:szCs w:val="21"/>
                <w:lang w:val="en-US" w:eastAsia="zh-CN"/>
              </w:rPr>
              <w:t>结算及</w:t>
            </w:r>
            <w:r>
              <w:rPr>
                <w:rFonts w:hint="eastAsia" w:asciiTheme="minorEastAsia" w:hAnsiTheme="minorEastAsia" w:eastAsiaTheme="minorEastAsia" w:cstheme="minorEastAsia"/>
                <w:sz w:val="21"/>
                <w:szCs w:val="21"/>
              </w:rPr>
              <w:t>支付</w:t>
            </w:r>
          </w:p>
        </w:tc>
        <w:tc>
          <w:tcPr>
            <w:tcW w:w="6490" w:type="dxa"/>
            <w:vAlign w:val="top"/>
          </w:tcPr>
          <w:p>
            <w:pPr>
              <w:spacing w:line="360" w:lineRule="auto"/>
              <w:ind w:firstLine="422" w:firstLineChars="200"/>
              <w:rPr>
                <w:rFonts w:asciiTheme="minorEastAsia" w:hAnsiTheme="minorEastAsia" w:eastAsiaTheme="minorEastAsia" w:cstheme="minorEastAsia"/>
                <w:b/>
                <w:kern w:val="0"/>
                <w:szCs w:val="21"/>
                <w:highlight w:val="none"/>
              </w:rPr>
            </w:pPr>
            <w:r>
              <w:rPr>
                <w:rFonts w:hint="eastAsia" w:asciiTheme="minorEastAsia" w:hAnsiTheme="minorEastAsia" w:eastAsiaTheme="minorEastAsia" w:cstheme="minorEastAsia"/>
                <w:b/>
                <w:kern w:val="0"/>
                <w:szCs w:val="21"/>
                <w:highlight w:val="none"/>
              </w:rPr>
              <w:t>结算原则：</w:t>
            </w:r>
          </w:p>
          <w:p>
            <w:pPr>
              <w:spacing w:line="360" w:lineRule="auto"/>
              <w:ind w:firstLine="420" w:firstLineChars="200"/>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结算价=∑中标全费用清单综合单价×子项工程量+工程量清单新增或变更等引起的增（减）子项结算价，子项工程量按《重庆市建设工程工程量计算规则》(CQJLGZ－2013)规定的计量规则、招标工程量清单项目特征描述中描述的计量规则并结合本合同相关约定计算的实际合格工程量。</w:t>
            </w:r>
          </w:p>
          <w:p>
            <w:pPr>
              <w:spacing w:line="360" w:lineRule="auto"/>
              <w:ind w:firstLine="420" w:firstLineChars="200"/>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全费用清单综合单价中的安全文明施工费、规费、税金投标时均视为已按照本市相关部门的规定计取。结算时中标全费用清单综合单价一律不做调整。</w:t>
            </w:r>
          </w:p>
          <w:p>
            <w:pPr>
              <w:spacing w:line="360" w:lineRule="auto"/>
              <w:ind w:firstLine="420" w:firstLineChars="200"/>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设计变更及调整、施工过程中出现新增项目（含采购范围以外的项目）价款结算办法：工程设计变更确定后，设计变更涉及工程价款调整的，工程施工中出现新增项目，由中标人在该变更、新增项目启动前14天内向监理单位、采购人提出，经采购人、监理单位审核同意后调整合同价款。调整方法如下：</w:t>
            </w:r>
          </w:p>
          <w:p>
            <w:pPr>
              <w:spacing w:line="360" w:lineRule="auto"/>
              <w:ind w:firstLine="420" w:firstLineChars="200"/>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A．工程内容与投标报价的工程量清单中有相同的子项或类似子项，则按投标时的相同子项或类似子项的综合单价执行（类似子项的综合单价由采购人审定, 最终办理结算以采购人结算内审结果为准，若经相关部门结（决）算审查，采购人有权对工程结算内审价款进行调整。）；</w:t>
            </w:r>
          </w:p>
          <w:p>
            <w:pPr>
              <w:spacing w:line="360" w:lineRule="auto"/>
              <w:ind w:firstLine="420" w:firstLineChars="200"/>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B．工程内容如有与工程量清单不同的子项按《建设工程工程量清单计价规范》（GB50500-2013）及相关技术规范、要求编制工程量清单，同时结合《重庆市市政工程计价定额》、《重庆市安装工程计价定额》、《重庆市建设工程费用定额》、《混凝土及砂浆配合比表、施工机械台班定额》及相关配套文件套价，套价原则：投标报价与限价下浮比例进行总价同比例下浮，并报采购人审核，其中（人工、材料价格：按投标价格；投标书中没有的人工、材料价格以采购人认质核定的价格为准）。工程量为依据《市政工程工程量计算规范》（GB50857-2013）以及《重庆市建设工程工程量计算规则》（CQJLGZ－2013）约定的计量规则计算的实际合格工程量。</w:t>
            </w:r>
          </w:p>
          <w:p>
            <w:pPr>
              <w:spacing w:line="360" w:lineRule="auto"/>
              <w:ind w:firstLine="420" w:firstLineChars="200"/>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本工程结算以审核结果为准，若需相关部门结（决）算审查的，采购人将对工程结算审核价款进行调整，最后价格以调整后的为准。审计依据包括本合同以及政府审计相关法律法规及规范性文件。</w:t>
            </w:r>
          </w:p>
          <w:p>
            <w:pPr>
              <w:spacing w:line="360" w:lineRule="auto"/>
              <w:ind w:firstLine="420" w:firstLineChars="200"/>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据实结算后不得超过限价，超过限价部分不予结算。</w:t>
            </w:r>
          </w:p>
          <w:p>
            <w:pPr>
              <w:spacing w:line="360" w:lineRule="auto"/>
              <w:ind w:firstLine="422" w:firstLineChars="200"/>
              <w:rPr>
                <w:rFonts w:asciiTheme="minorEastAsia" w:hAnsiTheme="minorEastAsia" w:eastAsiaTheme="minorEastAsia" w:cstheme="minorEastAsia"/>
                <w:b/>
                <w:kern w:val="0"/>
                <w:szCs w:val="21"/>
                <w:highlight w:val="none"/>
              </w:rPr>
            </w:pPr>
            <w:r>
              <w:rPr>
                <w:rFonts w:hint="eastAsia" w:asciiTheme="minorEastAsia" w:hAnsiTheme="minorEastAsia" w:eastAsiaTheme="minorEastAsia" w:cstheme="minorEastAsia"/>
                <w:b/>
                <w:kern w:val="0"/>
                <w:szCs w:val="21"/>
                <w:highlight w:val="none"/>
              </w:rPr>
              <w:t>审计费：</w:t>
            </w:r>
          </w:p>
          <w:p>
            <w:pPr>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Theme="minorEastAsia" w:hAnsiTheme="minorEastAsia" w:eastAsiaTheme="minorEastAsia" w:cstheme="minorEastAsia"/>
                <w:kern w:val="0"/>
                <w:szCs w:val="21"/>
                <w:highlight w:val="none"/>
              </w:rPr>
              <w:t>委托方只支付基本审计费，所有审减金额的效益费由中标人支付。审减效益费按渝价〔2013〕428号文件附表中相关规定计算，结算审核审减效益费计取基数为本项目的审减额，该审减额应抵消审增金额，审减效益费按照累进制计取，且不按工程类别调整系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10.</w:t>
            </w:r>
            <w:r>
              <w:rPr>
                <w:rFonts w:hint="eastAsia" w:asciiTheme="minorEastAsia" w:hAnsiTheme="minorEastAsia" w:eastAsiaTheme="minorEastAsia" w:cstheme="minorEastAsia"/>
                <w:sz w:val="21"/>
                <w:szCs w:val="21"/>
                <w:lang w:val="en-US" w:eastAsia="zh-CN"/>
              </w:rPr>
              <w:t>2</w:t>
            </w:r>
          </w:p>
        </w:tc>
        <w:tc>
          <w:tcPr>
            <w:tcW w:w="1644"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工程款支付</w:t>
            </w:r>
          </w:p>
        </w:tc>
        <w:tc>
          <w:tcPr>
            <w:tcW w:w="6490" w:type="dxa"/>
            <w:vAlign w:val="top"/>
          </w:tcPr>
          <w:p>
            <w:pPr>
              <w:spacing w:line="360" w:lineRule="auto"/>
              <w:ind w:firstLine="420" w:firstLineChars="200"/>
              <w:rPr>
                <w:rFonts w:hint="eastAsia"/>
              </w:rPr>
            </w:pPr>
            <w:r>
              <w:rPr>
                <w:rFonts w:hint="eastAsia" w:asciiTheme="minorEastAsia" w:hAnsiTheme="minorEastAsia" w:eastAsiaTheme="minorEastAsia" w:cstheme="minorEastAsia"/>
                <w:sz w:val="21"/>
                <w:szCs w:val="21"/>
              </w:rPr>
              <w:t>每月按照实际完成工程量的80%进行支付，待工程竣工验收后支付至审定金额的97%；剩余3%作为质保金，待工程两年缺陷责任期期满后付清剩余质保金（不计利息）。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3</w:t>
            </w:r>
          </w:p>
        </w:tc>
        <w:tc>
          <w:tcPr>
            <w:tcW w:w="1644" w:type="dxa"/>
            <w:vAlign w:val="center"/>
          </w:tcPr>
          <w:p>
            <w:pPr>
              <w:spacing w:line="360" w:lineRule="auto"/>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建筑领域实施农民工工资专用账户相关要求</w:t>
            </w:r>
          </w:p>
        </w:tc>
        <w:tc>
          <w:tcPr>
            <w:tcW w:w="6490" w:type="dxa"/>
            <w:vAlign w:val="top"/>
          </w:tcPr>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目在实施过程中，中标人必须执行《重庆市城乡建设委员会、中国人民银行重庆营业管理部、中国银行业监督管理委员会重庆监管局关于建筑领域实施农民工工资专用账户管理及银行代发制度（试行）的通知》（渝建发〔2017〕13号）及《关于建筑领域农民工工资专户管理网络系统正式运行有关事宜的通知》，实行农民工工资专用账户管理及银行代发制度，填报相应的网络管理系统。</w:t>
            </w:r>
          </w:p>
          <w:p>
            <w:pPr>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投标人中标后，在与发包人签订的合同中，必须明确在我市的农民工工资专用账户信息、人工费（工资款）支付比例；在项目开工后，为农民工办理平安卡和工资卡，委托银行通过农民工工资专用账户直接将农民工工资发放至工资卡，并按照有关规定在“工资专户管理网络系统”中填报相关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kern w:val="0"/>
                <w:szCs w:val="21"/>
                <w:highlight w:val="none"/>
                <w:lang w:eastAsia="zh-CN"/>
              </w:rPr>
            </w:pPr>
            <w:r>
              <w:rPr>
                <w:rFonts w:ascii="宋体" w:hAnsi="宋体"/>
                <w:kern w:val="0"/>
                <w:szCs w:val="21"/>
                <w:highlight w:val="none"/>
              </w:rPr>
              <w:t>10.</w:t>
            </w:r>
            <w:r>
              <w:rPr>
                <w:rFonts w:hint="eastAsia" w:ascii="宋体" w:hAnsi="宋体"/>
                <w:kern w:val="0"/>
                <w:szCs w:val="21"/>
                <w:highlight w:val="none"/>
                <w:lang w:val="en-US" w:eastAsia="zh-CN"/>
              </w:rPr>
              <w:t>4</w:t>
            </w:r>
          </w:p>
        </w:tc>
        <w:tc>
          <w:tcPr>
            <w:tcW w:w="1644" w:type="dxa"/>
            <w:vAlign w:val="center"/>
          </w:tcPr>
          <w:p>
            <w:pPr>
              <w:snapToGrid w:val="0"/>
              <w:spacing w:line="400" w:lineRule="exact"/>
              <w:jc w:val="center"/>
              <w:rPr>
                <w:rFonts w:ascii="宋体" w:hAnsi="宋体"/>
                <w:kern w:val="0"/>
                <w:szCs w:val="21"/>
                <w:highlight w:val="none"/>
              </w:rPr>
            </w:pPr>
            <w:r>
              <w:rPr>
                <w:rFonts w:hint="eastAsia" w:ascii="宋体" w:hAnsi="宋体"/>
                <w:kern w:val="0"/>
                <w:szCs w:val="21"/>
                <w:highlight w:val="none"/>
              </w:rPr>
              <w:t>异议、</w:t>
            </w:r>
            <w:r>
              <w:rPr>
                <w:rFonts w:ascii="宋体" w:hAnsi="宋体"/>
                <w:kern w:val="0"/>
                <w:szCs w:val="21"/>
                <w:highlight w:val="none"/>
              </w:rPr>
              <w:t>投诉处理</w:t>
            </w:r>
          </w:p>
        </w:tc>
        <w:tc>
          <w:tcPr>
            <w:tcW w:w="6490" w:type="dxa"/>
            <w:vAlign w:val="center"/>
          </w:tcPr>
          <w:p>
            <w:pPr>
              <w:widowControl/>
              <w:spacing w:line="400" w:lineRule="exact"/>
              <w:ind w:firstLine="420" w:firstLineChars="200"/>
              <w:rPr>
                <w:rFonts w:ascii="宋体" w:hAnsi="宋体"/>
                <w:kern w:val="0"/>
                <w:szCs w:val="21"/>
                <w:highlight w:val="none"/>
              </w:rPr>
            </w:pPr>
            <w:r>
              <w:rPr>
                <w:rFonts w:ascii="宋体" w:hAnsi="宋体"/>
                <w:kern w:val="0"/>
                <w:szCs w:val="21"/>
                <w:highlight w:val="none"/>
              </w:rPr>
              <w:t>1.</w:t>
            </w:r>
            <w:r>
              <w:rPr>
                <w:rFonts w:hint="eastAsia" w:ascii="宋体" w:hAnsi="宋体"/>
                <w:kern w:val="0"/>
                <w:szCs w:val="21"/>
                <w:highlight w:val="none"/>
              </w:rPr>
              <w:t xml:space="preserve"> </w:t>
            </w:r>
            <w:r>
              <w:rPr>
                <w:rFonts w:hint="eastAsia" w:ascii="宋体" w:hAnsi="宋体"/>
                <w:kern w:val="0"/>
                <w:szCs w:val="21"/>
                <w:highlight w:val="none"/>
                <w:lang w:eastAsia="zh-CN"/>
              </w:rPr>
              <w:t>竞选人</w:t>
            </w:r>
            <w:r>
              <w:rPr>
                <w:rFonts w:ascii="宋体" w:hAnsi="宋体"/>
                <w:kern w:val="0"/>
                <w:szCs w:val="21"/>
                <w:highlight w:val="none"/>
              </w:rPr>
              <w:t>或者其他利害关系人就本项目的招标文件</w:t>
            </w:r>
            <w:r>
              <w:rPr>
                <w:rFonts w:hint="eastAsia" w:ascii="宋体" w:hAnsi="宋体"/>
                <w:kern w:val="0"/>
                <w:szCs w:val="21"/>
                <w:highlight w:val="none"/>
              </w:rPr>
              <w:t>（含澄清修改）、开标情况、</w:t>
            </w:r>
            <w:r>
              <w:rPr>
                <w:rFonts w:ascii="宋体" w:hAnsi="宋体"/>
                <w:kern w:val="0"/>
                <w:szCs w:val="21"/>
                <w:highlight w:val="none"/>
              </w:rPr>
              <w:t>评标结果等事项提出异议或投诉</w:t>
            </w:r>
            <w:r>
              <w:rPr>
                <w:rFonts w:hint="eastAsia" w:ascii="宋体" w:hAnsi="宋体"/>
                <w:kern w:val="0"/>
                <w:szCs w:val="21"/>
                <w:highlight w:val="none"/>
              </w:rPr>
              <w:t>的</w:t>
            </w:r>
            <w:r>
              <w:rPr>
                <w:rFonts w:ascii="宋体" w:hAnsi="宋体"/>
                <w:kern w:val="0"/>
                <w:szCs w:val="21"/>
                <w:highlight w:val="none"/>
              </w:rPr>
              <w:t>，应当先向</w:t>
            </w:r>
            <w:r>
              <w:rPr>
                <w:rFonts w:hint="eastAsia" w:ascii="宋体" w:hAnsi="宋体"/>
                <w:kern w:val="0"/>
                <w:szCs w:val="21"/>
                <w:highlight w:val="none"/>
                <w:lang w:eastAsia="zh-CN"/>
              </w:rPr>
              <w:t>比选人</w:t>
            </w:r>
            <w:r>
              <w:rPr>
                <w:rFonts w:ascii="宋体" w:hAnsi="宋体"/>
                <w:kern w:val="0"/>
                <w:szCs w:val="21"/>
                <w:highlight w:val="none"/>
              </w:rPr>
              <w:t>提出异议；</w:t>
            </w:r>
            <w:r>
              <w:rPr>
                <w:rFonts w:hint="eastAsia" w:ascii="宋体" w:hAnsi="宋体"/>
                <w:kern w:val="0"/>
                <w:szCs w:val="21"/>
                <w:highlight w:val="none"/>
                <w:lang w:eastAsia="zh-CN"/>
              </w:rPr>
              <w:t>比选人</w:t>
            </w:r>
            <w:r>
              <w:rPr>
                <w:rFonts w:ascii="宋体" w:hAnsi="宋体"/>
                <w:kern w:val="0"/>
                <w:szCs w:val="21"/>
                <w:highlight w:val="none"/>
              </w:rPr>
              <w:t>应当在规定时间内答复；对</w:t>
            </w:r>
            <w:r>
              <w:rPr>
                <w:rFonts w:hint="eastAsia" w:ascii="宋体" w:hAnsi="宋体"/>
                <w:kern w:val="0"/>
                <w:szCs w:val="21"/>
                <w:highlight w:val="none"/>
                <w:lang w:eastAsia="zh-CN"/>
              </w:rPr>
              <w:t>比选人</w:t>
            </w:r>
            <w:r>
              <w:rPr>
                <w:rFonts w:ascii="宋体" w:hAnsi="宋体"/>
                <w:kern w:val="0"/>
                <w:szCs w:val="21"/>
                <w:highlight w:val="none"/>
              </w:rPr>
              <w:t>的答复不满意，可向行政监督部门投诉。</w:t>
            </w:r>
          </w:p>
          <w:p>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提出异议或投诉时应当包括下列内容：</w:t>
            </w:r>
          </w:p>
          <w:p>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（1）异议</w:t>
            </w:r>
            <w:r>
              <w:rPr>
                <w:rFonts w:hint="eastAsia" w:ascii="宋体" w:hAnsi="宋体"/>
                <w:kern w:val="0"/>
                <w:szCs w:val="21"/>
                <w:highlight w:val="none"/>
                <w:lang w:val="en-US" w:eastAsia="zh-CN"/>
              </w:rPr>
              <w:t>人</w:t>
            </w:r>
            <w:r>
              <w:rPr>
                <w:rFonts w:hint="eastAsia" w:ascii="宋体" w:hAnsi="宋体"/>
                <w:kern w:val="0"/>
                <w:szCs w:val="21"/>
                <w:highlight w:val="none"/>
              </w:rPr>
              <w:t>或投诉人的名称、地址及有效联系方式；</w:t>
            </w:r>
          </w:p>
          <w:p>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（2）被异议</w:t>
            </w:r>
            <w:r>
              <w:rPr>
                <w:rFonts w:hint="eastAsia" w:ascii="宋体" w:hAnsi="宋体"/>
                <w:kern w:val="0"/>
                <w:szCs w:val="21"/>
                <w:highlight w:val="none"/>
                <w:lang w:val="en-US" w:eastAsia="zh-CN"/>
              </w:rPr>
              <w:t>人</w:t>
            </w:r>
            <w:r>
              <w:rPr>
                <w:rFonts w:hint="eastAsia" w:ascii="宋体" w:hAnsi="宋体"/>
                <w:kern w:val="0"/>
                <w:szCs w:val="21"/>
                <w:highlight w:val="none"/>
              </w:rPr>
              <w:t>或</w:t>
            </w:r>
            <w:r>
              <w:rPr>
                <w:rFonts w:hint="eastAsia" w:ascii="宋体" w:hAnsi="宋体"/>
                <w:kern w:val="0"/>
                <w:szCs w:val="21"/>
                <w:highlight w:val="none"/>
                <w:lang w:val="en-US" w:eastAsia="zh-CN"/>
              </w:rPr>
              <w:t>被</w:t>
            </w:r>
            <w:r>
              <w:rPr>
                <w:rFonts w:hint="eastAsia" w:ascii="宋体" w:hAnsi="宋体"/>
                <w:kern w:val="0"/>
                <w:szCs w:val="21"/>
                <w:highlight w:val="none"/>
              </w:rPr>
              <w:t>投诉人的名称、地址及有效联系方式；</w:t>
            </w:r>
          </w:p>
          <w:p>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（3）异议或投诉事项的基本事实；</w:t>
            </w:r>
          </w:p>
          <w:p>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（4）请求及主张；</w:t>
            </w:r>
          </w:p>
          <w:p>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（5）涉及事项的证据、证明材料。</w:t>
            </w:r>
          </w:p>
          <w:p>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pPr>
              <w:widowControl/>
              <w:spacing w:line="400" w:lineRule="exact"/>
              <w:ind w:firstLine="420" w:firstLineChars="200"/>
              <w:rPr>
                <w:rFonts w:ascii="宋体" w:hAnsi="宋体"/>
                <w:kern w:val="0"/>
                <w:szCs w:val="21"/>
                <w:highlight w:val="none"/>
              </w:rPr>
            </w:pPr>
            <w:r>
              <w:rPr>
                <w:rFonts w:ascii="宋体" w:hAnsi="宋体"/>
                <w:kern w:val="0"/>
                <w:szCs w:val="21"/>
                <w:highlight w:val="none"/>
              </w:rPr>
              <w:t>2.</w:t>
            </w:r>
            <w:r>
              <w:rPr>
                <w:rFonts w:hint="eastAsia" w:ascii="宋体" w:hAnsi="宋体"/>
                <w:kern w:val="0"/>
                <w:szCs w:val="21"/>
                <w:highlight w:val="none"/>
              </w:rPr>
              <w:t xml:space="preserve"> </w:t>
            </w:r>
            <w:r>
              <w:rPr>
                <w:rFonts w:ascii="宋体" w:hAnsi="宋体"/>
                <w:kern w:val="0"/>
                <w:szCs w:val="21"/>
                <w:highlight w:val="none"/>
              </w:rPr>
              <w:t>行政监督部门依照《</w:t>
            </w:r>
            <w:r>
              <w:rPr>
                <w:rFonts w:hint="eastAsia" w:ascii="宋体" w:hAnsi="宋体"/>
                <w:kern w:val="0"/>
                <w:szCs w:val="21"/>
                <w:highlight w:val="none"/>
              </w:rPr>
              <w:t>中华人民共和国</w:t>
            </w:r>
            <w:r>
              <w:rPr>
                <w:rFonts w:ascii="宋体" w:hAnsi="宋体"/>
                <w:kern w:val="0"/>
                <w:szCs w:val="21"/>
                <w:highlight w:val="none"/>
              </w:rPr>
              <w:t>招标投标法》、《</w:t>
            </w:r>
            <w:r>
              <w:rPr>
                <w:rFonts w:hint="eastAsia" w:ascii="宋体" w:hAnsi="宋体"/>
                <w:kern w:val="0"/>
                <w:szCs w:val="21"/>
                <w:highlight w:val="none"/>
              </w:rPr>
              <w:t>中华人民共和国</w:t>
            </w:r>
            <w:r>
              <w:rPr>
                <w:rFonts w:ascii="宋体" w:hAnsi="宋体"/>
                <w:kern w:val="0"/>
                <w:szCs w:val="21"/>
                <w:highlight w:val="none"/>
              </w:rPr>
              <w:t>招标投标法实施条例》、《重庆市招标投标条例》、《工程建设项目招标投标活动投诉处理办法》（七部委令第11号（根据九部门2013年第23号令修正））、</w:t>
            </w:r>
            <w:r>
              <w:rPr>
                <w:rFonts w:hint="eastAsia" w:ascii="宋体" w:hAnsi="宋体" w:eastAsia="宋体" w:cs="宋体"/>
                <w:color w:val="auto"/>
                <w:kern w:val="0"/>
                <w:szCs w:val="21"/>
                <w:highlight w:val="none"/>
              </w:rPr>
              <w:t>《</w:t>
            </w:r>
            <w:r>
              <w:rPr>
                <w:rFonts w:hint="eastAsia" w:ascii="宋体" w:hAnsi="宋体" w:eastAsia="宋体" w:cs="宋体"/>
                <w:kern w:val="0"/>
                <w:szCs w:val="21"/>
                <w:highlight w:val="none"/>
              </w:rPr>
              <w:t>关于印发&lt;重庆市招标投标活动投诉处理实施细则（修订）&gt;的通知</w:t>
            </w:r>
            <w:r>
              <w:rPr>
                <w:rFonts w:hint="eastAsia" w:ascii="宋体" w:hAnsi="宋体" w:eastAsia="宋体" w:cs="宋体"/>
                <w:color w:val="auto"/>
                <w:kern w:val="0"/>
                <w:szCs w:val="21"/>
                <w:highlight w:val="none"/>
              </w:rPr>
              <w:t>》（</w:t>
            </w:r>
            <w:r>
              <w:rPr>
                <w:rFonts w:hint="eastAsia" w:ascii="宋体" w:hAnsi="宋体" w:eastAsia="宋体" w:cs="宋体"/>
                <w:kern w:val="0"/>
                <w:szCs w:val="21"/>
                <w:highlight w:val="none"/>
              </w:rPr>
              <w:t>渝公管发〔2021〕54号</w:t>
            </w:r>
            <w:r>
              <w:rPr>
                <w:rFonts w:hint="eastAsia" w:ascii="宋体" w:hAnsi="宋体" w:eastAsia="宋体" w:cs="宋体"/>
                <w:color w:val="auto"/>
                <w:kern w:val="0"/>
                <w:szCs w:val="21"/>
                <w:highlight w:val="none"/>
              </w:rPr>
              <w:t>）</w:t>
            </w:r>
            <w:r>
              <w:rPr>
                <w:rFonts w:ascii="宋体" w:hAnsi="宋体"/>
                <w:kern w:val="0"/>
                <w:szCs w:val="21"/>
                <w:highlight w:val="none"/>
              </w:rPr>
              <w:t>等法律法规文件处理投诉。</w:t>
            </w:r>
          </w:p>
          <w:p>
            <w:pPr>
              <w:snapToGrid w:val="0"/>
              <w:spacing w:after="124" w:afterLines="40" w:line="400" w:lineRule="exact"/>
              <w:ind w:firstLine="420" w:firstLineChars="200"/>
              <w:rPr>
                <w:rFonts w:ascii="宋体" w:hAnsi="宋体"/>
                <w:kern w:val="0"/>
                <w:szCs w:val="21"/>
                <w:highlight w:val="none"/>
              </w:rPr>
            </w:pPr>
            <w:r>
              <w:rPr>
                <w:rFonts w:hint="eastAsia" w:ascii="宋体" w:hAnsi="宋体"/>
                <w:kern w:val="0"/>
                <w:szCs w:val="21"/>
                <w:highlight w:val="none"/>
              </w:rPr>
              <w:t>3. 根据《重庆市工程建设领域招标投标信用管理暂行办法》的规定，</w:t>
            </w:r>
            <w:r>
              <w:rPr>
                <w:rFonts w:hint="eastAsia" w:ascii="宋体" w:hAnsi="宋体"/>
                <w:kern w:val="0"/>
                <w:szCs w:val="21"/>
                <w:highlight w:val="none"/>
                <w:lang w:eastAsia="zh-CN"/>
              </w:rPr>
              <w:t>竞选人</w:t>
            </w:r>
            <w:r>
              <w:rPr>
                <w:rFonts w:hint="eastAsia" w:ascii="宋体" w:hAnsi="宋体"/>
                <w:kern w:val="0"/>
                <w:szCs w:val="21"/>
                <w:highlight w:val="none"/>
              </w:rPr>
              <w:t>捏造事实、伪造材料，或者以非法手段获取证明材料进行质疑或者投诉的，将被列入黑名单管理；</w:t>
            </w:r>
            <w:r>
              <w:rPr>
                <w:rFonts w:ascii="宋体" w:hAnsi="宋体"/>
                <w:kern w:val="0"/>
                <w:szCs w:val="21"/>
                <w:highlight w:val="none"/>
              </w:rPr>
              <w:t>给他人造成损失的，依法承担赔偿责任。</w:t>
            </w:r>
          </w:p>
          <w:p>
            <w:pPr>
              <w:widowControl/>
              <w:spacing w:line="400" w:lineRule="exact"/>
              <w:ind w:firstLine="420" w:firstLineChars="200"/>
              <w:rPr>
                <w:rFonts w:hint="default" w:ascii="宋体" w:hAnsi="宋体"/>
                <w:color w:val="0000FF"/>
                <w:kern w:val="0"/>
                <w:szCs w:val="21"/>
                <w:highlight w:val="none"/>
                <w:lang w:val="en-US"/>
              </w:rPr>
            </w:pPr>
            <w:r>
              <w:rPr>
                <w:rFonts w:hint="eastAsia" w:ascii="宋体" w:hAnsi="宋体"/>
                <w:kern w:val="0"/>
                <w:szCs w:val="21"/>
                <w:highlight w:val="none"/>
              </w:rPr>
              <w:t>4.</w:t>
            </w:r>
            <w:r>
              <w:rPr>
                <w:rFonts w:hint="eastAsia" w:ascii="宋体" w:hAnsi="宋体"/>
                <w:color w:val="0000FF"/>
                <w:kern w:val="0"/>
                <w:szCs w:val="21"/>
                <w:highlight w:val="none"/>
              </w:rPr>
              <w:t>异议受理单位：</w:t>
            </w:r>
            <w:r>
              <w:rPr>
                <w:rFonts w:hint="eastAsia" w:ascii="宋体" w:hAnsi="宋体"/>
                <w:color w:val="0000FF"/>
                <w:kern w:val="0"/>
                <w:szCs w:val="21"/>
                <w:highlight w:val="none"/>
                <w:lang w:eastAsia="zh-CN"/>
              </w:rPr>
              <w:t>重庆经开区投资集团有限公司</w:t>
            </w:r>
          </w:p>
          <w:p>
            <w:pPr>
              <w:widowControl/>
              <w:spacing w:line="400" w:lineRule="exact"/>
              <w:ind w:firstLine="630" w:firstLineChars="300"/>
              <w:rPr>
                <w:rFonts w:hint="default" w:ascii="宋体" w:hAnsi="宋体" w:eastAsia="宋体"/>
                <w:kern w:val="0"/>
                <w:szCs w:val="21"/>
                <w:highlight w:val="none"/>
                <w:lang w:val="en-US" w:eastAsia="zh-CN"/>
              </w:rPr>
            </w:pPr>
            <w:r>
              <w:rPr>
                <w:rFonts w:hint="eastAsia" w:ascii="宋体" w:hAnsi="宋体"/>
                <w:color w:val="0000FF"/>
                <w:kern w:val="0"/>
                <w:szCs w:val="21"/>
                <w:highlight w:val="none"/>
              </w:rPr>
              <w:t>联系电话：</w:t>
            </w:r>
            <w:r>
              <w:rPr>
                <w:rFonts w:hint="eastAsia" w:ascii="宋体" w:hAnsi="宋体"/>
                <w:color w:val="0000FF"/>
                <w:kern w:val="0"/>
                <w:szCs w:val="21"/>
                <w:highlight w:val="none"/>
                <w:lang w:val="en-US" w:eastAsia="zh-CN"/>
              </w:rPr>
              <w:t>62637528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kern w:val="0"/>
                <w:szCs w:val="21"/>
                <w:highlight w:val="none"/>
                <w:lang w:eastAsia="zh-CN"/>
              </w:rPr>
            </w:pPr>
            <w:r>
              <w:rPr>
                <w:rFonts w:hint="eastAsia" w:ascii="宋体" w:hAnsi="宋体"/>
                <w:kern w:val="0"/>
                <w:szCs w:val="21"/>
                <w:highlight w:val="none"/>
              </w:rPr>
              <w:t>10.</w:t>
            </w:r>
            <w:r>
              <w:rPr>
                <w:rFonts w:hint="eastAsia" w:ascii="宋体" w:hAnsi="宋体"/>
                <w:kern w:val="0"/>
                <w:szCs w:val="21"/>
                <w:highlight w:val="none"/>
                <w:lang w:val="en-US" w:eastAsia="zh-CN"/>
              </w:rPr>
              <w:t>5</w:t>
            </w:r>
          </w:p>
        </w:tc>
        <w:tc>
          <w:tcPr>
            <w:tcW w:w="1644" w:type="dxa"/>
            <w:vAlign w:val="center"/>
          </w:tcPr>
          <w:p>
            <w:pPr>
              <w:snapToGrid w:val="0"/>
              <w:spacing w:line="400" w:lineRule="exact"/>
              <w:jc w:val="center"/>
              <w:rPr>
                <w:rFonts w:ascii="宋体" w:hAnsi="宋体"/>
                <w:kern w:val="0"/>
                <w:szCs w:val="21"/>
                <w:highlight w:val="none"/>
              </w:rPr>
            </w:pPr>
            <w:r>
              <w:rPr>
                <w:rFonts w:hint="eastAsia" w:ascii="宋体" w:hAnsi="宋体"/>
                <w:kern w:val="0"/>
                <w:szCs w:val="21"/>
                <w:highlight w:val="none"/>
              </w:rPr>
              <w:t>关于对</w:t>
            </w:r>
            <w:r>
              <w:rPr>
                <w:rFonts w:hint="eastAsia" w:ascii="宋体" w:hAnsi="宋体"/>
                <w:kern w:val="0"/>
                <w:szCs w:val="21"/>
                <w:highlight w:val="none"/>
                <w:lang w:val="en-US" w:eastAsia="zh-CN"/>
              </w:rPr>
              <w:t>比选</w:t>
            </w:r>
            <w:r>
              <w:rPr>
                <w:rFonts w:hint="eastAsia" w:ascii="宋体" w:hAnsi="宋体"/>
                <w:kern w:val="0"/>
                <w:szCs w:val="21"/>
                <w:highlight w:val="none"/>
              </w:rPr>
              <w:t>文件及投标争议的解释</w:t>
            </w:r>
          </w:p>
        </w:tc>
        <w:tc>
          <w:tcPr>
            <w:tcW w:w="6490" w:type="dxa"/>
            <w:vAlign w:val="center"/>
          </w:tcPr>
          <w:p>
            <w:pPr>
              <w:autoSpaceDE w:val="0"/>
              <w:autoSpaceDN w:val="0"/>
              <w:adjustRightInd w:val="0"/>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对资格预审文件或者</w:t>
            </w:r>
            <w:r>
              <w:rPr>
                <w:rFonts w:hint="eastAsia" w:ascii="宋体" w:hAnsi="宋体"/>
                <w:kern w:val="0"/>
                <w:szCs w:val="21"/>
                <w:highlight w:val="none"/>
                <w:lang w:val="en-US" w:eastAsia="zh-CN"/>
              </w:rPr>
              <w:t>比选</w:t>
            </w:r>
            <w:r>
              <w:rPr>
                <w:rFonts w:hint="eastAsia" w:ascii="宋体" w:hAnsi="宋体"/>
                <w:kern w:val="0"/>
                <w:szCs w:val="21"/>
                <w:highlight w:val="none"/>
              </w:rPr>
              <w:t>文件的评标标准和方法，以及资格审查和否决投标条款理解有争议的，应当作出不利于</w:t>
            </w:r>
            <w:r>
              <w:rPr>
                <w:rFonts w:hint="eastAsia" w:ascii="宋体" w:hAnsi="宋体"/>
                <w:kern w:val="0"/>
                <w:szCs w:val="21"/>
                <w:highlight w:val="none"/>
                <w:lang w:eastAsia="zh-CN"/>
              </w:rPr>
              <w:t>比选人</w:t>
            </w:r>
            <w:r>
              <w:rPr>
                <w:rFonts w:hint="eastAsia" w:ascii="宋体" w:hAnsi="宋体"/>
                <w:kern w:val="0"/>
                <w:szCs w:val="21"/>
                <w:highlight w:val="none"/>
              </w:rPr>
              <w:t>的解释，但违背国家利益、社会公共利益的除外。</w:t>
            </w:r>
          </w:p>
          <w:p>
            <w:pPr>
              <w:autoSpaceDE w:val="0"/>
              <w:autoSpaceDN w:val="0"/>
              <w:adjustRightInd w:val="0"/>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对</w:t>
            </w:r>
            <w:r>
              <w:rPr>
                <w:rFonts w:hint="eastAsia" w:ascii="宋体" w:hAnsi="宋体"/>
                <w:kern w:val="0"/>
                <w:szCs w:val="21"/>
                <w:highlight w:val="none"/>
                <w:lang w:eastAsia="zh-CN"/>
              </w:rPr>
              <w:t>竞选文件</w:t>
            </w:r>
            <w:r>
              <w:rPr>
                <w:rFonts w:hint="eastAsia" w:ascii="宋体" w:hAnsi="宋体"/>
                <w:kern w:val="0"/>
                <w:szCs w:val="21"/>
                <w:highlight w:val="none"/>
              </w:rPr>
              <w:t>理解有争议的，应当作出不利于提交该</w:t>
            </w:r>
            <w:r>
              <w:rPr>
                <w:rFonts w:hint="eastAsia" w:ascii="宋体" w:hAnsi="宋体"/>
                <w:kern w:val="0"/>
                <w:szCs w:val="21"/>
                <w:highlight w:val="none"/>
                <w:lang w:eastAsia="zh-CN"/>
              </w:rPr>
              <w:t>竞选文件</w:t>
            </w:r>
            <w:r>
              <w:rPr>
                <w:rFonts w:hint="eastAsia" w:ascii="宋体" w:hAnsi="宋体"/>
                <w:kern w:val="0"/>
                <w:szCs w:val="21"/>
                <w:highlight w:val="none"/>
              </w:rPr>
              <w:t>的</w:t>
            </w:r>
            <w:r>
              <w:rPr>
                <w:rFonts w:hint="eastAsia" w:ascii="宋体" w:hAnsi="宋体"/>
                <w:kern w:val="0"/>
                <w:szCs w:val="21"/>
                <w:highlight w:val="none"/>
                <w:lang w:eastAsia="zh-CN"/>
              </w:rPr>
              <w:t>竞选人</w:t>
            </w:r>
            <w:r>
              <w:rPr>
                <w:rFonts w:hint="eastAsia" w:ascii="宋体" w:hAnsi="宋体"/>
                <w:kern w:val="0"/>
                <w:szCs w:val="21"/>
                <w:highlight w:val="none"/>
              </w:rPr>
              <w:t>的解释。</w:t>
            </w:r>
          </w:p>
        </w:tc>
      </w:tr>
    </w:tbl>
    <w:p>
      <w:pPr>
        <w:pStyle w:val="4"/>
        <w:spacing w:before="0" w:after="0" w:line="200" w:lineRule="exact"/>
        <w:outlineLvl w:val="9"/>
        <w:rPr>
          <w:rFonts w:ascii="宋体" w:hAnsi="宋体"/>
          <w:b w:val="0"/>
          <w:snapToGrid w:val="0"/>
          <w:highlight w:val="none"/>
        </w:rPr>
      </w:pPr>
      <w:bookmarkStart w:id="110" w:name="_Toc430530435"/>
      <w:bookmarkStart w:id="111" w:name="_Toc277082552"/>
      <w:bookmarkStart w:id="112" w:name="_Toc224103317"/>
      <w:bookmarkStart w:id="113" w:name="_Toc287607746"/>
      <w:bookmarkStart w:id="114" w:name="_Toc287620685"/>
      <w:bookmarkStart w:id="115" w:name="_Toc200513126"/>
    </w:p>
    <w:bookmarkEnd w:id="110"/>
    <w:bookmarkEnd w:id="111"/>
    <w:bookmarkEnd w:id="112"/>
    <w:bookmarkEnd w:id="113"/>
    <w:bookmarkEnd w:id="114"/>
    <w:bookmarkEnd w:id="115"/>
    <w:p>
      <w:pPr>
        <w:pStyle w:val="5"/>
        <w:pageBreakBefore w:val="0"/>
        <w:kinsoku/>
        <w:wordWrap/>
        <w:overflowPunct/>
        <w:topLinePunct w:val="0"/>
        <w:bidi w:val="0"/>
        <w:spacing w:before="0" w:after="0" w:line="360" w:lineRule="auto"/>
        <w:textAlignment w:val="auto"/>
        <w:outlineLvl w:val="9"/>
        <w:rPr>
          <w:rFonts w:hint="eastAsia" w:ascii="宋体" w:hAnsi="宋体" w:eastAsia="宋体" w:cs="宋体"/>
          <w:color w:val="auto"/>
          <w:sz w:val="21"/>
          <w:szCs w:val="21"/>
          <w:highlight w:val="none"/>
        </w:rPr>
        <w:sectPr>
          <w:pgSz w:w="11906" w:h="16838"/>
          <w:pgMar w:top="1134" w:right="1418" w:bottom="1134" w:left="1418" w:header="851" w:footer="992" w:gutter="0"/>
          <w:cols w:space="720" w:num="1"/>
          <w:docGrid w:type="lines" w:linePitch="312" w:charSpace="0"/>
        </w:sectPr>
      </w:pPr>
      <w:bookmarkStart w:id="116" w:name="_Toc19008"/>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1.总则</w:t>
      </w:r>
      <w:bookmarkEnd w:id="116"/>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17" w:name="_Toc9752"/>
      <w:bookmarkStart w:id="118" w:name="_Toc293756837"/>
      <w:bookmarkStart w:id="119" w:name="_Toc293756840"/>
      <w:r>
        <w:rPr>
          <w:rFonts w:hint="eastAsia" w:ascii="宋体" w:hAnsi="宋体" w:eastAsia="宋体" w:cs="宋体"/>
          <w:color w:val="auto"/>
          <w:sz w:val="21"/>
          <w:szCs w:val="21"/>
          <w:highlight w:val="none"/>
        </w:rPr>
        <w:t>1.1 项目概况</w:t>
      </w:r>
      <w:bookmarkEnd w:id="117"/>
      <w:bookmarkEnd w:id="118"/>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1.1.1根据《中华人民共和国招标投标法》等有关法律、法规和规章的规定，本招标项目已具备</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条件，现对本标段施工进行</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本比选项目比选人、比选代理机构、项目名称、建设地点：见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本招标项目</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代理机构：见投标人须知前附表。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  本招标项目名称：见投标人须知前附表。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  本招标项目建设地点：见投标人须知前附表。</w:t>
      </w:r>
    </w:p>
    <w:p>
      <w:pPr>
        <w:pageBreakBefore w:val="0"/>
        <w:kinsoku/>
        <w:wordWrap/>
        <w:overflowPunct/>
        <w:topLinePunct w:val="0"/>
        <w:bidi w:val="0"/>
        <w:spacing w:line="360" w:lineRule="auto"/>
        <w:ind w:firstLine="420" w:firstLineChars="200"/>
        <w:textAlignment w:val="auto"/>
        <w:rPr>
          <w:rFonts w:hint="eastAsia"/>
          <w:color w:val="auto"/>
          <w:highlight w:val="none"/>
        </w:rPr>
      </w:pPr>
      <w:r>
        <w:rPr>
          <w:rFonts w:hint="eastAsia" w:ascii="宋体" w:hAnsi="宋体" w:eastAsia="宋体" w:cs="宋体"/>
          <w:color w:val="auto"/>
          <w:sz w:val="21"/>
          <w:szCs w:val="21"/>
          <w:highlight w:val="none"/>
        </w:rPr>
        <w:t>1.1.6  本招标项目建设规模：见投标人须知前附表。</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20" w:name="_Toc293756838"/>
      <w:bookmarkStart w:id="121" w:name="_Toc5437"/>
      <w:r>
        <w:rPr>
          <w:rFonts w:hint="eastAsia" w:ascii="宋体" w:hAnsi="宋体" w:eastAsia="宋体" w:cs="宋体"/>
          <w:color w:val="auto"/>
          <w:sz w:val="21"/>
          <w:szCs w:val="21"/>
          <w:highlight w:val="none"/>
        </w:rPr>
        <w:t>1.2 资金来源和落实情况</w:t>
      </w:r>
      <w:bookmarkEnd w:id="120"/>
      <w:bookmarkEnd w:id="121"/>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bookmarkStart w:id="122" w:name="_Toc293756839"/>
      <w:r>
        <w:rPr>
          <w:rFonts w:hint="eastAsia" w:ascii="宋体" w:hAnsi="宋体" w:eastAsia="宋体" w:cs="宋体"/>
          <w:color w:val="auto"/>
          <w:sz w:val="21"/>
          <w:szCs w:val="21"/>
          <w:highlight w:val="none"/>
        </w:rPr>
        <w:t>1.2.1  本招标项目的资金来源：见投标人须知前附表。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  本招标项目的出资比例：见投标人须知前附表。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  本招标项目的资金落实情况：见投标人须知前附表。</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23" w:name="_Toc19957"/>
      <w:r>
        <w:rPr>
          <w:rFonts w:hint="eastAsia" w:ascii="宋体" w:hAnsi="宋体" w:eastAsia="宋体" w:cs="宋体"/>
          <w:color w:val="auto"/>
          <w:sz w:val="21"/>
          <w:szCs w:val="21"/>
          <w:highlight w:val="none"/>
        </w:rPr>
        <w:t>1.3 比选范围、计划工期和质量要求</w:t>
      </w:r>
      <w:bookmarkEnd w:id="122"/>
      <w:bookmarkEnd w:id="123"/>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1.3.1  </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范围：见投标人须知前附表。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  计划工期：见投标人须知前附表。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  质量要求：见投标人须知前附表。</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24" w:name="_Toc9928"/>
      <w:r>
        <w:rPr>
          <w:rFonts w:hint="eastAsia" w:ascii="宋体" w:hAnsi="宋体" w:eastAsia="宋体" w:cs="宋体"/>
          <w:color w:val="auto"/>
          <w:sz w:val="21"/>
          <w:szCs w:val="21"/>
          <w:highlight w:val="none"/>
        </w:rPr>
        <w:t xml:space="preserve">1.4 </w:t>
      </w:r>
      <w:bookmarkEnd w:id="119"/>
      <w:r>
        <w:rPr>
          <w:rFonts w:hint="eastAsia" w:ascii="宋体" w:hAnsi="宋体" w:eastAsia="宋体" w:cs="宋体"/>
          <w:color w:val="auto"/>
          <w:sz w:val="21"/>
          <w:szCs w:val="21"/>
          <w:highlight w:val="none"/>
          <w:lang w:eastAsia="zh-CN"/>
        </w:rPr>
        <w:t>投标人资格要求</w:t>
      </w:r>
      <w:bookmarkEnd w:id="124"/>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1.4.1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人应具备承担本标段施工的资质条件、能力: 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 资质条件：见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（2）项目经理资格：见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（3）项目技术负责人要求：见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（4）其他主要管理人员要求：见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（5）委托代理人：见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（6）其他要求：见投标人须知前附表。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 本次比选不接受联合体。</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1.4.3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人不得存在下列情形之一：</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（1）与</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人存在利害关系可能影响招标公正性的法人、其他组织或者个人；</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（2）为本标段前期准备提供设计或咨询服务的，但设计施工总承包的除外；</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（3）为本标段的监理人；</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（4）为本标段的代建人；</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（5）为本标段提供</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代理服务的；</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（6）与本标段的监理人或代建人或</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代理机构同为一个法定代表人的；</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（7）与本标段的监理人或代建人或</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代理机构相互控股或参股的；</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（8）与本标段的监理人或代建人或</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代理机构相互任职或工作的；</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（9）被责令停业的；</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（10）被国家、重庆市（含市或任意区县）有关行政部门处以暂停投标资格行政处罚，且在处罚期限内的；</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（11）财产被接管或冻结的；</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（12）单位负责人为同一人或者存在控股、管理关系的不同单位，不得在同一标段中同时投标。</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25" w:name="_Toc293756841"/>
      <w:bookmarkStart w:id="126" w:name="_Toc4874"/>
      <w:r>
        <w:rPr>
          <w:rFonts w:hint="eastAsia" w:ascii="宋体" w:hAnsi="宋体" w:eastAsia="宋体" w:cs="宋体"/>
          <w:color w:val="auto"/>
          <w:sz w:val="21"/>
          <w:szCs w:val="21"/>
          <w:highlight w:val="none"/>
        </w:rPr>
        <w:t>1.5 费用承担</w:t>
      </w:r>
      <w:bookmarkEnd w:id="125"/>
      <w:bookmarkEnd w:id="126"/>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人准备和参加比选活动发生的费用自理。</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27" w:name="_Toc11009"/>
      <w:bookmarkStart w:id="128" w:name="_Toc293756842"/>
      <w:r>
        <w:rPr>
          <w:rFonts w:hint="eastAsia" w:ascii="宋体" w:hAnsi="宋体" w:eastAsia="宋体" w:cs="宋体"/>
          <w:color w:val="auto"/>
          <w:sz w:val="21"/>
          <w:szCs w:val="21"/>
          <w:highlight w:val="none"/>
        </w:rPr>
        <w:t>1.6 保密</w:t>
      </w:r>
      <w:bookmarkEnd w:id="127"/>
      <w:bookmarkEnd w:id="128"/>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参与比选活动的各方应对比选文件和比选文件中的商业和技术等秘密保密，违者应对由此造成的后果承担法律责任。</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29" w:name="_Toc18963"/>
      <w:bookmarkStart w:id="130" w:name="_Toc293756843"/>
      <w:r>
        <w:rPr>
          <w:rFonts w:hint="eastAsia" w:ascii="宋体" w:hAnsi="宋体" w:eastAsia="宋体" w:cs="宋体"/>
          <w:color w:val="auto"/>
          <w:sz w:val="21"/>
          <w:szCs w:val="21"/>
          <w:highlight w:val="none"/>
        </w:rPr>
        <w:t>1.7 语言文字</w:t>
      </w:r>
      <w:bookmarkEnd w:id="129"/>
      <w:bookmarkEnd w:id="130"/>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除专用术语外，与比选有关的语言均使用中文。必要时专用术语应附有中文注释。</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31" w:name="_Toc104"/>
      <w:bookmarkStart w:id="132" w:name="_Toc293756844"/>
      <w:r>
        <w:rPr>
          <w:rFonts w:hint="eastAsia" w:ascii="宋体" w:hAnsi="宋体" w:eastAsia="宋体" w:cs="宋体"/>
          <w:color w:val="auto"/>
          <w:sz w:val="21"/>
          <w:szCs w:val="21"/>
          <w:highlight w:val="none"/>
        </w:rPr>
        <w:t>1.8 计量单位</w:t>
      </w:r>
      <w:bookmarkEnd w:id="131"/>
      <w:bookmarkEnd w:id="132"/>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所有计量均采用中华人民共和国法定计量单位。</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33" w:name="_Toc293756845"/>
      <w:bookmarkStart w:id="134" w:name="_Toc2427"/>
      <w:r>
        <w:rPr>
          <w:rFonts w:hint="eastAsia" w:ascii="宋体" w:hAnsi="宋体" w:eastAsia="宋体" w:cs="宋体"/>
          <w:color w:val="auto"/>
          <w:sz w:val="21"/>
          <w:szCs w:val="21"/>
          <w:highlight w:val="none"/>
        </w:rPr>
        <w:t>1.9 踏勘现场</w:t>
      </w:r>
      <w:bookmarkEnd w:id="133"/>
      <w:bookmarkEnd w:id="134"/>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  投标人须知前附表规定组织踏勘现场的，</w:t>
      </w: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按投标人须知前附表规定的时间、 地点组织投标人踏勘项目现场。</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  投标人踏勘现场发生的费用自理。</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  除</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人的原因外，投标人自行负责在踏勘现场中所发生的人员伤亡和财产损失。</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1.9.4  </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人在踏勘现场中介绍的工程场地和相关的周边环境情况，供投标人在编制投标文件时参考，</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人不对投标人据此做出的判断和决策负责。</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35" w:name="_Toc293756846"/>
      <w:bookmarkStart w:id="136" w:name="_Toc30203"/>
      <w:r>
        <w:rPr>
          <w:rFonts w:hint="eastAsia" w:ascii="宋体" w:hAnsi="宋体" w:eastAsia="宋体" w:cs="宋体"/>
          <w:color w:val="auto"/>
          <w:sz w:val="21"/>
          <w:szCs w:val="21"/>
          <w:highlight w:val="none"/>
        </w:rPr>
        <w:t>1.10 比选预备会</w:t>
      </w:r>
      <w:bookmarkEnd w:id="135"/>
      <w:bookmarkEnd w:id="136"/>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1.10.1  投标人须知前附表规定召开投标预备会的，</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按投标人须知前附表规定的时间和地点召开投标预备会，澄清投标人提出的问题。</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1.10.2  投标人应在投标人须知前附表</w:t>
      </w:r>
      <w:r>
        <w:rPr>
          <w:rFonts w:hint="eastAsia" w:ascii="宋体" w:hAnsi="宋体" w:eastAsia="宋体" w:cs="宋体"/>
          <w:color w:val="auto"/>
          <w:kern w:val="0"/>
          <w:sz w:val="21"/>
          <w:szCs w:val="21"/>
          <w:highlight w:val="none"/>
        </w:rPr>
        <w:t>2.2.4</w:t>
      </w:r>
      <w:r>
        <w:rPr>
          <w:rFonts w:hint="eastAsia" w:ascii="宋体" w:hAnsi="宋体" w:eastAsia="宋体" w:cs="宋体"/>
          <w:snapToGrid w:val="0"/>
          <w:color w:val="auto"/>
          <w:kern w:val="0"/>
          <w:sz w:val="21"/>
          <w:szCs w:val="21"/>
          <w:highlight w:val="none"/>
        </w:rPr>
        <w:t>规定的时间前，以书面形式将提出的问题送达</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，以便</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澄清。</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 xml:space="preserve">1.10.3  </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在投标人须知前附表规定的时间内，将对投标人所提</w:t>
      </w:r>
      <w:r>
        <w:rPr>
          <w:rFonts w:hint="eastAsia" w:ascii="宋体" w:hAnsi="宋体" w:eastAsia="宋体" w:cs="宋体"/>
          <w:snapToGrid w:val="0"/>
          <w:color w:val="auto"/>
          <w:kern w:val="0"/>
          <w:position w:val="-2"/>
          <w:sz w:val="21"/>
          <w:szCs w:val="21"/>
          <w:highlight w:val="none"/>
        </w:rPr>
        <w:t>的</w:t>
      </w:r>
      <w:r>
        <w:rPr>
          <w:rFonts w:hint="eastAsia" w:ascii="宋体" w:hAnsi="宋体" w:eastAsia="宋体" w:cs="宋体"/>
          <w:snapToGrid w:val="0"/>
          <w:color w:val="auto"/>
          <w:kern w:val="0"/>
          <w:sz w:val="21"/>
          <w:szCs w:val="21"/>
          <w:highlight w:val="none"/>
        </w:rPr>
        <w:t>问题</w:t>
      </w:r>
      <w:r>
        <w:rPr>
          <w:rFonts w:hint="eastAsia" w:ascii="宋体" w:hAnsi="宋体" w:eastAsia="宋体" w:cs="宋体"/>
          <w:snapToGrid w:val="0"/>
          <w:color w:val="auto"/>
          <w:kern w:val="0"/>
          <w:position w:val="-2"/>
          <w:sz w:val="21"/>
          <w:szCs w:val="21"/>
          <w:highlight w:val="none"/>
        </w:rPr>
        <w:t>进行澄清。该澄清内容为</w:t>
      </w:r>
      <w:r>
        <w:rPr>
          <w:rFonts w:hint="eastAsia" w:ascii="宋体" w:hAnsi="宋体" w:eastAsia="宋体" w:cs="宋体"/>
          <w:snapToGrid w:val="0"/>
          <w:color w:val="auto"/>
          <w:kern w:val="0"/>
          <w:position w:val="-2"/>
          <w:sz w:val="21"/>
          <w:szCs w:val="21"/>
          <w:highlight w:val="none"/>
          <w:lang w:val="en-US" w:eastAsia="zh-CN"/>
        </w:rPr>
        <w:t>比选</w:t>
      </w:r>
      <w:r>
        <w:rPr>
          <w:rFonts w:hint="eastAsia" w:ascii="宋体" w:hAnsi="宋体" w:eastAsia="宋体" w:cs="宋体"/>
          <w:snapToGrid w:val="0"/>
          <w:color w:val="auto"/>
          <w:kern w:val="0"/>
          <w:position w:val="-2"/>
          <w:sz w:val="21"/>
          <w:szCs w:val="21"/>
          <w:highlight w:val="none"/>
        </w:rPr>
        <w:t>文件的组成部分。</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37" w:name="_Toc293756847"/>
      <w:bookmarkStart w:id="138" w:name="_Toc13696"/>
      <w:r>
        <w:rPr>
          <w:rFonts w:hint="eastAsia" w:ascii="宋体" w:hAnsi="宋体" w:eastAsia="宋体" w:cs="宋体"/>
          <w:color w:val="auto"/>
          <w:sz w:val="21"/>
          <w:szCs w:val="21"/>
          <w:highlight w:val="none"/>
        </w:rPr>
        <w:t>1.11 分包</w:t>
      </w:r>
      <w:bookmarkEnd w:id="137"/>
      <w:bookmarkEnd w:id="138"/>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投标人拟在中标后将中标项目的部分非主体、非关键性工作进行分包的，应符合投标人须知前附表规定的分包内容、分包金额和接受分包的第三人资质要求等限制性条件。</w:t>
      </w:r>
    </w:p>
    <w:p>
      <w:pPr>
        <w:pageBreakBefore w:val="0"/>
        <w:kinsoku/>
        <w:wordWrap/>
        <w:overflowPunct/>
        <w:topLinePunct w:val="0"/>
        <w:bidi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1.12 偏离</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投标人须知前附表允许投标文件偏离</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文件某些要求的，偏离应当符合</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文件规定的偏离范围和幅度。</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39" w:name="_Toc21334"/>
      <w:r>
        <w:rPr>
          <w:rFonts w:hint="eastAsia" w:ascii="宋体" w:hAnsi="宋体" w:eastAsia="宋体" w:cs="宋体"/>
          <w:color w:val="auto"/>
          <w:sz w:val="21"/>
          <w:szCs w:val="21"/>
          <w:highlight w:val="none"/>
        </w:rPr>
        <w:t>2.比选文件</w:t>
      </w:r>
      <w:bookmarkEnd w:id="139"/>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40" w:name="_Toc25177"/>
      <w:bookmarkStart w:id="141" w:name="_Toc293756848"/>
      <w:r>
        <w:rPr>
          <w:rFonts w:hint="eastAsia" w:ascii="宋体" w:hAnsi="宋体" w:eastAsia="宋体" w:cs="宋体"/>
          <w:color w:val="auto"/>
          <w:sz w:val="21"/>
          <w:szCs w:val="21"/>
          <w:highlight w:val="none"/>
        </w:rPr>
        <w:t>2.1比选文件的组成</w:t>
      </w:r>
      <w:bookmarkEnd w:id="140"/>
      <w:bookmarkEnd w:id="141"/>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本比选文件包括：</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公告；</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（2）投标人须知；</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（3）评标办法；</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（4）合同条款及格式；</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（5）工程量清单；</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（6）图纸；</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（7）技术标准和要求；</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（8）投标文件格式；</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（9）投标人须知前附表规定的其他材料。</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根据本章第1.10 款、第2.2 款和第2.3 款对比选文件所作的澄清、修改，构成比选文件的组成部分。</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42" w:name="_Toc293756849"/>
      <w:bookmarkStart w:id="143" w:name="_Toc17073"/>
      <w:r>
        <w:rPr>
          <w:rFonts w:hint="eastAsia" w:ascii="宋体" w:hAnsi="宋体" w:eastAsia="宋体" w:cs="宋体"/>
          <w:color w:val="auto"/>
          <w:sz w:val="21"/>
          <w:szCs w:val="21"/>
          <w:highlight w:val="none"/>
        </w:rPr>
        <w:t>2.2比选文件的澄清</w:t>
      </w:r>
      <w:bookmarkEnd w:id="142"/>
      <w:bookmarkEnd w:id="143"/>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2.2.1 投标人应仔细阅读和检查</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文件的全部内容。如发现缺页或附件不全，应及时向</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人提出，以便补齐。如有疑问，应在投标人须知前附表规定的时间前</w:t>
      </w:r>
      <w:r>
        <w:rPr>
          <w:rFonts w:hint="eastAsia" w:ascii="宋体" w:hAnsi="宋体" w:cs="宋体"/>
          <w:color w:val="auto"/>
          <w:sz w:val="21"/>
          <w:szCs w:val="21"/>
          <w:highlight w:val="none"/>
          <w:lang w:val="en-US" w:eastAsia="zh-CN"/>
        </w:rPr>
        <w:t>以书面形式提交至比选人邮箱</w:t>
      </w:r>
      <w:r>
        <w:rPr>
          <w:rFonts w:hint="eastAsia" w:ascii="宋体" w:hAnsi="宋体" w:eastAsia="宋体" w:cs="宋体"/>
          <w:color w:val="auto"/>
          <w:sz w:val="21"/>
          <w:szCs w:val="21"/>
          <w:highlight w:val="none"/>
        </w:rPr>
        <w:t>提问，要求</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人对</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文件予以澄清</w:t>
      </w:r>
      <w:r>
        <w:rPr>
          <w:rFonts w:hint="eastAsia" w:ascii="宋体" w:hAnsi="宋体" w:eastAsia="宋体" w:cs="宋体"/>
          <w:color w:val="auto"/>
          <w:sz w:val="21"/>
          <w:szCs w:val="21"/>
          <w:highlight w:val="none"/>
          <w:lang w:eastAsia="zh-CN"/>
        </w:rPr>
        <w:t>。</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2.2.2  </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文件的澄清将在投标人须知前附表规定的投标截止时间</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天前在</w:t>
      </w:r>
      <w:r>
        <w:rPr>
          <w:rFonts w:ascii="宋体" w:hAnsi="宋体" w:eastAsia="宋体" w:cs="宋体"/>
          <w:spacing w:val="7"/>
          <w:sz w:val="21"/>
          <w:szCs w:val="21"/>
        </w:rPr>
        <w:t>行采家(</w:t>
      </w:r>
      <w:r>
        <w:fldChar w:fldCharType="begin"/>
      </w:r>
      <w:r>
        <w:instrText xml:space="preserve"> HYPERLINK "https://www.gec123.com/" </w:instrText>
      </w:r>
      <w:r>
        <w:fldChar w:fldCharType="separate"/>
      </w:r>
      <w:r>
        <w:rPr>
          <w:rFonts w:ascii="宋体" w:hAnsi="宋体" w:eastAsia="宋体" w:cs="宋体"/>
          <w:sz w:val="21"/>
          <w:szCs w:val="21"/>
        </w:rPr>
        <w:t>https</w:t>
      </w:r>
      <w:r>
        <w:rPr>
          <w:rFonts w:ascii="宋体" w:hAnsi="宋体" w:eastAsia="宋体" w:cs="宋体"/>
          <w:spacing w:val="7"/>
          <w:sz w:val="21"/>
          <w:szCs w:val="21"/>
        </w:rPr>
        <w:t>://</w:t>
      </w:r>
      <w:r>
        <w:rPr>
          <w:rFonts w:ascii="宋体" w:hAnsi="宋体" w:eastAsia="宋体" w:cs="宋体"/>
          <w:sz w:val="21"/>
          <w:szCs w:val="21"/>
        </w:rPr>
        <w:t>www</w:t>
      </w:r>
      <w:r>
        <w:rPr>
          <w:rFonts w:ascii="宋体" w:hAnsi="宋体" w:eastAsia="宋体" w:cs="宋体"/>
          <w:spacing w:val="7"/>
          <w:sz w:val="21"/>
          <w:szCs w:val="21"/>
        </w:rPr>
        <w:t>.</w:t>
      </w:r>
      <w:r>
        <w:rPr>
          <w:rFonts w:ascii="宋体" w:hAnsi="宋体" w:eastAsia="宋体" w:cs="宋体"/>
          <w:sz w:val="21"/>
          <w:szCs w:val="21"/>
        </w:rPr>
        <w:t>gec</w:t>
      </w:r>
      <w:r>
        <w:rPr>
          <w:rFonts w:ascii="宋体" w:hAnsi="宋体" w:eastAsia="宋体" w:cs="宋体"/>
          <w:spacing w:val="7"/>
          <w:sz w:val="21"/>
          <w:szCs w:val="21"/>
        </w:rPr>
        <w:t>123.</w:t>
      </w:r>
      <w:r>
        <w:rPr>
          <w:rFonts w:ascii="宋体" w:hAnsi="宋体" w:eastAsia="宋体" w:cs="宋体"/>
          <w:sz w:val="21"/>
          <w:szCs w:val="21"/>
        </w:rPr>
        <w:t>com</w:t>
      </w:r>
      <w:r>
        <w:rPr>
          <w:rFonts w:ascii="宋体" w:hAnsi="宋体" w:eastAsia="宋体" w:cs="宋体"/>
          <w:spacing w:val="7"/>
          <w:sz w:val="21"/>
          <w:szCs w:val="21"/>
        </w:rPr>
        <w:t>/</w:t>
      </w:r>
      <w:r>
        <w:rPr>
          <w:rFonts w:ascii="宋体" w:hAnsi="宋体" w:eastAsia="宋体" w:cs="宋体"/>
          <w:spacing w:val="7"/>
          <w:sz w:val="21"/>
          <w:szCs w:val="21"/>
        </w:rPr>
        <w:fldChar w:fldCharType="end"/>
      </w:r>
      <w:r>
        <w:rPr>
          <w:rFonts w:ascii="宋体" w:hAnsi="宋体" w:eastAsia="宋体" w:cs="宋体"/>
          <w:spacing w:val="7"/>
          <w:sz w:val="21"/>
          <w:szCs w:val="21"/>
        </w:rPr>
        <w:t>)</w:t>
      </w:r>
      <w:r>
        <w:rPr>
          <w:rFonts w:hint="eastAsia" w:ascii="宋体" w:hAnsi="宋体" w:eastAsia="宋体" w:cs="宋体"/>
          <w:spacing w:val="7"/>
          <w:sz w:val="21"/>
          <w:szCs w:val="21"/>
          <w:lang w:val="en-US" w:eastAsia="zh-CN"/>
        </w:rPr>
        <w:t>和</w:t>
      </w:r>
      <w:r>
        <w:rPr>
          <w:rFonts w:hint="eastAsia" w:cs="宋体" w:asciiTheme="minorEastAsia" w:hAnsiTheme="minorEastAsia" w:eastAsiaTheme="minorEastAsia"/>
          <w:kern w:val="0"/>
          <w:sz w:val="21"/>
          <w:szCs w:val="21"/>
        </w:rPr>
        <w:t>重庆经开区投资集团官网（http://www.cetzig.com/）</w:t>
      </w:r>
      <w:r>
        <w:rPr>
          <w:rFonts w:hint="eastAsia" w:ascii="宋体" w:hAnsi="宋体" w:eastAsia="宋体" w:cs="宋体"/>
          <w:color w:val="auto"/>
          <w:sz w:val="21"/>
          <w:szCs w:val="21"/>
          <w:highlight w:val="none"/>
        </w:rPr>
        <w:t>发布，但不指明澄清问题的来源。如果澄清发出的时间距投标截止时间不足</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天，相应延长投标截止时间。</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2.2.3  </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人对</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文件的修改内容可能影响投标文件编制的，须在投标截止时间</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日前发布，发布时间至投标截止时间不足</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日的，须相应延后投标截止时间。</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44" w:name="_Toc25781"/>
      <w:bookmarkStart w:id="145" w:name="_Toc293756850"/>
      <w:r>
        <w:rPr>
          <w:rFonts w:hint="eastAsia" w:ascii="宋体" w:hAnsi="宋体" w:eastAsia="宋体" w:cs="宋体"/>
          <w:color w:val="auto"/>
          <w:sz w:val="21"/>
          <w:szCs w:val="21"/>
          <w:highlight w:val="none"/>
        </w:rPr>
        <w:t>2.3比选文件的修改</w:t>
      </w:r>
      <w:bookmarkEnd w:id="144"/>
      <w:bookmarkEnd w:id="145"/>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按照本章2.2</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文件的澄清相关内容及方式执行。</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46" w:name="_Toc13298"/>
      <w:bookmarkStart w:id="147" w:name="_Toc293756851"/>
      <w:r>
        <w:rPr>
          <w:rFonts w:hint="eastAsia" w:ascii="宋体" w:hAnsi="宋体" w:eastAsia="宋体" w:cs="宋体"/>
          <w:color w:val="auto"/>
          <w:sz w:val="21"/>
          <w:szCs w:val="21"/>
          <w:highlight w:val="none"/>
        </w:rPr>
        <w:t xml:space="preserve">3. </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bookmarkEnd w:id="146"/>
      <w:bookmarkEnd w:id="147"/>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48" w:name="_Toc27406"/>
      <w:bookmarkStart w:id="149" w:name="_Toc293756852"/>
      <w:r>
        <w:rPr>
          <w:rFonts w:hint="eastAsia" w:ascii="宋体" w:hAnsi="宋体" w:eastAsia="宋体" w:cs="宋体"/>
          <w:color w:val="auto"/>
          <w:sz w:val="21"/>
          <w:szCs w:val="21"/>
          <w:highlight w:val="none"/>
        </w:rPr>
        <w:t xml:space="preserve">3.1 </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文件的组成</w:t>
      </w:r>
      <w:bookmarkEnd w:id="148"/>
      <w:bookmarkEnd w:id="149"/>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3.1.1 </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文件应包括下列内容：</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（1）投标函及投标函附录；</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（2）法定代表人身份证明或附有法定代表人身份证明的授权委托书；</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（3）联合体协议书（如有）；</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（4）投标保证金</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如有</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）项目管理机构；</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）拟分包项目情况表（如有）；</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）资格审查资料；</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）投标人须知前附表规定的其他材料。</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  投标人须知前附表规定不接受联合体投标的，或投标人没有组成联合体的，投标文件不包括本章第3.1.1（3）目所指的联合体协议书。</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50" w:name="_Toc18735"/>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lang w:val="en-US" w:eastAsia="zh-CN"/>
        </w:rPr>
        <w:t xml:space="preserve"> 比选</w:t>
      </w:r>
      <w:r>
        <w:rPr>
          <w:rFonts w:hint="eastAsia" w:ascii="宋体" w:hAnsi="宋体" w:eastAsia="宋体" w:cs="宋体"/>
          <w:color w:val="auto"/>
          <w:sz w:val="21"/>
          <w:szCs w:val="21"/>
          <w:highlight w:val="none"/>
        </w:rPr>
        <w:t>报价</w:t>
      </w:r>
      <w:bookmarkEnd w:id="15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  投标人应按第五章“工程量清单”的要求填写相应表格。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3.2.2  投标人在投标截止时间前修改投标函中的投标总报价，应同时修改第五章“工程量清单”中的相应报价。此修改须符合本章第 4.3 款的有关要求。</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lang w:val="en-US" w:eastAsia="zh-CN"/>
        </w:rPr>
      </w:pPr>
      <w:bookmarkStart w:id="151" w:name="_Toc3741"/>
      <w:r>
        <w:rPr>
          <w:rFonts w:hint="eastAsia" w:ascii="宋体" w:hAnsi="宋体" w:eastAsia="宋体" w:cs="宋体"/>
          <w:color w:val="auto"/>
          <w:sz w:val="21"/>
          <w:szCs w:val="21"/>
          <w:highlight w:val="none"/>
          <w:lang w:val="en-US" w:eastAsia="zh-CN"/>
        </w:rPr>
        <w:t>3.3  投标有效期</w:t>
      </w:r>
      <w:bookmarkEnd w:id="15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  在投标人须知前附表规定的投标有效期内，投标人不得要求撤销或修改其投标文件。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3.3.2  出现特殊情况需要延长投标有效期的，</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52" w:name="_Toc8270"/>
      <w:bookmarkStart w:id="153" w:name="_Toc293756853"/>
      <w:r>
        <w:rPr>
          <w:rFonts w:hint="eastAsia" w:ascii="宋体" w:hAnsi="宋体" w:eastAsia="宋体" w:cs="宋体"/>
          <w:color w:val="auto"/>
          <w:sz w:val="21"/>
          <w:szCs w:val="21"/>
          <w:highlight w:val="none"/>
        </w:rPr>
        <w:t>3.4 比选保证金</w:t>
      </w:r>
      <w:bookmarkEnd w:id="152"/>
      <w:bookmarkEnd w:id="153"/>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3.4.1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人在递交</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文件的同时，应按</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人须知前附表规定的比选保证金金额、比选保证金缴纳形式及要求，缴纳比选保证金，并作为其</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文件的组成部分。</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3.4.2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人不按本章第3.4.1 项要求提交比选保证金的，其</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文件作</w:t>
      </w:r>
      <w:r>
        <w:rPr>
          <w:rFonts w:hint="eastAsia" w:ascii="宋体" w:hAnsi="宋体" w:cs="宋体"/>
          <w:color w:val="auto"/>
          <w:sz w:val="21"/>
          <w:szCs w:val="21"/>
          <w:highlight w:val="none"/>
          <w:lang w:val="en-US" w:eastAsia="zh-CN"/>
        </w:rPr>
        <w:t>否决投标</w:t>
      </w:r>
      <w:r>
        <w:rPr>
          <w:rFonts w:hint="eastAsia" w:ascii="宋体" w:hAnsi="宋体" w:eastAsia="宋体" w:cs="宋体"/>
          <w:color w:val="auto"/>
          <w:sz w:val="21"/>
          <w:szCs w:val="21"/>
          <w:highlight w:val="none"/>
        </w:rPr>
        <w:t>处理。</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3.4.3 投标保证金退还：见投标人须知前附表。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（1）投标人在规定的投标有效期内撤销或修改其投标文件；</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（2）中标人在收到中标通知书后，无正当理由拒签合同协议书或未按</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文件规定提交履约担保；</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（3）违反本章9.2条对投标人的纪律要求的；</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（4）法律法规和本</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文件规定的其他情形。</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3.4.5（1）投标保证金为无条件担保；</w:t>
      </w:r>
    </w:p>
    <w:p>
      <w:pPr>
        <w:pageBreakBefore w:val="0"/>
        <w:kinsoku/>
        <w:wordWrap/>
        <w:overflowPunct/>
        <w:topLinePunct w:val="0"/>
        <w:bidi w:val="0"/>
        <w:spacing w:line="360" w:lineRule="auto"/>
        <w:ind w:firstLine="1050" w:firstLineChars="5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（2）投标保证金的受益人为</w:t>
      </w: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54" w:name="_Toc250"/>
      <w:bookmarkStart w:id="155" w:name="_Toc293756854"/>
      <w:r>
        <w:rPr>
          <w:rFonts w:hint="eastAsia" w:ascii="宋体" w:hAnsi="宋体" w:eastAsia="宋体" w:cs="宋体"/>
          <w:color w:val="auto"/>
          <w:sz w:val="21"/>
          <w:szCs w:val="21"/>
          <w:highlight w:val="none"/>
        </w:rPr>
        <w:t>3.5 资格审查资料</w:t>
      </w:r>
      <w:bookmarkEnd w:id="154"/>
      <w:bookmarkEnd w:id="155"/>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投标人须在</w:t>
      </w:r>
      <w:r>
        <w:rPr>
          <w:rFonts w:hint="eastAsia" w:ascii="宋体" w:hAnsi="宋体" w:cs="宋体"/>
          <w:color w:val="auto"/>
          <w:sz w:val="21"/>
          <w:szCs w:val="21"/>
          <w:highlight w:val="none"/>
          <w:lang w:val="en-US" w:eastAsia="zh-CN"/>
        </w:rPr>
        <w:t>递交投标文件的同时</w:t>
      </w:r>
      <w:r>
        <w:rPr>
          <w:rFonts w:hint="eastAsia" w:ascii="宋体" w:hAnsi="宋体" w:eastAsia="宋体" w:cs="宋体"/>
          <w:color w:val="auto"/>
          <w:sz w:val="21"/>
          <w:szCs w:val="21"/>
          <w:highlight w:val="none"/>
        </w:rPr>
        <w:t>将投标人须知前附表1.4.1中要求的原件一次性提交，评标委员会审查时必须对有关证明和证件的原件核查，若经审查复印件与原件不一致，或未提交原件的，则投标文件作否决投标处理。</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联合体投标的，详见投标人须知前附表联合体投标相关内容。</w:t>
      </w:r>
    </w:p>
    <w:p>
      <w:pPr>
        <w:pageBreakBefore w:val="0"/>
        <w:kinsoku/>
        <w:wordWrap/>
        <w:overflowPunct/>
        <w:topLinePunct w:val="0"/>
        <w:bidi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3.6 备选</w:t>
      </w:r>
      <w:r>
        <w:rPr>
          <w:rFonts w:hint="eastAsia" w:ascii="宋体" w:hAnsi="宋体" w:eastAsia="宋体" w:cs="宋体"/>
          <w:b/>
          <w:color w:val="auto"/>
          <w:sz w:val="21"/>
          <w:szCs w:val="21"/>
          <w:highlight w:val="none"/>
          <w:lang w:val="en-US" w:eastAsia="zh-CN"/>
        </w:rPr>
        <w:t>比选</w:t>
      </w:r>
      <w:r>
        <w:rPr>
          <w:rFonts w:hint="eastAsia" w:ascii="宋体" w:hAnsi="宋体" w:eastAsia="宋体" w:cs="宋体"/>
          <w:b/>
          <w:color w:val="auto"/>
          <w:sz w:val="21"/>
          <w:szCs w:val="21"/>
          <w:highlight w:val="none"/>
        </w:rPr>
        <w:t>方案</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除投标人须知前附表另有规定外，投标人不得递交备选</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方案。允许投标人递交备选投标方案的，只有中标人所递交的备选投标方案方可予以考虑。评标委员会认为中标人的备选投标方案优于其按照</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文件要求编制的投标方案的，</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人可以接受该备选</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eastAsia="zh-CN"/>
        </w:rPr>
        <w:t>。</w:t>
      </w:r>
    </w:p>
    <w:p>
      <w:pPr>
        <w:pageBreakBefore w:val="0"/>
        <w:kinsoku/>
        <w:wordWrap/>
        <w:overflowPunct/>
        <w:topLinePunct w:val="0"/>
        <w:bidi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3.7 </w:t>
      </w:r>
      <w:r>
        <w:rPr>
          <w:rFonts w:hint="eastAsia" w:ascii="宋体" w:hAnsi="宋体" w:eastAsia="宋体" w:cs="宋体"/>
          <w:b/>
          <w:color w:val="auto"/>
          <w:sz w:val="21"/>
          <w:szCs w:val="21"/>
          <w:highlight w:val="none"/>
          <w:lang w:eastAsia="zh-CN"/>
        </w:rPr>
        <w:t>投标</w:t>
      </w:r>
      <w:r>
        <w:rPr>
          <w:rFonts w:hint="eastAsia" w:ascii="宋体" w:hAnsi="宋体" w:eastAsia="宋体" w:cs="宋体"/>
          <w:b/>
          <w:color w:val="auto"/>
          <w:sz w:val="21"/>
          <w:szCs w:val="21"/>
          <w:highlight w:val="none"/>
        </w:rPr>
        <w:t>文件的编制</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bookmarkStart w:id="156" w:name="_Toc293756855"/>
      <w:r>
        <w:rPr>
          <w:rFonts w:hint="eastAsia" w:ascii="宋体" w:hAnsi="宋体" w:eastAsia="宋体" w:cs="宋体"/>
          <w:color w:val="auto"/>
          <w:sz w:val="21"/>
          <w:szCs w:val="21"/>
          <w:highlight w:val="none"/>
        </w:rPr>
        <w:t>3.7.1  投标文件应按第八章“投标文件格式”进行编写，如有必要，可以增加附页，作为投标文件的组成部分。其中，投标函附录在满足</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文件实质性要求的基础上，可以提出比</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文件要求更有利于</w:t>
      </w: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的承诺。</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3.7.2  投标文件应当对</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文件有关工期、投标有效期、质量要求、技术标准和要求、</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范围等实质性内容做出响应。</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3.7.3  投标文件的签字盖章要求：按本章投标人须知前附表第3.7.3项执行。</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3.7.4  投标文件的份数见投标人须知前附表。《技术部分》不分正副本，正本和副本的封面上应清楚地标记“正本”或“副本”的字样，正本和副本封面均须加盖单位法人章，否则作否决投标处理。当副本和正本不一致时，以正本为准。</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3.7.5  投标文件的正本与副本应分别装订成册，并编制目录，具体装订要求见投标人须知前附表规定。</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57" w:name="_Toc10924"/>
      <w:r>
        <w:rPr>
          <w:rFonts w:hint="eastAsia" w:ascii="宋体" w:hAnsi="宋体" w:eastAsia="宋体" w:cs="宋体"/>
          <w:color w:val="auto"/>
          <w:sz w:val="21"/>
          <w:szCs w:val="21"/>
          <w:highlight w:val="none"/>
        </w:rPr>
        <w:t xml:space="preserve">4. </w:t>
      </w:r>
      <w:bookmarkEnd w:id="156"/>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文件的递交等</w:t>
      </w:r>
      <w:bookmarkEnd w:id="157"/>
    </w:p>
    <w:p>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158" w:name="_Toc293756856"/>
      <w:bookmarkStart w:id="159" w:name="_Toc25512"/>
      <w:r>
        <w:rPr>
          <w:rFonts w:hint="eastAsia" w:ascii="宋体" w:hAnsi="宋体" w:eastAsia="宋体" w:cs="宋体"/>
          <w:color w:val="auto"/>
          <w:sz w:val="21"/>
          <w:szCs w:val="21"/>
          <w:highlight w:val="none"/>
        </w:rPr>
        <w:t xml:space="preserve">4.1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文件的密封和标记</w:t>
      </w:r>
      <w:bookmarkEnd w:id="158"/>
      <w:bookmarkEnd w:id="159"/>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文件的正本与副本密封见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4.1.2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文件的封套上应写明的内容见投标人须知前附表。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4.1.3  未按本章第 4.</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项要求密封的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文件，比选人不予受理。</w:t>
      </w:r>
    </w:p>
    <w:p>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160" w:name="_Toc2798"/>
      <w:bookmarkStart w:id="161" w:name="_Toc293756857"/>
      <w:r>
        <w:rPr>
          <w:rFonts w:hint="eastAsia" w:ascii="宋体" w:hAnsi="宋体" w:eastAsia="宋体" w:cs="宋体"/>
          <w:color w:val="auto"/>
          <w:sz w:val="21"/>
          <w:szCs w:val="21"/>
          <w:highlight w:val="none"/>
        </w:rPr>
        <w:t xml:space="preserve">4.2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文件的递交</w:t>
      </w:r>
      <w:bookmarkEnd w:id="160"/>
      <w:bookmarkEnd w:id="161"/>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4.2.1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人应按本章</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人须知前附表第</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项规定的时间递交</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4.2.2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人递交</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文件的地点：见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4.2.3 除</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人须知前附表另有规定外，</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人所递交的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文件不予退还。</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4.2.4 逾期送达的或者未送达指定地点的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文件，比选人不予受理。</w:t>
      </w:r>
    </w:p>
    <w:p>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162" w:name="_Toc293756858"/>
      <w:bookmarkStart w:id="163" w:name="_Toc288"/>
      <w:r>
        <w:rPr>
          <w:rFonts w:hint="eastAsia" w:ascii="宋体" w:hAnsi="宋体" w:eastAsia="宋体" w:cs="宋体"/>
          <w:color w:val="auto"/>
          <w:sz w:val="21"/>
          <w:szCs w:val="21"/>
          <w:highlight w:val="none"/>
        </w:rPr>
        <w:t xml:space="preserve">4.3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文件的修改与撤回</w:t>
      </w:r>
      <w:bookmarkEnd w:id="162"/>
      <w:bookmarkEnd w:id="163"/>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4.3.1 在本章</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人须知前附表第</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项规定的比选截止时间前，</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人可以修改或撤回已递交的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文件，但应以书面形式通知比选人。</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4.3.2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人修改或撤回已递交</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文件的书面通知应按照本章第3.7.3 项的要求签字或盖章。比选人收到书面通知后，向</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人出具签收凭证。</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4.3.3 修改的内容为</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文件的组成部分。修改的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文件应按照本章第3 条、第4 条规定进行编制、密封、标记和递交，并标明“修改”字样。</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64" w:name="_Toc293756859"/>
      <w:bookmarkStart w:id="165" w:name="_Toc29290"/>
      <w:r>
        <w:rPr>
          <w:rFonts w:hint="eastAsia" w:ascii="宋体" w:hAnsi="宋体" w:eastAsia="宋体" w:cs="宋体"/>
          <w:color w:val="auto"/>
          <w:sz w:val="21"/>
          <w:szCs w:val="21"/>
          <w:highlight w:val="none"/>
        </w:rPr>
        <w:t xml:space="preserve">5. </w:t>
      </w:r>
      <w:bookmarkEnd w:id="164"/>
      <w:r>
        <w:rPr>
          <w:rFonts w:hint="eastAsia" w:ascii="宋体" w:hAnsi="宋体" w:eastAsia="宋体" w:cs="宋体"/>
          <w:color w:val="auto"/>
          <w:sz w:val="21"/>
          <w:szCs w:val="21"/>
          <w:highlight w:val="none"/>
        </w:rPr>
        <w:t>比选</w:t>
      </w:r>
      <w:bookmarkEnd w:id="165"/>
    </w:p>
    <w:p>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166" w:name="_Toc293756860"/>
      <w:bookmarkStart w:id="167" w:name="_Toc6939"/>
      <w:r>
        <w:rPr>
          <w:rFonts w:hint="eastAsia" w:ascii="宋体" w:hAnsi="宋体" w:eastAsia="宋体" w:cs="宋体"/>
          <w:color w:val="auto"/>
          <w:sz w:val="21"/>
          <w:szCs w:val="21"/>
          <w:highlight w:val="none"/>
        </w:rPr>
        <w:t>5.1 比选时间和地点</w:t>
      </w:r>
      <w:bookmarkEnd w:id="166"/>
      <w:bookmarkEnd w:id="167"/>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在投标人须知前附表第 2.2.2 项规定的投标截止时间（开标时间）和投标人须知前附表规定的地点公开开标，并邀请所有投标人的法定代表人或其委托代理人准时参加。</w:t>
      </w:r>
    </w:p>
    <w:p>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168" w:name="_Toc293756861"/>
      <w:bookmarkStart w:id="169" w:name="_Toc716"/>
      <w:r>
        <w:rPr>
          <w:rFonts w:hint="eastAsia" w:ascii="宋体" w:hAnsi="宋体" w:eastAsia="宋体" w:cs="宋体"/>
          <w:color w:val="auto"/>
          <w:sz w:val="21"/>
          <w:szCs w:val="21"/>
          <w:highlight w:val="none"/>
        </w:rPr>
        <w:t>5.2 比选程序</w:t>
      </w:r>
      <w:bookmarkEnd w:id="168"/>
      <w:bookmarkEnd w:id="169"/>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bookmarkStart w:id="170" w:name="_Toc293756862"/>
      <w:r>
        <w:rPr>
          <w:rFonts w:hint="eastAsia" w:ascii="宋体" w:hAnsi="宋体" w:eastAsia="宋体" w:cs="宋体"/>
          <w:color w:val="auto"/>
          <w:sz w:val="21"/>
          <w:szCs w:val="21"/>
          <w:highlight w:val="none"/>
        </w:rPr>
        <w:t>详见投标人须知前附表5.2开标程序</w:t>
      </w:r>
      <w:r>
        <w:rPr>
          <w:rFonts w:hint="eastAsia" w:ascii="宋体" w:hAnsi="宋体" w:eastAsia="宋体" w:cs="宋体"/>
          <w:color w:val="auto"/>
          <w:sz w:val="21"/>
          <w:szCs w:val="21"/>
          <w:highlight w:val="none"/>
          <w:lang w:eastAsia="zh-CN"/>
        </w:rPr>
        <w:t>。</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71" w:name="_Toc24607"/>
      <w:r>
        <w:rPr>
          <w:rFonts w:hint="eastAsia" w:ascii="宋体" w:hAnsi="宋体" w:eastAsia="宋体" w:cs="宋体"/>
          <w:color w:val="auto"/>
          <w:sz w:val="21"/>
          <w:szCs w:val="21"/>
          <w:highlight w:val="none"/>
        </w:rPr>
        <w:t>6. 评</w:t>
      </w:r>
      <w:bookmarkEnd w:id="170"/>
      <w:r>
        <w:rPr>
          <w:rFonts w:hint="eastAsia" w:ascii="宋体" w:hAnsi="宋体" w:eastAsia="宋体" w:cs="宋体"/>
          <w:color w:val="auto"/>
          <w:sz w:val="21"/>
          <w:szCs w:val="21"/>
          <w:highlight w:val="none"/>
        </w:rPr>
        <w:t>审</w:t>
      </w:r>
      <w:bookmarkEnd w:id="171"/>
    </w:p>
    <w:p>
      <w:pPr>
        <w:keepNext w:val="0"/>
        <w:keepLines w:val="0"/>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172" w:name="_Toc430530470"/>
      <w:bookmarkStart w:id="173" w:name="_Toc277082587"/>
      <w:bookmarkStart w:id="174" w:name="_Toc287620720"/>
      <w:bookmarkStart w:id="175" w:name="_Toc200513161"/>
      <w:bookmarkStart w:id="176" w:name="_Toc287607781"/>
      <w:bookmarkStart w:id="177" w:name="_Toc7646"/>
      <w:bookmarkStart w:id="178" w:name="_Toc224103352"/>
      <w:bookmarkStart w:id="179" w:name="_Toc509218745"/>
      <w:bookmarkStart w:id="180" w:name="_Toc293756866"/>
      <w:r>
        <w:rPr>
          <w:rFonts w:hint="eastAsia" w:ascii="宋体" w:hAnsi="宋体" w:eastAsia="宋体" w:cs="宋体"/>
          <w:b w:val="0"/>
          <w:bCs/>
          <w:snapToGrid w:val="0"/>
          <w:color w:val="auto"/>
          <w:kern w:val="2"/>
          <w:sz w:val="21"/>
          <w:szCs w:val="21"/>
          <w:highlight w:val="none"/>
          <w:lang w:val="en-US" w:eastAsia="zh-CN" w:bidi="ar-SA"/>
        </w:rPr>
        <w:t>6.1  评标委员会</w:t>
      </w:r>
      <w:bookmarkEnd w:id="172"/>
      <w:bookmarkEnd w:id="173"/>
      <w:bookmarkEnd w:id="174"/>
      <w:bookmarkEnd w:id="175"/>
      <w:bookmarkEnd w:id="176"/>
      <w:bookmarkEnd w:id="177"/>
      <w:bookmarkEnd w:id="178"/>
      <w:bookmarkEnd w:id="179"/>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6.1.1  评标由</w:t>
      </w:r>
      <w:r>
        <w:rPr>
          <w:rFonts w:hint="eastAsia" w:ascii="宋体" w:hAnsi="宋体" w:eastAsia="宋体" w:cs="宋体"/>
          <w:snapToGrid w:val="0"/>
          <w:color w:val="auto"/>
          <w:kern w:val="0"/>
          <w:sz w:val="21"/>
          <w:szCs w:val="21"/>
          <w:highlight w:val="none"/>
          <w:lang w:val="en-US" w:eastAsia="zh-CN"/>
        </w:rPr>
        <w:t>比选</w:t>
      </w:r>
      <w:r>
        <w:rPr>
          <w:rFonts w:hint="eastAsia" w:ascii="宋体" w:hAnsi="宋体" w:eastAsia="宋体" w:cs="宋体"/>
          <w:snapToGrid w:val="0"/>
          <w:color w:val="auto"/>
          <w:kern w:val="0"/>
          <w:sz w:val="21"/>
          <w:szCs w:val="21"/>
          <w:highlight w:val="none"/>
        </w:rPr>
        <w:t>人依据法律法规和相关规范性文件组建的评标委员会负责。</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6.1.2  评标委员会成员有下列情形之一的，应当回避：</w:t>
      </w:r>
    </w:p>
    <w:p>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snapToGrid w:val="0"/>
          <w:color w:val="auto"/>
          <w:kern w:val="0"/>
          <w:sz w:val="21"/>
          <w:szCs w:val="21"/>
          <w:highlight w:val="none"/>
        </w:rPr>
      </w:pPr>
      <w:bookmarkStart w:id="181" w:name="_Toc27306"/>
      <w:bookmarkStart w:id="182" w:name="_Toc277082588"/>
      <w:bookmarkStart w:id="183" w:name="_Toc287620721"/>
      <w:bookmarkStart w:id="184" w:name="_Toc509218746"/>
      <w:bookmarkStart w:id="185" w:name="_Toc430530471"/>
      <w:bookmarkStart w:id="186" w:name="_Toc200513162"/>
      <w:bookmarkStart w:id="187" w:name="_Toc224103353"/>
      <w:bookmarkStart w:id="188" w:name="_Toc287607782"/>
      <w:r>
        <w:rPr>
          <w:rFonts w:hint="eastAsia" w:ascii="宋体" w:hAnsi="宋体" w:eastAsia="宋体" w:cs="宋体"/>
          <w:snapToGrid w:val="0"/>
          <w:color w:val="auto"/>
          <w:kern w:val="0"/>
          <w:sz w:val="21"/>
          <w:szCs w:val="21"/>
          <w:highlight w:val="none"/>
        </w:rPr>
        <w:t>（1）投标人或投标人的主要负责人的近亲属；</w:t>
      </w:r>
      <w:bookmarkEnd w:id="181"/>
    </w:p>
    <w:p>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snapToGrid w:val="0"/>
          <w:color w:val="auto"/>
          <w:kern w:val="0"/>
          <w:sz w:val="21"/>
          <w:szCs w:val="21"/>
          <w:highlight w:val="none"/>
        </w:rPr>
      </w:pPr>
      <w:bookmarkStart w:id="189" w:name="_Toc7327"/>
      <w:r>
        <w:rPr>
          <w:rFonts w:hint="eastAsia" w:ascii="宋体" w:hAnsi="宋体" w:eastAsia="宋体" w:cs="宋体"/>
          <w:snapToGrid w:val="0"/>
          <w:color w:val="auto"/>
          <w:kern w:val="0"/>
          <w:sz w:val="21"/>
          <w:szCs w:val="21"/>
          <w:highlight w:val="none"/>
        </w:rPr>
        <w:t>（2）项目主管部门或者项目行政监督部门的人员；</w:t>
      </w:r>
      <w:bookmarkEnd w:id="189"/>
    </w:p>
    <w:p>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snapToGrid w:val="0"/>
          <w:color w:val="auto"/>
          <w:kern w:val="0"/>
          <w:sz w:val="21"/>
          <w:szCs w:val="21"/>
          <w:highlight w:val="none"/>
        </w:rPr>
      </w:pPr>
      <w:bookmarkStart w:id="190" w:name="_Toc32357"/>
      <w:r>
        <w:rPr>
          <w:rFonts w:hint="eastAsia" w:ascii="宋体" w:hAnsi="宋体" w:eastAsia="宋体" w:cs="宋体"/>
          <w:snapToGrid w:val="0"/>
          <w:color w:val="auto"/>
          <w:kern w:val="0"/>
          <w:sz w:val="21"/>
          <w:szCs w:val="21"/>
          <w:highlight w:val="none"/>
        </w:rPr>
        <w:t>（3）与投标人有利害关系，可能影响对投标公正评审的；</w:t>
      </w:r>
      <w:bookmarkEnd w:id="190"/>
    </w:p>
    <w:p>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snapToGrid w:val="0"/>
          <w:color w:val="auto"/>
          <w:kern w:val="0"/>
          <w:sz w:val="21"/>
          <w:szCs w:val="21"/>
          <w:highlight w:val="none"/>
        </w:rPr>
      </w:pPr>
      <w:bookmarkStart w:id="191" w:name="_Toc28689"/>
      <w:r>
        <w:rPr>
          <w:rFonts w:hint="eastAsia" w:ascii="宋体" w:hAnsi="宋体" w:eastAsia="宋体" w:cs="宋体"/>
          <w:snapToGrid w:val="0"/>
          <w:color w:val="auto"/>
          <w:kern w:val="0"/>
          <w:sz w:val="21"/>
          <w:szCs w:val="21"/>
          <w:highlight w:val="none"/>
        </w:rPr>
        <w:t>（4）曾因在招标、评标以及其他与招标投标有关活动中从事违法行为而受过行政处罚或刑事处罚的；</w:t>
      </w:r>
      <w:bookmarkEnd w:id="191"/>
    </w:p>
    <w:p>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snapToGrid w:val="0"/>
          <w:color w:val="auto"/>
          <w:kern w:val="0"/>
          <w:sz w:val="21"/>
          <w:szCs w:val="21"/>
          <w:highlight w:val="none"/>
        </w:rPr>
      </w:pPr>
      <w:bookmarkStart w:id="192" w:name="_Toc7240"/>
      <w:r>
        <w:rPr>
          <w:rFonts w:hint="eastAsia" w:ascii="宋体" w:hAnsi="宋体" w:eastAsia="宋体" w:cs="宋体"/>
          <w:snapToGrid w:val="0"/>
          <w:color w:val="auto"/>
          <w:kern w:val="0"/>
          <w:sz w:val="21"/>
          <w:szCs w:val="21"/>
          <w:highlight w:val="none"/>
        </w:rPr>
        <w:t>（5）法律法规规定的其他情形。</w:t>
      </w:r>
      <w:bookmarkEnd w:id="192"/>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6.1.3  评标过程中，评标委员会成员有回避事由、擅离职守或者因健康等原因不能继续评标的，应当及时更换。被更换的评标委员会成员作出的评审结论无效，由更换后的评标委员会成员重新进行评审。</w:t>
      </w:r>
    </w:p>
    <w:p>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lang w:val="en-US" w:eastAsia="zh-CN"/>
        </w:rPr>
      </w:pPr>
      <w:bookmarkStart w:id="193" w:name="_Toc349"/>
      <w:r>
        <w:rPr>
          <w:rFonts w:hint="eastAsia" w:ascii="宋体" w:hAnsi="宋体" w:eastAsia="宋体" w:cs="宋体"/>
          <w:color w:val="auto"/>
          <w:sz w:val="21"/>
          <w:szCs w:val="21"/>
          <w:highlight w:val="none"/>
          <w:lang w:val="en-US" w:eastAsia="zh-CN"/>
        </w:rPr>
        <w:t>6.2  评标原则</w:t>
      </w:r>
      <w:bookmarkEnd w:id="182"/>
      <w:bookmarkEnd w:id="183"/>
      <w:bookmarkEnd w:id="184"/>
      <w:bookmarkEnd w:id="185"/>
      <w:bookmarkEnd w:id="186"/>
      <w:bookmarkEnd w:id="187"/>
      <w:bookmarkEnd w:id="188"/>
      <w:bookmarkEnd w:id="193"/>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评标活动遵循公平、公正、科学和择优的原则。</w:t>
      </w:r>
    </w:p>
    <w:p>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lang w:val="en-US" w:eastAsia="zh-CN"/>
        </w:rPr>
      </w:pPr>
      <w:bookmarkStart w:id="194" w:name="_Toc509218747"/>
      <w:bookmarkStart w:id="195" w:name="_Toc277082589"/>
      <w:bookmarkStart w:id="196" w:name="_Toc3231"/>
      <w:bookmarkStart w:id="197" w:name="_Toc430530472"/>
      <w:bookmarkStart w:id="198" w:name="_Toc287620722"/>
      <w:bookmarkStart w:id="199" w:name="_Toc200513163"/>
      <w:bookmarkStart w:id="200" w:name="_Toc224103354"/>
      <w:bookmarkStart w:id="201" w:name="_Toc287607783"/>
      <w:r>
        <w:rPr>
          <w:rFonts w:hint="eastAsia" w:ascii="宋体" w:hAnsi="宋体" w:eastAsia="宋体" w:cs="宋体"/>
          <w:color w:val="auto"/>
          <w:sz w:val="21"/>
          <w:szCs w:val="21"/>
          <w:highlight w:val="none"/>
          <w:lang w:val="en-US" w:eastAsia="zh-CN"/>
        </w:rPr>
        <w:t>6.3  评标</w:t>
      </w:r>
      <w:bookmarkEnd w:id="194"/>
      <w:bookmarkEnd w:id="195"/>
      <w:bookmarkEnd w:id="196"/>
      <w:bookmarkEnd w:id="197"/>
      <w:bookmarkEnd w:id="198"/>
      <w:bookmarkEnd w:id="199"/>
      <w:bookmarkEnd w:id="200"/>
      <w:bookmarkEnd w:id="201"/>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评标委员会按照第三章“评标办法”规定的方法、评审因素、标准和程序对投标文件进行评审。第三章“评标办法”没有规定的方法、评审因素和标准，不得作为评标依据。</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202" w:name="_Toc5190"/>
      <w:r>
        <w:rPr>
          <w:rFonts w:hint="eastAsia" w:ascii="宋体" w:hAnsi="宋体" w:eastAsia="宋体" w:cs="宋体"/>
          <w:color w:val="auto"/>
          <w:sz w:val="21"/>
          <w:szCs w:val="21"/>
          <w:highlight w:val="none"/>
        </w:rPr>
        <w:t>7. 合同授予</w:t>
      </w:r>
      <w:bookmarkEnd w:id="180"/>
      <w:bookmarkEnd w:id="202"/>
    </w:p>
    <w:p>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203" w:name="_Toc293756867"/>
      <w:bookmarkStart w:id="204" w:name="_Toc13886"/>
      <w:r>
        <w:rPr>
          <w:rFonts w:hint="eastAsia" w:ascii="宋体" w:hAnsi="宋体" w:eastAsia="宋体" w:cs="宋体"/>
          <w:color w:val="auto"/>
          <w:sz w:val="21"/>
          <w:szCs w:val="21"/>
          <w:highlight w:val="none"/>
        </w:rPr>
        <w:t>7.1 定选方式</w:t>
      </w:r>
      <w:bookmarkEnd w:id="203"/>
      <w:bookmarkEnd w:id="204"/>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人应当确定排名第一的中标候选人为中标人。排名第一的中标候选人放弃中标、因不可抗力不能履行合同、不按照</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文件要求提交履约保证金，或者被查实存在影响中标结果的违法行为等情形，不符合中标条件的，</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人可以按照评标委员会提出的中标候选人名单排序依次确定其他中标候选人为中标人，也可以重新招标。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评标委员会推荐中标候选人的人数见投标人须知前附表。</w:t>
      </w:r>
    </w:p>
    <w:p>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205" w:name="_Toc293756868"/>
      <w:bookmarkStart w:id="206" w:name="_Toc17919"/>
      <w:r>
        <w:rPr>
          <w:rFonts w:hint="eastAsia" w:ascii="宋体" w:hAnsi="宋体" w:eastAsia="宋体" w:cs="宋体"/>
          <w:color w:val="auto"/>
          <w:sz w:val="21"/>
          <w:szCs w:val="21"/>
          <w:highlight w:val="none"/>
        </w:rPr>
        <w:t>7.2 中</w:t>
      </w:r>
      <w:r>
        <w:rPr>
          <w:rFonts w:hint="eastAsia" w:ascii="宋体" w:hAnsi="宋体" w:eastAsia="宋体" w:cs="宋体"/>
          <w:color w:val="auto"/>
          <w:sz w:val="21"/>
          <w:szCs w:val="21"/>
          <w:highlight w:val="none"/>
          <w:lang w:val="en-US" w:eastAsia="zh-CN"/>
        </w:rPr>
        <w:t>标</w:t>
      </w:r>
      <w:r>
        <w:rPr>
          <w:rFonts w:hint="eastAsia" w:ascii="宋体" w:hAnsi="宋体" w:eastAsia="宋体" w:cs="宋体"/>
          <w:color w:val="auto"/>
          <w:sz w:val="21"/>
          <w:szCs w:val="21"/>
          <w:highlight w:val="none"/>
        </w:rPr>
        <w:t>通知</w:t>
      </w:r>
      <w:bookmarkEnd w:id="205"/>
      <w:bookmarkEnd w:id="206"/>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bookmarkStart w:id="207" w:name="_Toc293756869"/>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在收到评标报告之日起3日内公示中标候选人，公示期不得少于3个工作日。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在本章第 3.3 款规定的投标有效期内，且未有投标人的异议与投诉，</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人以书面形式向中标人发出中标通知书。</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7.3 履约担保</w:t>
      </w:r>
      <w:bookmarkEnd w:id="207"/>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7.3.1 在签订合同前，中标人应按投标人须知前附表规定的金额、担保形式和</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文件第四章“合同条款及格式”规定的履约担保格式向</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人提交履约担保。</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7.3.2 中选人不能按本章第7.3.1 项要求提交履约担保的，视为放弃中选，其比选保证金不予退还，给比选人造成的损失超过比选保证金数额的，中选人还应当对超过部分予以赔偿。</w:t>
      </w:r>
    </w:p>
    <w:p>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208" w:name="_Toc5235"/>
      <w:bookmarkStart w:id="209" w:name="_Toc293756870"/>
      <w:r>
        <w:rPr>
          <w:rFonts w:hint="eastAsia" w:ascii="宋体" w:hAnsi="宋体" w:eastAsia="宋体" w:cs="宋体"/>
          <w:color w:val="auto"/>
          <w:sz w:val="21"/>
          <w:szCs w:val="21"/>
          <w:highlight w:val="none"/>
        </w:rPr>
        <w:t>7.4 签订合同</w:t>
      </w:r>
      <w:bookmarkEnd w:id="208"/>
      <w:bookmarkEnd w:id="20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7.4.1 </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人和中标人应当自中标通知书发出之日起</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天内，根据</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文件和中标人的投标文件订立书面合同。中标人放弃中标项目，无正当理由不与</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人签订合同，在签订合同时向</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人提出附加条件或者更改合同实质性内容的，</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人取消其中标资格，其投标保证金不予退还；给</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人造成的损失超过投标保证金数额的，中标人还应当对超过部分予以赔偿。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7.4.2 发出中选通知书后，比选人无正当理由拒签合同的，比选人应向中选人退还比选保证金；给中选人造成损失的，还应当赔偿损失。</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210" w:name="_Toc21469"/>
      <w:bookmarkStart w:id="211" w:name="_Toc293756871"/>
      <w:r>
        <w:rPr>
          <w:rFonts w:hint="eastAsia" w:ascii="宋体" w:hAnsi="宋体" w:eastAsia="宋体" w:cs="宋体"/>
          <w:color w:val="auto"/>
          <w:sz w:val="21"/>
          <w:szCs w:val="21"/>
          <w:highlight w:val="none"/>
        </w:rPr>
        <w:t>8. 重新比选和不再比选</w:t>
      </w:r>
      <w:bookmarkEnd w:id="210"/>
      <w:bookmarkEnd w:id="211"/>
    </w:p>
    <w:p>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12" w:name="_Toc224103361"/>
      <w:bookmarkStart w:id="213" w:name="_Toc509218754"/>
      <w:bookmarkStart w:id="214" w:name="_Toc277082596"/>
      <w:bookmarkStart w:id="215" w:name="_Toc287607790"/>
      <w:bookmarkStart w:id="216" w:name="_Toc430530479"/>
      <w:bookmarkStart w:id="217" w:name="_Toc287620729"/>
      <w:bookmarkStart w:id="218" w:name="_Toc200513170"/>
      <w:bookmarkStart w:id="219" w:name="_Toc27002"/>
      <w:bookmarkStart w:id="220" w:name="_Toc293756873"/>
      <w:bookmarkStart w:id="221" w:name="_Toc284231394"/>
      <w:r>
        <w:rPr>
          <w:rFonts w:hint="eastAsia" w:ascii="宋体" w:hAnsi="宋体" w:eastAsia="宋体" w:cs="宋体"/>
          <w:b w:val="0"/>
          <w:bCs/>
          <w:snapToGrid w:val="0"/>
          <w:color w:val="auto"/>
          <w:kern w:val="2"/>
          <w:sz w:val="21"/>
          <w:szCs w:val="21"/>
          <w:highlight w:val="none"/>
          <w:lang w:val="en-US" w:eastAsia="zh-CN" w:bidi="ar-SA"/>
        </w:rPr>
        <w:t>8.1  重新</w:t>
      </w:r>
      <w:bookmarkEnd w:id="212"/>
      <w:bookmarkEnd w:id="213"/>
      <w:bookmarkEnd w:id="214"/>
      <w:bookmarkEnd w:id="215"/>
      <w:bookmarkEnd w:id="216"/>
      <w:bookmarkEnd w:id="217"/>
      <w:bookmarkEnd w:id="218"/>
      <w:r>
        <w:rPr>
          <w:rFonts w:hint="eastAsia" w:ascii="宋体" w:hAnsi="宋体" w:eastAsia="宋体" w:cs="宋体"/>
          <w:b w:val="0"/>
          <w:bCs/>
          <w:snapToGrid w:val="0"/>
          <w:color w:val="auto"/>
          <w:kern w:val="2"/>
          <w:sz w:val="21"/>
          <w:szCs w:val="21"/>
          <w:highlight w:val="none"/>
          <w:lang w:val="en-US" w:eastAsia="zh-CN" w:bidi="ar-SA"/>
        </w:rPr>
        <w:t>比选</w:t>
      </w:r>
      <w:bookmarkEnd w:id="219"/>
    </w:p>
    <w:p>
      <w:pPr>
        <w:pageBreakBefore w:val="0"/>
        <w:kinsoku/>
        <w:wordWrap/>
        <w:overflowPunct/>
        <w:topLinePunct w:val="0"/>
        <w:autoSpaceDE w:val="0"/>
        <w:autoSpaceDN w:val="0"/>
        <w:bidi w:val="0"/>
        <w:adjustRightInd w:val="0"/>
        <w:snapToGrid w:val="0"/>
        <w:spacing w:line="360" w:lineRule="auto"/>
        <w:ind w:left="359" w:leftChars="171"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有下列情形之一的，</w:t>
      </w:r>
      <w:r>
        <w:rPr>
          <w:rFonts w:hint="eastAsia" w:ascii="宋体" w:hAnsi="宋体" w:eastAsia="宋体" w:cs="宋体"/>
          <w:snapToGrid w:val="0"/>
          <w:color w:val="auto"/>
          <w:kern w:val="0"/>
          <w:sz w:val="21"/>
          <w:szCs w:val="21"/>
          <w:highlight w:val="none"/>
          <w:lang w:val="en-US" w:eastAsia="zh-CN"/>
        </w:rPr>
        <w:t>比选</w:t>
      </w:r>
      <w:r>
        <w:rPr>
          <w:rFonts w:hint="eastAsia" w:ascii="宋体" w:hAnsi="宋体" w:eastAsia="宋体" w:cs="宋体"/>
          <w:snapToGrid w:val="0"/>
          <w:color w:val="auto"/>
          <w:kern w:val="0"/>
          <w:sz w:val="21"/>
          <w:szCs w:val="21"/>
          <w:highlight w:val="none"/>
        </w:rPr>
        <w:t>人将重新</w:t>
      </w:r>
      <w:r>
        <w:rPr>
          <w:rFonts w:hint="eastAsia" w:ascii="宋体" w:hAnsi="宋体" w:eastAsia="宋体" w:cs="宋体"/>
          <w:snapToGrid w:val="0"/>
          <w:color w:val="auto"/>
          <w:kern w:val="0"/>
          <w:sz w:val="21"/>
          <w:szCs w:val="21"/>
          <w:highlight w:val="none"/>
          <w:lang w:val="en-US" w:eastAsia="zh-CN"/>
        </w:rPr>
        <w:t>比选</w:t>
      </w:r>
      <w:r>
        <w:rPr>
          <w:rFonts w:hint="eastAsia" w:ascii="宋体" w:hAnsi="宋体" w:eastAsia="宋体" w:cs="宋体"/>
          <w:snapToGrid w:val="0"/>
          <w:color w:val="auto"/>
          <w:kern w:val="0"/>
          <w:sz w:val="21"/>
          <w:szCs w:val="21"/>
          <w:highlight w:val="none"/>
        </w:rPr>
        <w:t>：</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（1）投标截止时间止，投标人少于 3 个的；</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（2）经评标委员会评审后否决所有投标的；</w:t>
      </w:r>
    </w:p>
    <w:p>
      <w:pPr>
        <w:pageBreakBefore w:val="0"/>
        <w:widowControl/>
        <w:kinsoku/>
        <w:wordWrap/>
        <w:overflowPunct/>
        <w:topLinePunct w:val="0"/>
        <w:bidi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（3）经评标委员会评审后部分投标被否决，导致有效投标人不足三个的，评标委员会应当否决所有投标。但是有效投标人的经济、技术等指标仍然具有市场竞争力，能够满足</w:t>
      </w:r>
      <w:r>
        <w:rPr>
          <w:rFonts w:hint="eastAsia" w:ascii="宋体" w:hAnsi="宋体" w:eastAsia="宋体" w:cs="宋体"/>
          <w:snapToGrid w:val="0"/>
          <w:color w:val="auto"/>
          <w:kern w:val="0"/>
          <w:sz w:val="21"/>
          <w:szCs w:val="21"/>
          <w:highlight w:val="none"/>
          <w:lang w:val="en-US" w:eastAsia="zh-CN"/>
        </w:rPr>
        <w:t>比选</w:t>
      </w:r>
      <w:r>
        <w:rPr>
          <w:rFonts w:hint="eastAsia" w:ascii="宋体" w:hAnsi="宋体" w:eastAsia="宋体" w:cs="宋体"/>
          <w:snapToGrid w:val="0"/>
          <w:color w:val="auto"/>
          <w:kern w:val="0"/>
          <w:sz w:val="21"/>
          <w:szCs w:val="21"/>
          <w:highlight w:val="none"/>
        </w:rPr>
        <w:t>文件要求的，评标委员会可以继续评标并确定中标候选人。</w:t>
      </w:r>
    </w:p>
    <w:p>
      <w:pPr>
        <w:pageBreakBefore w:val="0"/>
        <w:widowControl/>
        <w:kinsoku/>
        <w:wordWrap/>
        <w:overflowPunct/>
        <w:topLinePunct w:val="0"/>
        <w:bidi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（4）法律法规规定的其他情形。</w:t>
      </w:r>
    </w:p>
    <w:p>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222" w:name="_Toc28804"/>
      <w:r>
        <w:rPr>
          <w:rFonts w:hint="eastAsia" w:ascii="宋体" w:hAnsi="宋体" w:eastAsia="宋体" w:cs="宋体"/>
          <w:color w:val="auto"/>
          <w:sz w:val="21"/>
          <w:szCs w:val="21"/>
          <w:highlight w:val="none"/>
        </w:rPr>
        <w:t>8.2 不再</w:t>
      </w:r>
      <w:bookmarkEnd w:id="220"/>
      <w:bookmarkEnd w:id="221"/>
      <w:r>
        <w:rPr>
          <w:rFonts w:hint="eastAsia" w:ascii="宋体" w:hAnsi="宋体" w:eastAsia="宋体" w:cs="宋体"/>
          <w:color w:val="auto"/>
          <w:sz w:val="21"/>
          <w:szCs w:val="21"/>
          <w:highlight w:val="none"/>
        </w:rPr>
        <w:t>比选</w:t>
      </w:r>
      <w:bookmarkEnd w:id="222"/>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bookmarkStart w:id="223" w:name="_Toc288052291"/>
      <w:bookmarkStart w:id="224" w:name="_Toc284158456"/>
      <w:bookmarkStart w:id="225" w:name="_Toc293756874"/>
      <w:bookmarkStart w:id="226" w:name="_Toc284159224"/>
      <w:bookmarkStart w:id="227" w:name="_Toc284231395"/>
      <w:bookmarkStart w:id="228" w:name="_Toc288045280"/>
      <w:bookmarkStart w:id="229" w:name="_Toc284159360"/>
      <w:bookmarkStart w:id="230" w:name="_Toc288046894"/>
      <w:bookmarkStart w:id="231" w:name="_Toc284158539"/>
      <w:bookmarkStart w:id="232" w:name="_Toc288046541"/>
      <w:r>
        <w:rPr>
          <w:rFonts w:hint="eastAsia" w:ascii="宋体" w:hAnsi="宋体" w:eastAsia="宋体" w:cs="宋体"/>
          <w:color w:val="auto"/>
          <w:sz w:val="21"/>
          <w:szCs w:val="21"/>
          <w:highlight w:val="none"/>
        </w:rPr>
        <w:t>重新比选后</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人仍少于三个的，按法定程序开展比选和评审，确定中选人。经评审无合格</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人，属于审批或核准项目的，报经原审批部门批准可以不再比选。</w:t>
      </w:r>
      <w:bookmarkEnd w:id="223"/>
      <w:bookmarkEnd w:id="224"/>
      <w:bookmarkEnd w:id="225"/>
      <w:bookmarkEnd w:id="226"/>
      <w:bookmarkEnd w:id="227"/>
      <w:bookmarkEnd w:id="228"/>
      <w:bookmarkEnd w:id="229"/>
      <w:bookmarkEnd w:id="230"/>
      <w:bookmarkEnd w:id="231"/>
      <w:bookmarkEnd w:id="232"/>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233" w:name="_Toc287620731"/>
      <w:bookmarkStart w:id="234" w:name="_Toc200513172"/>
      <w:bookmarkStart w:id="235" w:name="_Toc224103363"/>
      <w:bookmarkStart w:id="236" w:name="_Toc287607792"/>
      <w:bookmarkStart w:id="237" w:name="_Toc509218756"/>
      <w:bookmarkStart w:id="238" w:name="_Toc31090"/>
      <w:bookmarkStart w:id="239" w:name="_Toc277082598"/>
      <w:bookmarkStart w:id="240" w:name="_Toc36043737"/>
      <w:bookmarkStart w:id="241" w:name="_Toc430530481"/>
      <w:r>
        <w:rPr>
          <w:rFonts w:hint="eastAsia" w:ascii="宋体" w:hAnsi="宋体" w:eastAsia="宋体" w:cs="宋体"/>
          <w:color w:val="auto"/>
          <w:sz w:val="21"/>
          <w:szCs w:val="21"/>
          <w:highlight w:val="none"/>
        </w:rPr>
        <w:t>9.  纪律和监督</w:t>
      </w:r>
      <w:bookmarkEnd w:id="233"/>
      <w:bookmarkEnd w:id="234"/>
      <w:bookmarkEnd w:id="235"/>
      <w:bookmarkEnd w:id="236"/>
      <w:bookmarkEnd w:id="237"/>
      <w:bookmarkEnd w:id="238"/>
      <w:bookmarkEnd w:id="239"/>
      <w:bookmarkEnd w:id="240"/>
      <w:bookmarkEnd w:id="241"/>
    </w:p>
    <w:p>
      <w:pPr>
        <w:keepNext/>
        <w:keepLines/>
        <w:pageBreakBefore w:val="0"/>
        <w:widowControl w:val="0"/>
        <w:kinsoku/>
        <w:wordWrap/>
        <w:overflowPunct/>
        <w:topLinePunct w:val="0"/>
        <w:bidi w:val="0"/>
        <w:snapToGrid w:val="0"/>
        <w:spacing w:before="0" w:after="0" w:line="360" w:lineRule="auto"/>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42" w:name="_Toc287620732"/>
      <w:bookmarkStart w:id="243" w:name="_Toc430530482"/>
      <w:bookmarkStart w:id="244" w:name="_Toc25463"/>
      <w:bookmarkStart w:id="245" w:name="_Toc224103364"/>
      <w:bookmarkStart w:id="246" w:name="_Toc287607793"/>
      <w:bookmarkStart w:id="247" w:name="_Toc200513173"/>
      <w:bookmarkStart w:id="248" w:name="_Toc277082599"/>
      <w:bookmarkStart w:id="249" w:name="_Toc509218757"/>
      <w:r>
        <w:rPr>
          <w:rFonts w:hint="eastAsia" w:ascii="宋体" w:hAnsi="宋体" w:eastAsia="宋体" w:cs="宋体"/>
          <w:b w:val="0"/>
          <w:bCs/>
          <w:snapToGrid w:val="0"/>
          <w:color w:val="auto"/>
          <w:kern w:val="2"/>
          <w:sz w:val="21"/>
          <w:szCs w:val="21"/>
          <w:highlight w:val="none"/>
          <w:lang w:val="en-US" w:eastAsia="zh-CN" w:bidi="ar-SA"/>
        </w:rPr>
        <w:t>9.1  对比选人的纪律要求</w:t>
      </w:r>
      <w:bookmarkEnd w:id="242"/>
      <w:bookmarkEnd w:id="243"/>
      <w:bookmarkEnd w:id="244"/>
      <w:bookmarkEnd w:id="245"/>
      <w:bookmarkEnd w:id="246"/>
      <w:bookmarkEnd w:id="247"/>
      <w:bookmarkEnd w:id="248"/>
      <w:bookmarkEnd w:id="249"/>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rPr>
        <w:t>比选</w:t>
      </w:r>
      <w:r>
        <w:rPr>
          <w:rFonts w:hint="eastAsia" w:ascii="宋体" w:hAnsi="宋体" w:eastAsia="宋体" w:cs="宋体"/>
          <w:snapToGrid w:val="0"/>
          <w:color w:val="auto"/>
          <w:kern w:val="0"/>
          <w:sz w:val="21"/>
          <w:szCs w:val="21"/>
          <w:highlight w:val="none"/>
        </w:rPr>
        <w:t>人不得泄漏招标投标活动中应当保密的情况和资料，不得与投标人串通损害国家利 益、社会公共利益或者他人合法权益，</w:t>
      </w:r>
      <w:r>
        <w:rPr>
          <w:rFonts w:hint="eastAsia" w:ascii="宋体" w:hAnsi="宋体" w:eastAsia="宋体" w:cs="宋体"/>
          <w:color w:val="auto"/>
          <w:sz w:val="21"/>
          <w:szCs w:val="21"/>
          <w:highlight w:val="none"/>
        </w:rPr>
        <w:t>禁止</w:t>
      </w: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与投标人串通投标。</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有下列情形之一的，属于</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人与投标人串通投标：</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人在开标前开启投标文件并将有关信息泄露给其他投标人；</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人直接或者间接向投标人泄露标底、评标委员会成员等信息；</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人明示或者暗示投标人压低或者抬高投标报价；</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人授意投标人撤换、修改投标文件；</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人明示或者暗示投标人为特定投标人中标提供方便；</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人与投标人为谋求特定投标人中标而采取的其他串通行为。</w:t>
      </w:r>
    </w:p>
    <w:p>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50" w:name="_Toc509218758"/>
      <w:bookmarkStart w:id="251" w:name="_Toc287607794"/>
      <w:bookmarkStart w:id="252" w:name="_Toc200513174"/>
      <w:bookmarkStart w:id="253" w:name="_Toc430530483"/>
      <w:bookmarkStart w:id="254" w:name="_Toc287620733"/>
      <w:bookmarkStart w:id="255" w:name="_Toc14890"/>
      <w:bookmarkStart w:id="256" w:name="_Toc224103365"/>
      <w:bookmarkStart w:id="257" w:name="_Toc277082600"/>
      <w:r>
        <w:rPr>
          <w:rFonts w:hint="eastAsia" w:ascii="宋体" w:hAnsi="宋体" w:eastAsia="宋体" w:cs="宋体"/>
          <w:b w:val="0"/>
          <w:bCs/>
          <w:snapToGrid w:val="0"/>
          <w:color w:val="auto"/>
          <w:kern w:val="2"/>
          <w:sz w:val="21"/>
          <w:szCs w:val="21"/>
          <w:highlight w:val="none"/>
          <w:lang w:val="en-US" w:eastAsia="zh-CN" w:bidi="ar-SA"/>
        </w:rPr>
        <w:t>9.2  对投标人的纪律要求</w:t>
      </w:r>
      <w:bookmarkEnd w:id="250"/>
      <w:bookmarkEnd w:id="251"/>
      <w:bookmarkEnd w:id="252"/>
      <w:bookmarkEnd w:id="253"/>
      <w:bookmarkEnd w:id="254"/>
      <w:bookmarkEnd w:id="255"/>
      <w:bookmarkEnd w:id="256"/>
      <w:bookmarkEnd w:id="257"/>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投标人不得相互串通投标或者与</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串通投标，不得向</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或者评标委员会成员行贿谋取中标，不得以他人名义投标或者以其他方式弄虚作假骗取中标；投标人不得以任何方式干扰、影响评标工作。</w:t>
      </w:r>
      <w:r>
        <w:rPr>
          <w:rFonts w:hint="eastAsia" w:ascii="宋体" w:hAnsi="宋体" w:eastAsia="宋体" w:cs="宋体"/>
          <w:color w:val="auto"/>
          <w:sz w:val="21"/>
          <w:szCs w:val="21"/>
          <w:highlight w:val="none"/>
        </w:rPr>
        <w:t>有下列情形之一的，属于投标人相互串通投标：</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（1）投标人之间协商投标报价等投标文件的实质性内容；</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（2）投标人之间约定中标人；</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（3）投标人之间约定部分投标人放弃投标或者中标；</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（4）属于同一集团、协会、商会等组织成员的投标人按照该组织要求协同投标；</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（5）投标人之间为谋取中标或者排斥特定投标人而采取的其他联合行动。</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有下列情形之一的，视为投标人相互串通投标：</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（1）不同投标人的投标文件由同一单位或者个人编制；</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（2）不同投标人委托同一单位或者个人办理投标事宜；</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（3）不同投标人的投标文件载明的项目管理成员为同一人；</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（4）不同投标人的投标文件异常一致或者投标报价呈规律性差异；</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（5）不同投标人的投标文件相互混装；</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（6）不同投标人的投标保证金从同一单位或者个人的账户转出。</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使用通过受让或者租借等方式获取的资格、资质证书投标的，属于以他人名义投标。</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投标人有下列情形之一的，属于以其他方式弄虚作假的行为：</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（一）使用伪造、变造的许可证件；</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（二）提供虚假的财务状况或者业绩；</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（三）提供虚假的项目负责人或者主要技术人员简历、劳动关系证明；</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（四）提供虚假的信用状况；</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z w:val="21"/>
          <w:szCs w:val="21"/>
          <w:highlight w:val="none"/>
        </w:rPr>
        <w:t>（五）其他弄虚作假的行为。</w:t>
      </w:r>
    </w:p>
    <w:p>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58" w:name="_Toc287607795"/>
      <w:bookmarkStart w:id="259" w:name="_Toc430530484"/>
      <w:bookmarkStart w:id="260" w:name="_Toc277082601"/>
      <w:bookmarkStart w:id="261" w:name="_Toc224103366"/>
      <w:bookmarkStart w:id="262" w:name="_Toc20024"/>
      <w:bookmarkStart w:id="263" w:name="_Toc200513175"/>
      <w:bookmarkStart w:id="264" w:name="_Toc287620734"/>
      <w:bookmarkStart w:id="265" w:name="_Toc509218759"/>
      <w:r>
        <w:rPr>
          <w:rFonts w:hint="eastAsia" w:ascii="宋体" w:hAnsi="宋体" w:eastAsia="宋体" w:cs="宋体"/>
          <w:b w:val="0"/>
          <w:bCs/>
          <w:snapToGrid w:val="0"/>
          <w:color w:val="auto"/>
          <w:kern w:val="2"/>
          <w:sz w:val="21"/>
          <w:szCs w:val="21"/>
          <w:highlight w:val="none"/>
          <w:lang w:val="en-US" w:eastAsia="zh-CN" w:bidi="ar-SA"/>
        </w:rPr>
        <w:t>9.3  对评标委员会成员的纪律要求</w:t>
      </w:r>
      <w:bookmarkEnd w:id="258"/>
      <w:bookmarkEnd w:id="259"/>
      <w:bookmarkEnd w:id="260"/>
      <w:bookmarkEnd w:id="261"/>
      <w:bookmarkEnd w:id="262"/>
      <w:bookmarkEnd w:id="263"/>
      <w:bookmarkEnd w:id="264"/>
      <w:bookmarkEnd w:id="265"/>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66" w:name="_Toc277082602"/>
      <w:bookmarkStart w:id="267" w:name="_Toc224103367"/>
      <w:bookmarkStart w:id="268" w:name="_Toc430530485"/>
      <w:bookmarkStart w:id="269" w:name="_Toc287607796"/>
      <w:bookmarkStart w:id="270" w:name="_Toc287620735"/>
      <w:bookmarkStart w:id="271" w:name="_Toc509218760"/>
      <w:bookmarkStart w:id="272" w:name="_Toc200513176"/>
      <w:bookmarkStart w:id="273" w:name="_Toc1608"/>
      <w:r>
        <w:rPr>
          <w:rFonts w:hint="eastAsia" w:ascii="宋体" w:hAnsi="宋体" w:eastAsia="宋体" w:cs="宋体"/>
          <w:b w:val="0"/>
          <w:bCs/>
          <w:snapToGrid w:val="0"/>
          <w:color w:val="auto"/>
          <w:kern w:val="2"/>
          <w:sz w:val="21"/>
          <w:szCs w:val="21"/>
          <w:highlight w:val="none"/>
          <w:lang w:val="en-US" w:eastAsia="zh-CN" w:bidi="ar-SA"/>
        </w:rPr>
        <w:t>9.4  对与评标活动有关的工作人员的纪律要求</w:t>
      </w:r>
      <w:bookmarkEnd w:id="266"/>
      <w:bookmarkEnd w:id="267"/>
      <w:bookmarkEnd w:id="268"/>
      <w:bookmarkEnd w:id="269"/>
      <w:bookmarkEnd w:id="270"/>
      <w:bookmarkEnd w:id="271"/>
      <w:bookmarkEnd w:id="272"/>
      <w:bookmarkEnd w:id="273"/>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74" w:name="_Toc509218761"/>
      <w:bookmarkStart w:id="275" w:name="_Toc430530486"/>
      <w:bookmarkStart w:id="276" w:name="_Toc287607797"/>
      <w:bookmarkStart w:id="277" w:name="_Toc200513177"/>
      <w:bookmarkStart w:id="278" w:name="_Toc224103368"/>
      <w:bookmarkStart w:id="279" w:name="_Toc2907"/>
      <w:bookmarkStart w:id="280" w:name="_Toc277082603"/>
      <w:bookmarkStart w:id="281" w:name="_Toc287620736"/>
      <w:r>
        <w:rPr>
          <w:rFonts w:hint="eastAsia" w:ascii="宋体" w:hAnsi="宋体" w:eastAsia="宋体" w:cs="宋体"/>
          <w:b w:val="0"/>
          <w:bCs/>
          <w:snapToGrid w:val="0"/>
          <w:color w:val="auto"/>
          <w:kern w:val="2"/>
          <w:sz w:val="21"/>
          <w:szCs w:val="21"/>
          <w:highlight w:val="none"/>
          <w:lang w:val="en-US" w:eastAsia="zh-CN" w:bidi="ar-SA"/>
        </w:rPr>
        <w:t>9.5  投诉</w:t>
      </w:r>
      <w:bookmarkEnd w:id="274"/>
      <w:bookmarkEnd w:id="275"/>
      <w:bookmarkEnd w:id="276"/>
      <w:bookmarkEnd w:id="277"/>
      <w:bookmarkEnd w:id="278"/>
      <w:bookmarkEnd w:id="279"/>
      <w:bookmarkEnd w:id="280"/>
      <w:bookmarkEnd w:id="281"/>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投标人和其他利害关系人认为本次招标活动违反法律、法规和规章规定的，有权向有关行政监督部门投诉。</w:t>
      </w:r>
    </w:p>
    <w:p>
      <w:pPr>
        <w:keepNext/>
        <w:keepLines/>
        <w:pageBreakBefore w:val="0"/>
        <w:widowControl w:val="0"/>
        <w:kinsoku/>
        <w:wordWrap/>
        <w:overflowPunct/>
        <w:topLinePunct w:val="0"/>
        <w:bidi w:val="0"/>
        <w:spacing w:before="0" w:after="0" w:line="360" w:lineRule="auto"/>
        <w:ind w:firstLine="420" w:firstLineChars="200"/>
        <w:jc w:val="both"/>
        <w:textAlignment w:val="auto"/>
        <w:outlineLvl w:val="9"/>
        <w:rPr>
          <w:rFonts w:hint="eastAsia" w:ascii="宋体" w:hAnsi="宋体" w:eastAsia="宋体" w:cs="宋体"/>
          <w:b w:val="0"/>
          <w:bCs/>
          <w:snapToGrid w:val="0"/>
          <w:color w:val="auto"/>
          <w:kern w:val="2"/>
          <w:sz w:val="21"/>
          <w:szCs w:val="21"/>
          <w:highlight w:val="none"/>
          <w:lang w:val="en-US" w:eastAsia="zh-CN" w:bidi="ar-SA"/>
        </w:rPr>
      </w:pPr>
      <w:bookmarkStart w:id="282" w:name="_Toc200513178"/>
      <w:bookmarkStart w:id="283" w:name="_Toc287607798"/>
      <w:bookmarkStart w:id="284" w:name="_Toc224103369"/>
      <w:bookmarkStart w:id="285" w:name="_Toc36043738"/>
      <w:bookmarkStart w:id="286" w:name="_Toc277082604"/>
      <w:bookmarkStart w:id="287" w:name="_Toc430530487"/>
      <w:bookmarkStart w:id="288" w:name="_Toc287620737"/>
      <w:bookmarkStart w:id="289" w:name="_Toc509218762"/>
      <w:r>
        <w:rPr>
          <w:rFonts w:hint="eastAsia" w:ascii="宋体" w:hAnsi="宋体" w:eastAsia="宋体" w:cs="宋体"/>
          <w:b w:val="0"/>
          <w:bCs/>
          <w:snapToGrid w:val="0"/>
          <w:color w:val="auto"/>
          <w:kern w:val="2"/>
          <w:sz w:val="21"/>
          <w:szCs w:val="21"/>
          <w:highlight w:val="none"/>
          <w:lang w:val="en-US" w:eastAsia="zh-CN" w:bidi="ar-SA"/>
        </w:rPr>
        <w:t>10. 需要补充的其他内容</w:t>
      </w:r>
      <w:bookmarkEnd w:id="282"/>
      <w:bookmarkEnd w:id="283"/>
      <w:bookmarkEnd w:id="284"/>
      <w:bookmarkEnd w:id="285"/>
      <w:bookmarkEnd w:id="286"/>
      <w:bookmarkEnd w:id="287"/>
      <w:bookmarkEnd w:id="288"/>
      <w:bookmarkEnd w:id="289"/>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需要补充的其他内容：见投标人须知前附表。</w:t>
      </w:r>
    </w:p>
    <w:p>
      <w:pPr>
        <w:spacing w:line="360" w:lineRule="auto"/>
        <w:ind w:firstLine="240" w:firstLineChars="100"/>
        <w:rPr>
          <w:rFonts w:ascii="宋体" w:hAnsi="宋体" w:eastAsia="宋体" w:cs="宋体"/>
          <w:color w:val="auto"/>
          <w:sz w:val="24"/>
          <w:highlight w:val="none"/>
        </w:rPr>
        <w:sectPr>
          <w:pgSz w:w="11906" w:h="16838"/>
          <w:pgMar w:top="1134" w:right="1418" w:bottom="1134" w:left="1418" w:header="851" w:footer="992" w:gutter="0"/>
          <w:cols w:space="720" w:num="1"/>
          <w:docGrid w:type="lines" w:linePitch="312" w:charSpace="0"/>
        </w:sectPr>
      </w:pPr>
    </w:p>
    <w:p>
      <w:pPr>
        <w:pStyle w:val="3"/>
        <w:spacing w:line="360" w:lineRule="auto"/>
        <w:ind w:firstLine="883" w:firstLineChars="200"/>
        <w:jc w:val="center"/>
        <w:rPr>
          <w:rFonts w:ascii="宋体" w:hAnsi="宋体"/>
          <w:highlight w:val="none"/>
        </w:rPr>
      </w:pPr>
      <w:bookmarkStart w:id="290" w:name="_Toc509218774"/>
      <w:bookmarkStart w:id="291" w:name="_Toc6128"/>
      <w:bookmarkStart w:id="292" w:name="_Toc5770"/>
      <w:bookmarkStart w:id="293" w:name="_Toc4335"/>
      <w:bookmarkStart w:id="294" w:name="_Toc224103384"/>
      <w:bookmarkStart w:id="295" w:name="_Toc287607812"/>
      <w:bookmarkStart w:id="296" w:name="_Toc277082618"/>
      <w:bookmarkStart w:id="297" w:name="_Toc430530500"/>
      <w:bookmarkStart w:id="298" w:name="_Toc200513198"/>
      <w:bookmarkStart w:id="299" w:name="_Toc287620751"/>
      <w:r>
        <w:rPr>
          <w:rFonts w:ascii="宋体" w:hAnsi="宋体"/>
          <w:highlight w:val="none"/>
        </w:rPr>
        <w:t xml:space="preserve">第三章 </w:t>
      </w:r>
      <w:r>
        <w:rPr>
          <w:rFonts w:hint="eastAsia" w:ascii="宋体" w:hAnsi="宋体"/>
          <w:highlight w:val="none"/>
        </w:rPr>
        <w:t xml:space="preserve"> </w:t>
      </w:r>
      <w:r>
        <w:rPr>
          <w:rFonts w:ascii="宋体" w:hAnsi="宋体"/>
          <w:highlight w:val="none"/>
        </w:rPr>
        <w:t>评标办法（</w:t>
      </w:r>
      <w:r>
        <w:rPr>
          <w:rFonts w:hint="eastAsia" w:ascii="宋体" w:hAnsi="宋体"/>
          <w:snapToGrid w:val="0"/>
          <w:color w:val="auto"/>
          <w:kern w:val="0"/>
          <w:highlight w:val="none"/>
        </w:rPr>
        <w:t>经评审的最低投标价法</w:t>
      </w:r>
      <w:r>
        <w:rPr>
          <w:rFonts w:ascii="宋体" w:hAnsi="宋体"/>
          <w:highlight w:val="none"/>
        </w:rPr>
        <w:t>）</w:t>
      </w:r>
      <w:bookmarkEnd w:id="290"/>
      <w:bookmarkEnd w:id="291"/>
      <w:bookmarkEnd w:id="292"/>
      <w:bookmarkEnd w:id="293"/>
      <w:bookmarkStart w:id="300" w:name="_Toc430530499"/>
      <w:bookmarkStart w:id="301" w:name="_Toc277082617"/>
      <w:bookmarkStart w:id="302" w:name="_Toc287620750"/>
      <w:bookmarkStart w:id="303" w:name="_Toc224103383"/>
      <w:bookmarkStart w:id="304" w:name="_Toc287607811"/>
    </w:p>
    <w:p>
      <w:pPr>
        <w:pStyle w:val="4"/>
        <w:spacing w:before="100" w:after="100" w:line="360" w:lineRule="auto"/>
        <w:rPr>
          <w:rFonts w:ascii="宋体" w:hAnsi="宋体"/>
          <w:highlight w:val="none"/>
        </w:rPr>
      </w:pPr>
      <w:bookmarkStart w:id="305" w:name="_Toc509218775"/>
      <w:bookmarkStart w:id="306" w:name="_Toc32566"/>
      <w:bookmarkStart w:id="307" w:name="_Toc14663"/>
      <w:r>
        <w:rPr>
          <w:rFonts w:hint="eastAsia" w:ascii="宋体" w:hAnsi="宋体"/>
          <w:highlight w:val="none"/>
        </w:rPr>
        <w:t>评标办法前附表</w:t>
      </w:r>
      <w:bookmarkEnd w:id="305"/>
      <w:bookmarkEnd w:id="306"/>
      <w:bookmarkEnd w:id="307"/>
    </w:p>
    <w:p>
      <w:pPr>
        <w:spacing w:line="360" w:lineRule="auto"/>
        <w:ind w:firstLine="420" w:firstLineChars="200"/>
        <w:rPr>
          <w:szCs w:val="21"/>
          <w:highlight w:val="none"/>
        </w:rPr>
      </w:pPr>
      <w:r>
        <w:rPr>
          <w:szCs w:val="21"/>
          <w:highlight w:val="none"/>
        </w:rPr>
        <w:t>评标办法中的评审内容必须和</w:t>
      </w:r>
      <w:r>
        <w:rPr>
          <w:rFonts w:hint="eastAsia"/>
          <w:szCs w:val="21"/>
          <w:highlight w:val="none"/>
          <w:lang w:eastAsia="zh-CN"/>
        </w:rPr>
        <w:t>竞选人</w:t>
      </w:r>
      <w:r>
        <w:rPr>
          <w:szCs w:val="21"/>
          <w:highlight w:val="none"/>
        </w:rPr>
        <w:t>须知中的对应内容一致，若</w:t>
      </w:r>
      <w:r>
        <w:rPr>
          <w:rFonts w:hint="eastAsia"/>
          <w:szCs w:val="21"/>
          <w:highlight w:val="none"/>
          <w:lang w:eastAsia="zh-CN"/>
        </w:rPr>
        <w:t>竞选人</w:t>
      </w:r>
      <w:r>
        <w:rPr>
          <w:szCs w:val="21"/>
          <w:highlight w:val="none"/>
        </w:rPr>
        <w:t>须知中未作要求的内容，不得列入评标办法作为评定依据。</w:t>
      </w:r>
    </w:p>
    <w:bookmarkEnd w:id="300"/>
    <w:bookmarkEnd w:id="301"/>
    <w:bookmarkEnd w:id="302"/>
    <w:bookmarkEnd w:id="303"/>
    <w:bookmarkEnd w:id="304"/>
    <w:tbl>
      <w:tblPr>
        <w:tblStyle w:val="46"/>
        <w:tblW w:w="96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67"/>
        <w:gridCol w:w="4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1243" w:type="dxa"/>
            <w:tcBorders>
              <w:right w:val="single" w:color="auto" w:sz="4" w:space="0"/>
            </w:tcBorders>
            <w:vAlign w:val="center"/>
          </w:tcPr>
          <w:p>
            <w:pPr>
              <w:spacing w:line="400" w:lineRule="exact"/>
              <w:jc w:val="center"/>
              <w:rPr>
                <w:rFonts w:ascii="宋体" w:hAnsi="宋体"/>
                <w:b/>
                <w:color w:val="auto"/>
                <w:kern w:val="0"/>
                <w:highlight w:val="none"/>
              </w:rPr>
            </w:pPr>
            <w:bookmarkStart w:id="308" w:name="_Toc509218776"/>
            <w:r>
              <w:rPr>
                <w:rFonts w:ascii="宋体" w:hAnsi="宋体"/>
                <w:b/>
                <w:color w:val="auto"/>
                <w:kern w:val="0"/>
                <w:highlight w:val="none"/>
              </w:rPr>
              <w:t>条款号</w:t>
            </w:r>
          </w:p>
        </w:tc>
        <w:tc>
          <w:tcPr>
            <w:tcW w:w="1560" w:type="dxa"/>
            <w:tcBorders>
              <w:left w:val="single" w:color="auto" w:sz="4" w:space="0"/>
            </w:tcBorders>
            <w:vAlign w:val="center"/>
          </w:tcPr>
          <w:p>
            <w:pPr>
              <w:spacing w:line="400" w:lineRule="exact"/>
              <w:jc w:val="center"/>
              <w:rPr>
                <w:rFonts w:ascii="宋体" w:hAnsi="宋体"/>
                <w:b/>
                <w:color w:val="auto"/>
                <w:kern w:val="0"/>
                <w:highlight w:val="none"/>
              </w:rPr>
            </w:pPr>
            <w:r>
              <w:rPr>
                <w:rFonts w:ascii="宋体" w:hAnsi="宋体"/>
                <w:b/>
                <w:color w:val="auto"/>
                <w:kern w:val="0"/>
                <w:highlight w:val="none"/>
              </w:rPr>
              <w:t>评审因素</w:t>
            </w:r>
          </w:p>
        </w:tc>
        <w:tc>
          <w:tcPr>
            <w:tcW w:w="6882" w:type="dxa"/>
            <w:gridSpan w:val="2"/>
            <w:vAlign w:val="center"/>
          </w:tcPr>
          <w:p>
            <w:pPr>
              <w:spacing w:line="400" w:lineRule="exact"/>
              <w:jc w:val="center"/>
              <w:rPr>
                <w:rFonts w:ascii="宋体" w:hAnsi="宋体"/>
                <w:b/>
                <w:color w:val="auto"/>
                <w:kern w:val="0"/>
                <w:highlight w:val="none"/>
              </w:rPr>
            </w:pPr>
            <w:r>
              <w:rPr>
                <w:rFonts w:ascii="宋体" w:hAnsi="宋体"/>
                <w:b/>
                <w:color w:val="auto"/>
                <w:kern w:val="0"/>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tcBorders>
              <w:right w:val="single" w:color="auto" w:sz="4" w:space="0"/>
            </w:tcBorders>
            <w:vAlign w:val="center"/>
          </w:tcPr>
          <w:p>
            <w:pPr>
              <w:pStyle w:val="87"/>
              <w:spacing w:line="400" w:lineRule="exact"/>
              <w:ind w:firstLine="420"/>
              <w:rPr>
                <w:color w:val="auto"/>
                <w:sz w:val="21"/>
                <w:szCs w:val="21"/>
                <w:highlight w:val="none"/>
              </w:rPr>
            </w:pPr>
            <w:r>
              <w:rPr>
                <w:color w:val="auto"/>
                <w:sz w:val="21"/>
                <w:szCs w:val="21"/>
                <w:highlight w:val="none"/>
              </w:rPr>
              <w:t>1</w:t>
            </w:r>
          </w:p>
        </w:tc>
        <w:tc>
          <w:tcPr>
            <w:tcW w:w="1560" w:type="dxa"/>
            <w:tcBorders>
              <w:left w:val="single" w:color="auto" w:sz="4" w:space="0"/>
            </w:tcBorders>
            <w:vAlign w:val="center"/>
          </w:tcPr>
          <w:p>
            <w:pPr>
              <w:pStyle w:val="87"/>
              <w:spacing w:line="400" w:lineRule="exact"/>
              <w:ind w:firstLine="0" w:firstLineChars="0"/>
              <w:jc w:val="center"/>
              <w:rPr>
                <w:color w:val="auto"/>
                <w:sz w:val="21"/>
                <w:szCs w:val="21"/>
                <w:highlight w:val="none"/>
              </w:rPr>
            </w:pPr>
            <w:r>
              <w:rPr>
                <w:rFonts w:hint="eastAsia"/>
                <w:color w:val="auto"/>
                <w:sz w:val="21"/>
                <w:szCs w:val="21"/>
                <w:highlight w:val="none"/>
              </w:rPr>
              <w:t>评标办法</w:t>
            </w:r>
          </w:p>
        </w:tc>
        <w:tc>
          <w:tcPr>
            <w:tcW w:w="6882" w:type="dxa"/>
            <w:gridSpan w:val="2"/>
            <w:vAlign w:val="center"/>
          </w:tcPr>
          <w:p>
            <w:pPr>
              <w:spacing w:line="400" w:lineRule="exact"/>
              <w:ind w:firstLine="436" w:firstLineChars="200"/>
              <w:rPr>
                <w:rFonts w:ascii="宋体" w:hAnsi="宋体"/>
                <w:color w:val="auto"/>
                <w:spacing w:val="4"/>
                <w:kern w:val="0"/>
                <w:szCs w:val="21"/>
                <w:highlight w:val="none"/>
              </w:rPr>
            </w:pPr>
            <w:r>
              <w:rPr>
                <w:rFonts w:hint="eastAsia" w:ascii="宋体" w:hAnsi="宋体"/>
                <w:color w:val="auto"/>
                <w:spacing w:val="4"/>
                <w:kern w:val="0"/>
                <w:szCs w:val="21"/>
                <w:highlight w:val="none"/>
              </w:rPr>
              <w:t>本次评标采用经评审的最低投标价法，评标委员会按照本章第2.1款进行报价排序，按照本章第2.2款进行符合性审查，符合性审查合格的</w:t>
            </w:r>
            <w:r>
              <w:rPr>
                <w:rFonts w:hint="eastAsia" w:ascii="宋体" w:hAnsi="宋体"/>
                <w:color w:val="auto"/>
                <w:spacing w:val="4"/>
                <w:kern w:val="0"/>
                <w:szCs w:val="21"/>
                <w:highlight w:val="none"/>
                <w:lang w:eastAsia="zh-CN"/>
              </w:rPr>
              <w:t>竞选人</w:t>
            </w:r>
            <w:r>
              <w:rPr>
                <w:rFonts w:hint="eastAsia" w:ascii="宋体" w:hAnsi="宋体"/>
                <w:color w:val="auto"/>
                <w:spacing w:val="4"/>
                <w:kern w:val="0"/>
                <w:szCs w:val="21"/>
                <w:highlight w:val="none"/>
              </w:rPr>
              <w:t>中按报价由低到高推荐中标候选人，或根据</w:t>
            </w:r>
            <w:r>
              <w:rPr>
                <w:rFonts w:hint="eastAsia" w:ascii="宋体" w:hAnsi="宋体"/>
                <w:color w:val="auto"/>
                <w:spacing w:val="4"/>
                <w:kern w:val="0"/>
                <w:szCs w:val="21"/>
                <w:highlight w:val="none"/>
                <w:lang w:eastAsia="zh-CN"/>
              </w:rPr>
              <w:t>比选人</w:t>
            </w:r>
            <w:r>
              <w:rPr>
                <w:rFonts w:hint="eastAsia" w:ascii="宋体" w:hAnsi="宋体"/>
                <w:color w:val="auto"/>
                <w:spacing w:val="4"/>
                <w:kern w:val="0"/>
                <w:szCs w:val="21"/>
                <w:highlight w:val="none"/>
              </w:rPr>
              <w:t>授权直接确定中标人。若出现</w:t>
            </w:r>
            <w:r>
              <w:rPr>
                <w:rFonts w:hint="eastAsia" w:ascii="宋体" w:hAnsi="宋体"/>
                <w:color w:val="auto"/>
                <w:spacing w:val="4"/>
                <w:kern w:val="0"/>
                <w:szCs w:val="21"/>
                <w:highlight w:val="none"/>
                <w:lang w:eastAsia="zh-CN"/>
              </w:rPr>
              <w:t>竞选人</w:t>
            </w:r>
            <w:r>
              <w:rPr>
                <w:rFonts w:hint="eastAsia" w:ascii="宋体" w:hAnsi="宋体"/>
                <w:color w:val="auto"/>
                <w:spacing w:val="4"/>
                <w:kern w:val="0"/>
                <w:szCs w:val="21"/>
                <w:highlight w:val="none"/>
              </w:rPr>
              <w:t>投标报价相同的，以“</w:t>
            </w:r>
            <w:r>
              <w:rPr>
                <w:rFonts w:hint="eastAsia" w:ascii="宋体" w:hAnsi="宋体"/>
                <w:color w:val="auto"/>
                <w:spacing w:val="4"/>
                <w:kern w:val="0"/>
                <w:szCs w:val="21"/>
                <w:highlight w:val="none"/>
                <w:lang w:eastAsia="zh-CN"/>
              </w:rPr>
              <w:t>竞选人</w:t>
            </w:r>
            <w:r>
              <w:rPr>
                <w:rFonts w:hint="eastAsia" w:ascii="宋体" w:hAnsi="宋体"/>
                <w:color w:val="auto"/>
                <w:spacing w:val="4"/>
                <w:kern w:val="0"/>
                <w:szCs w:val="21"/>
                <w:highlight w:val="none"/>
              </w:rPr>
              <w:t>在红名单中优先”的原则排序（联合体投标的，须联合体牵头人在红名单中），</w:t>
            </w:r>
            <w:r>
              <w:rPr>
                <w:rFonts w:hint="eastAsia" w:ascii="宋体" w:hAnsi="宋体"/>
                <w:color w:val="auto"/>
                <w:spacing w:val="4"/>
                <w:kern w:val="0"/>
                <w:szCs w:val="21"/>
                <w:highlight w:val="none"/>
                <w:lang w:eastAsia="zh-CN"/>
              </w:rPr>
              <w:t>竞选人</w:t>
            </w:r>
            <w:r>
              <w:rPr>
                <w:rFonts w:hint="eastAsia" w:ascii="宋体" w:hAnsi="宋体"/>
                <w:color w:val="auto"/>
                <w:spacing w:val="4"/>
                <w:kern w:val="0"/>
                <w:szCs w:val="21"/>
                <w:highlight w:val="none"/>
              </w:rPr>
              <w:t>是否属于红名单，以开标环节信用状况查询结果为准；</w:t>
            </w:r>
            <w:r>
              <w:rPr>
                <w:rFonts w:hint="eastAsia" w:ascii="宋体" w:hAnsi="宋体"/>
                <w:color w:val="auto"/>
                <w:spacing w:val="4"/>
                <w:kern w:val="0"/>
                <w:szCs w:val="21"/>
                <w:highlight w:val="none"/>
                <w:lang w:eastAsia="zh-CN"/>
              </w:rPr>
              <w:t>竞选人</w:t>
            </w:r>
            <w:r>
              <w:rPr>
                <w:rFonts w:hint="eastAsia" w:ascii="宋体" w:hAnsi="宋体"/>
                <w:color w:val="auto"/>
                <w:spacing w:val="4"/>
                <w:kern w:val="0"/>
                <w:szCs w:val="21"/>
                <w:highlight w:val="none"/>
              </w:rPr>
              <w:t>均在红名单中或均不在红名单中的，由评标委员会按照</w:t>
            </w:r>
            <w:r>
              <w:rPr>
                <w:rFonts w:hint="eastAsia" w:ascii="宋体" w:hAnsi="宋体"/>
                <w:color w:val="auto"/>
                <w:spacing w:val="4"/>
                <w:kern w:val="0"/>
                <w:szCs w:val="21"/>
                <w:highlight w:val="none"/>
                <w:u w:val="single"/>
              </w:rPr>
              <w:t xml:space="preserve">  </w:t>
            </w:r>
            <w:r>
              <w:rPr>
                <w:rFonts w:hint="eastAsia" w:ascii="宋体" w:hAnsi="宋体"/>
                <w:color w:val="auto"/>
                <w:spacing w:val="4"/>
                <w:kern w:val="0"/>
                <w:szCs w:val="21"/>
                <w:highlight w:val="none"/>
                <w:u w:val="single"/>
                <w:lang w:val="en-US" w:eastAsia="zh-CN"/>
              </w:rPr>
              <w:t>投标表决</w:t>
            </w:r>
            <w:r>
              <w:rPr>
                <w:rFonts w:hint="eastAsia" w:ascii="宋体" w:hAnsi="宋体"/>
                <w:color w:val="auto"/>
                <w:spacing w:val="4"/>
                <w:kern w:val="0"/>
                <w:szCs w:val="21"/>
                <w:highlight w:val="none"/>
                <w:u w:val="single"/>
              </w:rPr>
              <w:t xml:space="preserve">  </w:t>
            </w:r>
            <w:r>
              <w:rPr>
                <w:rFonts w:hint="eastAsia" w:ascii="宋体" w:hAnsi="宋体"/>
                <w:color w:val="auto"/>
                <w:spacing w:val="4"/>
                <w:kern w:val="0"/>
                <w:szCs w:val="21"/>
                <w:highlight w:val="none"/>
              </w:rPr>
              <w:t>原则排序。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tcBorders>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2.1</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ascii="宋体" w:hAnsi="宋体"/>
                <w:color w:val="auto"/>
                <w:kern w:val="0"/>
                <w:highlight w:val="none"/>
              </w:rPr>
              <w:t>报价</w:t>
            </w:r>
            <w:r>
              <w:rPr>
                <w:rFonts w:hint="eastAsia" w:ascii="宋体" w:hAnsi="宋体"/>
                <w:color w:val="auto"/>
                <w:kern w:val="0"/>
                <w:highlight w:val="none"/>
              </w:rPr>
              <w:t>排序</w:t>
            </w:r>
          </w:p>
        </w:tc>
        <w:tc>
          <w:tcPr>
            <w:tcW w:w="6882" w:type="dxa"/>
            <w:gridSpan w:val="2"/>
            <w:tcBorders>
              <w:left w:val="single" w:color="auto" w:sz="4" w:space="0"/>
            </w:tcBorders>
            <w:vAlign w:val="center"/>
          </w:tcPr>
          <w:p>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对报价不高于最高限价的所有</w:t>
            </w:r>
            <w:r>
              <w:rPr>
                <w:rFonts w:hint="eastAsia" w:ascii="宋体" w:hAnsi="宋体"/>
                <w:color w:val="auto"/>
                <w:kern w:val="0"/>
                <w:highlight w:val="none"/>
                <w:lang w:eastAsia="zh-CN"/>
              </w:rPr>
              <w:t>竞选人</w:t>
            </w:r>
            <w:r>
              <w:rPr>
                <w:rFonts w:hint="eastAsia" w:ascii="宋体" w:hAnsi="宋体"/>
                <w:color w:val="auto"/>
                <w:kern w:val="0"/>
                <w:highlight w:val="none"/>
              </w:rPr>
              <w:t>的投标文件，按照报价由低到高的顺序排列。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tcBorders>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2.2</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符合性审查</w:t>
            </w:r>
          </w:p>
        </w:tc>
        <w:tc>
          <w:tcPr>
            <w:tcW w:w="6882" w:type="dxa"/>
            <w:gridSpan w:val="2"/>
            <w:tcBorders>
              <w:left w:val="single" w:color="auto" w:sz="4" w:space="0"/>
            </w:tcBorders>
            <w:vAlign w:val="center"/>
          </w:tcPr>
          <w:p>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取报价排序前</w:t>
            </w:r>
            <w:r>
              <w:rPr>
                <w:rFonts w:hint="eastAsia" w:ascii="宋体" w:hAnsi="宋体"/>
                <w:color w:val="auto"/>
                <w:kern w:val="0"/>
                <w:highlight w:val="none"/>
                <w:lang w:eastAsia="zh-CN"/>
              </w:rPr>
              <w:t>☑</w:t>
            </w:r>
            <w:r>
              <w:rPr>
                <w:rFonts w:hint="eastAsia" w:ascii="宋体" w:hAnsi="宋体"/>
                <w:color w:val="auto"/>
                <w:kern w:val="0"/>
                <w:highlight w:val="none"/>
              </w:rPr>
              <w:t>5名（若实际</w:t>
            </w:r>
            <w:r>
              <w:rPr>
                <w:rFonts w:hint="eastAsia" w:ascii="宋体" w:hAnsi="宋体"/>
                <w:color w:val="auto"/>
                <w:kern w:val="0"/>
                <w:highlight w:val="none"/>
                <w:lang w:eastAsia="zh-CN"/>
              </w:rPr>
              <w:t>竞选人</w:t>
            </w:r>
            <w:r>
              <w:rPr>
                <w:rFonts w:hint="eastAsia" w:ascii="宋体" w:hAnsi="宋体"/>
                <w:color w:val="auto"/>
                <w:kern w:val="0"/>
                <w:highlight w:val="none"/>
              </w:rPr>
              <w:t>数量小于勾选数量，</w:t>
            </w:r>
            <w:r>
              <w:rPr>
                <w:rFonts w:hint="eastAsia" w:ascii="宋体" w:hAnsi="宋体"/>
                <w:color w:val="auto"/>
                <w:spacing w:val="4"/>
                <w:kern w:val="0"/>
                <w:szCs w:val="21"/>
                <w:highlight w:val="none"/>
              </w:rPr>
              <w:t>则全部纳入）进行符合性审查。符合性审查内容：资格评审、形式评审、响应性评审。符合性审查</w:t>
            </w:r>
            <w:r>
              <w:rPr>
                <w:rFonts w:hint="eastAsia" w:ascii="宋体" w:hAnsi="宋体"/>
                <w:color w:val="auto"/>
                <w:kern w:val="0"/>
                <w:highlight w:val="none"/>
              </w:rPr>
              <w:t>合格的</w:t>
            </w:r>
            <w:r>
              <w:rPr>
                <w:rFonts w:hint="eastAsia" w:ascii="宋体" w:hAnsi="宋体"/>
                <w:color w:val="auto"/>
                <w:kern w:val="0"/>
                <w:highlight w:val="none"/>
                <w:lang w:eastAsia="zh-CN"/>
              </w:rPr>
              <w:t>竞选人</w:t>
            </w:r>
            <w:r>
              <w:rPr>
                <w:rFonts w:hint="eastAsia" w:ascii="宋体" w:hAnsi="宋体"/>
                <w:color w:val="auto"/>
                <w:kern w:val="0"/>
                <w:highlight w:val="none"/>
              </w:rPr>
              <w:t>中，报价最低的成为第一中标候选人，报价次低的成为第二中标候选人，依次类推。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243" w:type="dxa"/>
            <w:vMerge w:val="restart"/>
            <w:tcBorders>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2.2.2</w:t>
            </w:r>
          </w:p>
        </w:tc>
        <w:tc>
          <w:tcPr>
            <w:tcW w:w="1560" w:type="dxa"/>
            <w:vMerge w:val="restart"/>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资格评审标准</w:t>
            </w: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资质条件</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24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营业执照</w:t>
            </w:r>
          </w:p>
        </w:tc>
        <w:tc>
          <w:tcPr>
            <w:tcW w:w="4615" w:type="dxa"/>
            <w:tcBorders>
              <w:top w:val="single" w:color="auto" w:sz="4" w:space="0"/>
              <w:left w:val="single" w:color="auto" w:sz="4" w:space="0"/>
            </w:tcBorders>
            <w:vAlign w:val="center"/>
          </w:tcPr>
          <w:p>
            <w:pPr>
              <w:snapToGrid w:val="0"/>
              <w:spacing w:after="78" w:afterLines="25"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24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安全生产条件</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24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after="78" w:afterLines="25" w:line="400" w:lineRule="exact"/>
              <w:jc w:val="left"/>
              <w:rPr>
                <w:rFonts w:ascii="宋体" w:hAnsi="宋体" w:cs="宋体"/>
                <w:color w:val="auto"/>
                <w:kern w:val="0"/>
                <w:highlight w:val="none"/>
              </w:rPr>
            </w:pPr>
            <w:r>
              <w:rPr>
                <w:rFonts w:hint="eastAsia" w:ascii="宋体" w:hAnsi="宋体" w:cs="宋体"/>
                <w:color w:val="auto"/>
                <w:kern w:val="0"/>
                <w:highlight w:val="none"/>
              </w:rPr>
              <w:t>业绩要求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24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after="78" w:afterLines="25" w:line="400" w:lineRule="exact"/>
              <w:jc w:val="left"/>
              <w:rPr>
                <w:rFonts w:ascii="宋体" w:hAnsi="宋体" w:cs="宋体"/>
                <w:color w:val="auto"/>
                <w:kern w:val="0"/>
                <w:highlight w:val="none"/>
              </w:rPr>
            </w:pPr>
            <w:r>
              <w:rPr>
                <w:rFonts w:hint="eastAsia" w:ascii="宋体" w:hAnsi="宋体" w:cs="宋体"/>
                <w:color w:val="auto"/>
                <w:szCs w:val="21"/>
                <w:highlight w:val="none"/>
              </w:rPr>
              <w:t>投标截止日投标资格情况</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24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项目经理资格要求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24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其他要求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u w:val="singl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restart"/>
            <w:tcBorders>
              <w:right w:val="single" w:color="auto" w:sz="4" w:space="0"/>
            </w:tcBorders>
            <w:vAlign w:val="center"/>
          </w:tcPr>
          <w:p>
            <w:pPr>
              <w:spacing w:line="400" w:lineRule="exact"/>
              <w:jc w:val="center"/>
              <w:rPr>
                <w:rFonts w:ascii="宋体" w:hAnsi="宋体"/>
                <w:color w:val="auto"/>
                <w:kern w:val="0"/>
                <w:highlight w:val="none"/>
              </w:rPr>
            </w:pPr>
            <w:r>
              <w:rPr>
                <w:rFonts w:ascii="宋体" w:hAnsi="宋体"/>
                <w:color w:val="auto"/>
                <w:kern w:val="0"/>
                <w:highlight w:val="none"/>
              </w:rPr>
              <w:t>2.</w:t>
            </w:r>
            <w:r>
              <w:rPr>
                <w:rFonts w:hint="eastAsia" w:ascii="宋体" w:hAnsi="宋体"/>
                <w:color w:val="auto"/>
                <w:kern w:val="0"/>
                <w:highlight w:val="none"/>
              </w:rPr>
              <w:t>2</w:t>
            </w:r>
            <w:r>
              <w:rPr>
                <w:rFonts w:ascii="宋体" w:hAnsi="宋体"/>
                <w:color w:val="auto"/>
                <w:kern w:val="0"/>
                <w:highlight w:val="none"/>
              </w:rPr>
              <w:t>.</w:t>
            </w:r>
            <w:r>
              <w:rPr>
                <w:rFonts w:hint="eastAsia" w:ascii="宋体" w:hAnsi="宋体"/>
                <w:color w:val="auto"/>
                <w:kern w:val="0"/>
                <w:highlight w:val="none"/>
              </w:rPr>
              <w:t>3</w:t>
            </w:r>
          </w:p>
        </w:tc>
        <w:tc>
          <w:tcPr>
            <w:tcW w:w="1560" w:type="dxa"/>
            <w:vMerge w:val="restart"/>
            <w:tcBorders>
              <w:lef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形式评审标准</w:t>
            </w: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lang w:eastAsia="zh-CN"/>
              </w:rPr>
              <w:t>竞选人</w:t>
            </w:r>
            <w:r>
              <w:rPr>
                <w:rFonts w:hint="eastAsia" w:ascii="宋体" w:hAnsi="宋体" w:cs="宋体"/>
                <w:color w:val="auto"/>
                <w:kern w:val="0"/>
                <w:highlight w:val="none"/>
              </w:rPr>
              <w:t>名称</w:t>
            </w:r>
          </w:p>
        </w:tc>
        <w:tc>
          <w:tcPr>
            <w:tcW w:w="4615" w:type="dxa"/>
            <w:tcBorders>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与营业执照、资质证书、安全生产许可证一致，依法变更名称的应提交相应证明材料。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投标函签名盖章</w:t>
            </w:r>
          </w:p>
        </w:tc>
        <w:tc>
          <w:tcPr>
            <w:tcW w:w="4615" w:type="dxa"/>
            <w:tcBorders>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投标函格式规定签名、盖章的位置有法定代表人或其委托代理人签名（或盖章）、加盖单位法人章。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投标文件格式</w:t>
            </w:r>
          </w:p>
        </w:tc>
        <w:tc>
          <w:tcPr>
            <w:tcW w:w="4615" w:type="dxa"/>
            <w:tcBorders>
              <w:left w:val="single" w:color="auto" w:sz="4" w:space="0"/>
            </w:tcBorders>
            <w:vAlign w:val="center"/>
          </w:tcPr>
          <w:p>
            <w:pPr>
              <w:snapToGrid w:val="0"/>
              <w:spacing w:line="400" w:lineRule="exact"/>
              <w:ind w:firstLine="380" w:firstLineChars="181"/>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”第3.7款的要求。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投标文件份数</w:t>
            </w:r>
          </w:p>
        </w:tc>
        <w:tc>
          <w:tcPr>
            <w:tcW w:w="4615" w:type="dxa"/>
            <w:tcBorders>
              <w:left w:val="single" w:color="auto" w:sz="4" w:space="0"/>
            </w:tcBorders>
            <w:vAlign w:val="center"/>
          </w:tcPr>
          <w:p>
            <w:pPr>
              <w:snapToGrid w:val="0"/>
              <w:spacing w:line="400" w:lineRule="exact"/>
              <w:ind w:firstLine="380" w:firstLineChars="181"/>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”第3.7.4项规定。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报价唯一</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只能有一个有效报价。在招标文件没有规定的情况下，不得提交选择性报价。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投标文件的签署</w:t>
            </w:r>
          </w:p>
        </w:tc>
        <w:tc>
          <w:tcPr>
            <w:tcW w:w="4615" w:type="dxa"/>
            <w:tcBorders>
              <w:left w:val="single" w:color="auto" w:sz="4" w:space="0"/>
            </w:tcBorders>
            <w:vAlign w:val="center"/>
          </w:tcPr>
          <w:p>
            <w:pPr>
              <w:autoSpaceDE w:val="0"/>
              <w:autoSpaceDN w:val="0"/>
              <w:adjustRightInd w:val="0"/>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第八章 投标文件格式要求法定代表人或其委托代理人签名（或盖章）的须齐全。</w:t>
            </w:r>
          </w:p>
          <w:p>
            <w:pPr>
              <w:autoSpaceDE w:val="0"/>
              <w:autoSpaceDN w:val="0"/>
              <w:adjustRightInd w:val="0"/>
              <w:snapToGrid w:val="0"/>
              <w:spacing w:line="400" w:lineRule="exact"/>
              <w:ind w:firstLine="420" w:firstLineChars="200"/>
              <w:rPr>
                <w:rFonts w:ascii="宋体" w:hAnsi="宋体" w:cs="宋体"/>
                <w:color w:val="auto"/>
                <w:kern w:val="0"/>
                <w:highlight w:val="none"/>
              </w:rPr>
            </w:pPr>
            <w:r>
              <w:rPr>
                <w:rFonts w:hint="eastAsia" w:ascii="宋体" w:hAnsi="宋体" w:cs="宋体"/>
                <w:snapToGrid w:val="0"/>
                <w:color w:val="auto"/>
                <w:kern w:val="0"/>
                <w:szCs w:val="21"/>
                <w:highlight w:val="none"/>
              </w:rPr>
              <w:t>若投标单位为联合体，则联合体协议书中各联合体各成员单位签名（或盖章）须齐全，联合体协议书以外的</w:t>
            </w:r>
            <w:r>
              <w:rPr>
                <w:rFonts w:hint="eastAsia" w:ascii="宋体" w:hAnsi="宋体" w:cs="宋体"/>
                <w:color w:val="auto"/>
                <w:kern w:val="0"/>
                <w:highlight w:val="none"/>
              </w:rPr>
              <w:t>投标文件格式中，要求</w:t>
            </w:r>
            <w:r>
              <w:rPr>
                <w:rFonts w:hint="eastAsia" w:ascii="宋体" w:hAnsi="宋体" w:cs="宋体"/>
                <w:snapToGrid w:val="0"/>
                <w:color w:val="auto"/>
                <w:kern w:val="0"/>
                <w:szCs w:val="21"/>
                <w:highlight w:val="none"/>
              </w:rPr>
              <w:t>联合体牵头人</w:t>
            </w:r>
            <w:r>
              <w:rPr>
                <w:rFonts w:hint="eastAsia" w:ascii="宋体" w:hAnsi="宋体" w:cs="宋体"/>
                <w:color w:val="auto"/>
                <w:kern w:val="0"/>
                <w:highlight w:val="none"/>
              </w:rPr>
              <w:t>法定代表人或其委托代理人签名（或盖章）的须齐全。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委托代理人</w:t>
            </w:r>
          </w:p>
        </w:tc>
        <w:tc>
          <w:tcPr>
            <w:tcW w:w="4615" w:type="dxa"/>
            <w:tcBorders>
              <w:left w:val="single" w:color="auto" w:sz="4" w:space="0"/>
            </w:tcBorders>
            <w:vAlign w:val="center"/>
          </w:tcPr>
          <w:p>
            <w:pPr>
              <w:snapToGrid w:val="0"/>
              <w:spacing w:after="78" w:afterLines="25"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lang w:eastAsia="zh-CN"/>
              </w:rPr>
              <w:t>竞选人</w:t>
            </w:r>
            <w:r>
              <w:rPr>
                <w:rFonts w:hint="eastAsia" w:ascii="宋体" w:hAnsi="宋体" w:cs="宋体"/>
                <w:color w:val="auto"/>
                <w:kern w:val="0"/>
                <w:highlight w:val="none"/>
              </w:rPr>
              <w:t>法定代表人的委托代理人有法定代表人签署的授权委托书和</w:t>
            </w:r>
            <w:r>
              <w:rPr>
                <w:rFonts w:hint="eastAsia" w:ascii="宋体" w:hAnsi="宋体" w:cs="宋体"/>
                <w:color w:val="auto"/>
                <w:kern w:val="0"/>
                <w:highlight w:val="none"/>
                <w:lang w:eastAsia="zh-CN"/>
              </w:rPr>
              <w:t>竞选人</w:t>
            </w:r>
            <w:r>
              <w:rPr>
                <w:rFonts w:hint="eastAsia" w:ascii="宋体" w:hAnsi="宋体" w:cs="宋体"/>
                <w:color w:val="auto"/>
                <w:kern w:val="0"/>
                <w:highlight w:val="none"/>
              </w:rPr>
              <w:t>为其缴纳的养老保险。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restart"/>
            <w:tcBorders>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2.2.4</w:t>
            </w:r>
          </w:p>
        </w:tc>
        <w:tc>
          <w:tcPr>
            <w:tcW w:w="1560" w:type="dxa"/>
            <w:vMerge w:val="restart"/>
            <w:tcBorders>
              <w:lef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响应性评审标准</w:t>
            </w: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投标总报价</w:t>
            </w:r>
          </w:p>
        </w:tc>
        <w:tc>
          <w:tcPr>
            <w:tcW w:w="4615" w:type="dxa"/>
            <w:tcBorders>
              <w:left w:val="single" w:color="auto" w:sz="4" w:space="0"/>
            </w:tcBorders>
            <w:vAlign w:val="center"/>
          </w:tcPr>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1.投标总报价必须与已标价工程量清单总报价一致。</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投标总报价不得高于</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公布的投标总报价最高限价。</w:t>
            </w:r>
          </w:p>
          <w:p>
            <w:pPr>
              <w:spacing w:line="400" w:lineRule="exac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3.投标总报价低于最高限价85%的，</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应在编制投标文件时，在投标函部分中递交低价风险担保提交承诺书。</w:t>
            </w:r>
            <w:r>
              <w:rPr>
                <w:rFonts w:hint="eastAsia" w:ascii="宋体" w:hAnsi="宋体" w:cs="宋体"/>
                <w:bCs/>
                <w:color w:val="auto"/>
                <w:szCs w:val="21"/>
                <w:highlight w:val="none"/>
              </w:rPr>
              <w:t>承诺书格式详见第八章投标文件格式。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暂定金额</w:t>
            </w:r>
          </w:p>
        </w:tc>
        <w:tc>
          <w:tcPr>
            <w:tcW w:w="4615" w:type="dxa"/>
            <w:tcBorders>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暂列金额、暂估价、安全文明施工费等暂定金额必须按照招标文件给定的金额填报。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投标内容</w:t>
            </w:r>
          </w:p>
        </w:tc>
        <w:tc>
          <w:tcPr>
            <w:tcW w:w="4615" w:type="dxa"/>
            <w:tcBorders>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”第1.3.1项规定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工期</w:t>
            </w:r>
          </w:p>
        </w:tc>
        <w:tc>
          <w:tcPr>
            <w:tcW w:w="4615" w:type="dxa"/>
            <w:tcBorders>
              <w:left w:val="single" w:color="auto" w:sz="4" w:space="0"/>
            </w:tcBorders>
            <w:vAlign w:val="center"/>
          </w:tcPr>
          <w:p>
            <w:pPr>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”第1.3.2项规定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工程质量</w:t>
            </w:r>
          </w:p>
        </w:tc>
        <w:tc>
          <w:tcPr>
            <w:tcW w:w="4615" w:type="dxa"/>
            <w:tcBorders>
              <w:left w:val="single" w:color="auto" w:sz="4" w:space="0"/>
            </w:tcBorders>
            <w:vAlign w:val="center"/>
          </w:tcPr>
          <w:p>
            <w:pPr>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”第1.3.3项规定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投标有效期</w:t>
            </w:r>
          </w:p>
        </w:tc>
        <w:tc>
          <w:tcPr>
            <w:tcW w:w="4615" w:type="dxa"/>
            <w:tcBorders>
              <w:left w:val="single" w:color="auto" w:sz="4" w:space="0"/>
            </w:tcBorders>
            <w:vAlign w:val="center"/>
          </w:tcPr>
          <w:p>
            <w:pPr>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投标保证金</w:t>
            </w:r>
          </w:p>
        </w:tc>
        <w:tc>
          <w:tcPr>
            <w:tcW w:w="4615" w:type="dxa"/>
            <w:tcBorders>
              <w:left w:val="single" w:color="auto" w:sz="4" w:space="0"/>
            </w:tcBorders>
            <w:vAlign w:val="center"/>
          </w:tcPr>
          <w:p>
            <w:pPr>
              <w:tabs>
                <w:tab w:val="left" w:pos="611"/>
                <w:tab w:val="left" w:pos="669"/>
              </w:tabs>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竞选人须知前附表</w:t>
            </w:r>
            <w:r>
              <w:rPr>
                <w:rFonts w:hint="eastAsia" w:ascii="宋体" w:hAnsi="宋体" w:cs="宋体"/>
                <w:color w:val="auto"/>
                <w:kern w:val="0"/>
                <w:highlight w:val="none"/>
              </w:rPr>
              <w:t>”第3.4项规定。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权利义务</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符合第四章“合同条款及格式”规定，投标文件不应附有</w:t>
            </w:r>
            <w:r>
              <w:rPr>
                <w:rFonts w:hint="eastAsia" w:ascii="宋体" w:hAnsi="宋体" w:cs="宋体"/>
                <w:color w:val="auto"/>
                <w:kern w:val="0"/>
                <w:highlight w:val="none"/>
                <w:lang w:eastAsia="zh-CN"/>
              </w:rPr>
              <w:t>比选人</w:t>
            </w:r>
            <w:r>
              <w:rPr>
                <w:rFonts w:hint="eastAsia" w:ascii="宋体" w:hAnsi="宋体" w:cs="宋体"/>
                <w:color w:val="auto"/>
                <w:kern w:val="0"/>
                <w:highlight w:val="none"/>
              </w:rPr>
              <w:t>不能接受的条件。（由</w:t>
            </w:r>
            <w:r>
              <w:rPr>
                <w:rFonts w:hint="eastAsia" w:ascii="宋体" w:hAnsi="宋体" w:cs="宋体"/>
                <w:color w:val="auto"/>
                <w:kern w:val="0"/>
                <w:highlight w:val="none"/>
                <w:lang w:eastAsia="zh-CN"/>
              </w:rPr>
              <w:t>竞选人</w:t>
            </w:r>
            <w:r>
              <w:rPr>
                <w:rFonts w:hint="eastAsia" w:ascii="宋体" w:hAnsi="宋体" w:cs="宋体"/>
                <w:color w:val="auto"/>
                <w:kern w:val="0"/>
                <w:highlight w:val="none"/>
              </w:rPr>
              <w:t>承诺，承诺书格式详见第</w:t>
            </w:r>
            <w:r>
              <w:rPr>
                <w:rFonts w:hint="eastAsia" w:ascii="宋体" w:hAnsi="宋体" w:cs="宋体"/>
                <w:color w:val="auto"/>
                <w:kern w:val="0"/>
                <w:highlight w:val="none"/>
                <w:lang w:val="en-US" w:eastAsia="zh-CN"/>
              </w:rPr>
              <w:t>六</w:t>
            </w:r>
            <w:r>
              <w:rPr>
                <w:rFonts w:hint="eastAsia" w:ascii="宋体" w:hAnsi="宋体" w:cs="宋体"/>
                <w:color w:val="auto"/>
                <w:kern w:val="0"/>
                <w:highlight w:val="none"/>
              </w:rPr>
              <w:t>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技术标准和要求</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w:t>
            </w:r>
            <w:r>
              <w:rPr>
                <w:rFonts w:hint="eastAsia" w:ascii="宋体" w:hAnsi="宋体" w:cs="宋体"/>
                <w:color w:val="auto"/>
                <w:kern w:val="0"/>
                <w:highlight w:val="none"/>
                <w:lang w:val="en-US" w:eastAsia="zh-CN"/>
              </w:rPr>
              <w:t>第五章</w:t>
            </w:r>
            <w:r>
              <w:rPr>
                <w:rFonts w:hint="eastAsia" w:ascii="宋体" w:hAnsi="宋体" w:cs="宋体"/>
                <w:color w:val="auto"/>
                <w:kern w:val="0"/>
                <w:highlight w:val="none"/>
              </w:rPr>
              <w:t>“技术标准和要求”规定。（由</w:t>
            </w:r>
            <w:r>
              <w:rPr>
                <w:rFonts w:hint="eastAsia" w:ascii="宋体" w:hAnsi="宋体" w:cs="宋体"/>
                <w:color w:val="auto"/>
                <w:kern w:val="0"/>
                <w:highlight w:val="none"/>
                <w:lang w:eastAsia="zh-CN"/>
              </w:rPr>
              <w:t>竞选人</w:t>
            </w:r>
            <w:r>
              <w:rPr>
                <w:rFonts w:hint="eastAsia" w:ascii="宋体" w:hAnsi="宋体" w:cs="宋体"/>
                <w:color w:val="auto"/>
                <w:kern w:val="0"/>
                <w:highlight w:val="none"/>
              </w:rPr>
              <w:t>承诺，承诺书格式详见投标文件格式。）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已标价工程量清单</w:t>
            </w:r>
          </w:p>
        </w:tc>
        <w:tc>
          <w:tcPr>
            <w:tcW w:w="4615" w:type="dxa"/>
            <w:tcBorders>
              <w:left w:val="single" w:color="auto" w:sz="4" w:space="0"/>
            </w:tcBorders>
            <w:vAlign w:val="center"/>
          </w:tcPr>
          <w:p>
            <w:pPr>
              <w:spacing w:after="62" w:afterLines="2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lang w:eastAsia="zh-CN"/>
              </w:rPr>
              <w:t>竞选人</w:t>
            </w:r>
            <w:r>
              <w:rPr>
                <w:rFonts w:hint="eastAsia" w:ascii="宋体" w:hAnsi="宋体" w:cs="宋体"/>
                <w:color w:val="auto"/>
                <w:kern w:val="0"/>
                <w:highlight w:val="none"/>
              </w:rPr>
              <w:t>承诺满足以下内容：</w:t>
            </w:r>
          </w:p>
          <w:p>
            <w:pPr>
              <w:spacing w:after="62" w:afterLines="2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1.符合第五章“技术标准和要求”给出的范围及数量。</w:t>
            </w:r>
          </w:p>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2.招标文件中规定工程量清单不允许修改的内容不得修改。</w:t>
            </w:r>
          </w:p>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3.每项</w:t>
            </w:r>
            <w:r>
              <w:rPr>
                <w:rFonts w:hint="eastAsia" w:ascii="宋体" w:hAnsi="宋体" w:cs="宋体"/>
                <w:color w:val="auto"/>
                <w:kern w:val="0"/>
                <w:highlight w:val="none"/>
                <w:lang w:val="en-US" w:eastAsia="zh-CN"/>
              </w:rPr>
              <w:t>包干</w:t>
            </w:r>
            <w:r>
              <w:rPr>
                <w:rFonts w:hint="eastAsia" w:ascii="宋体" w:hAnsi="宋体" w:cs="宋体"/>
                <w:color w:val="auto"/>
                <w:kern w:val="0"/>
                <w:highlight w:val="none"/>
              </w:rPr>
              <w:t>单价报价不得高于对</w:t>
            </w:r>
            <w:r>
              <w:rPr>
                <w:rFonts w:hint="eastAsia" w:ascii="宋体" w:hAnsi="宋体" w:cs="宋体"/>
                <w:color w:val="auto"/>
                <w:kern w:val="0"/>
                <w:highlight w:val="none"/>
                <w:lang w:val="en-US" w:eastAsia="zh-CN"/>
              </w:rPr>
              <w:t>包干</w:t>
            </w:r>
            <w:r>
              <w:rPr>
                <w:rFonts w:hint="eastAsia" w:ascii="宋体" w:hAnsi="宋体" w:cs="宋体"/>
                <w:color w:val="auto"/>
                <w:kern w:val="0"/>
                <w:highlight w:val="none"/>
              </w:rPr>
              <w:t>单价最高限价。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投标报价算术错误修正</w:t>
            </w:r>
          </w:p>
        </w:tc>
        <w:tc>
          <w:tcPr>
            <w:tcW w:w="4615" w:type="dxa"/>
            <w:tcBorders>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符合第三章3.评标程序第3.2.3项规定。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实质性要求</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”第1.4.3项规定。</w:t>
            </w:r>
          </w:p>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本次投标不得有串通投标、弄虚作假等其他违反招投标相关法律、法规行为。</w:t>
            </w:r>
          </w:p>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按评标委员会要求澄清、说明或补正。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jc w:val="center"/>
        </w:trPr>
        <w:tc>
          <w:tcPr>
            <w:tcW w:w="1243" w:type="dxa"/>
            <w:tcBorders>
              <w:right w:val="single" w:color="auto" w:sz="4" w:space="0"/>
            </w:tcBorders>
            <w:vAlign w:val="center"/>
          </w:tcPr>
          <w:p>
            <w:pPr>
              <w:spacing w:line="400" w:lineRule="exact"/>
              <w:jc w:val="center"/>
              <w:rPr>
                <w:rFonts w:ascii="宋体" w:hAnsi="宋体"/>
                <w:color w:val="auto"/>
                <w:highlight w:val="none"/>
              </w:rPr>
            </w:pPr>
            <w:r>
              <w:rPr>
                <w:rFonts w:ascii="宋体" w:hAnsi="宋体"/>
                <w:color w:val="auto"/>
                <w:highlight w:val="none"/>
              </w:rPr>
              <w:t>3</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auto"/>
                <w:highlight w:val="none"/>
              </w:rPr>
            </w:pPr>
            <w:r>
              <w:rPr>
                <w:rFonts w:hint="eastAsia" w:ascii="宋体" w:hAnsi="宋体"/>
                <w:color w:val="auto"/>
                <w:highlight w:val="none"/>
              </w:rPr>
              <w:t>评标程序</w:t>
            </w:r>
          </w:p>
        </w:tc>
        <w:tc>
          <w:tcPr>
            <w:tcW w:w="6882" w:type="dxa"/>
            <w:gridSpan w:val="2"/>
            <w:tcBorders>
              <w:left w:val="single" w:color="auto" w:sz="4" w:space="0"/>
            </w:tcBorders>
            <w:vAlign w:val="center"/>
          </w:tcPr>
          <w:p>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1.对报价不高于最高限价的所有</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的投标文件，按照报价由低到高的顺序排序。</w:t>
            </w:r>
          </w:p>
          <w:p>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2.根据本章第2.2款约定进行符合性审查</w:t>
            </w:r>
            <w:r>
              <w:rPr>
                <w:rFonts w:hint="eastAsia" w:ascii="宋体" w:hAnsi="宋体"/>
                <w:color w:val="auto"/>
                <w:spacing w:val="4"/>
                <w:kern w:val="0"/>
                <w:szCs w:val="21"/>
                <w:highlight w:val="none"/>
              </w:rPr>
              <w:t>。符合性审查</w:t>
            </w:r>
            <w:r>
              <w:rPr>
                <w:rFonts w:hint="eastAsia" w:ascii="宋体" w:hAnsi="宋体"/>
                <w:color w:val="auto"/>
                <w:kern w:val="0"/>
                <w:szCs w:val="21"/>
                <w:highlight w:val="none"/>
              </w:rPr>
              <w:t>合格的</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中，报价最低的成为第一中标候选人，报价次低的成为第二中标候选人，依次类推。</w:t>
            </w:r>
          </w:p>
          <w:p>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w:t>
            </w:r>
            <w:r>
              <w:rPr>
                <w:rFonts w:hint="eastAsia" w:ascii="宋体" w:hAnsi="宋体"/>
                <w:color w:val="auto"/>
                <w:spacing w:val="4"/>
                <w:kern w:val="0"/>
                <w:szCs w:val="21"/>
                <w:highlight w:val="none"/>
              </w:rPr>
              <w:t>若上述程序未能评出三名中标候选人</w:t>
            </w:r>
            <w:r>
              <w:rPr>
                <w:rFonts w:hint="eastAsia" w:ascii="宋体" w:hAnsi="宋体"/>
                <w:color w:val="auto"/>
                <w:kern w:val="0"/>
                <w:szCs w:val="21"/>
                <w:highlight w:val="none"/>
              </w:rPr>
              <w:t>，则评标委员会对剩余投标文件继续按上述第2条进行评审，直至评出三名中标候选人，或者评审完所有投标文件。</w:t>
            </w:r>
          </w:p>
          <w:p>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w:t>
            </w:r>
            <w:r>
              <w:rPr>
                <w:rFonts w:hint="eastAsia"/>
                <w:color w:val="auto"/>
                <w:highlight w:val="none"/>
              </w:rPr>
              <w:t xml:space="preserve"> </w:t>
            </w:r>
            <w:r>
              <w:rPr>
                <w:rFonts w:hint="eastAsia" w:ascii="宋体" w:hAnsi="宋体"/>
                <w:color w:val="auto"/>
                <w:kern w:val="0"/>
                <w:szCs w:val="21"/>
                <w:highlight w:val="none"/>
              </w:rPr>
              <w:t>因评标委员会作否决投标处理，导致有效</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不足三个的，评标委员会应当否决所有投标。但是有效</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的经济、技术等指标仍然具有市场竞争力，并满足招标文件要求的，评标委员会可以继续评标并确定中标候选人。</w:t>
            </w:r>
          </w:p>
          <w:p>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注：若出现</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投标报价相同的，以“</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在红名单中优先”的原则排序</w:t>
            </w:r>
            <w:r>
              <w:rPr>
                <w:rFonts w:hint="eastAsia" w:ascii="宋体" w:hAnsi="宋体"/>
                <w:color w:val="auto"/>
                <w:spacing w:val="4"/>
                <w:kern w:val="0"/>
                <w:szCs w:val="21"/>
                <w:highlight w:val="none"/>
              </w:rPr>
              <w:t>（联合体投标的，须联合体牵头人在红名单中），</w:t>
            </w:r>
            <w:r>
              <w:rPr>
                <w:rFonts w:hint="eastAsia" w:ascii="宋体" w:hAnsi="宋体"/>
                <w:color w:val="auto"/>
                <w:spacing w:val="4"/>
                <w:kern w:val="0"/>
                <w:szCs w:val="21"/>
                <w:highlight w:val="none"/>
                <w:lang w:eastAsia="zh-CN"/>
              </w:rPr>
              <w:t>竞选人</w:t>
            </w:r>
            <w:r>
              <w:rPr>
                <w:rFonts w:hint="eastAsia" w:ascii="宋体" w:hAnsi="宋体"/>
                <w:color w:val="auto"/>
                <w:spacing w:val="4"/>
                <w:kern w:val="0"/>
                <w:szCs w:val="21"/>
                <w:highlight w:val="none"/>
              </w:rPr>
              <w:t>是否属于红名单，以开标环节信用状况查询结果为准</w:t>
            </w:r>
            <w:r>
              <w:rPr>
                <w:rFonts w:hint="eastAsia" w:ascii="宋体" w:hAnsi="宋体"/>
                <w:color w:val="auto"/>
                <w:kern w:val="0"/>
                <w:szCs w:val="21"/>
                <w:highlight w:val="none"/>
              </w:rPr>
              <w:t>；</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均在红名单中</w:t>
            </w:r>
            <w:r>
              <w:rPr>
                <w:rFonts w:hint="eastAsia" w:ascii="宋体" w:hAnsi="宋体"/>
                <w:color w:val="auto"/>
                <w:spacing w:val="4"/>
                <w:kern w:val="0"/>
                <w:szCs w:val="21"/>
                <w:highlight w:val="none"/>
              </w:rPr>
              <w:t>或均不在红名单中的，由评标委员会按照</w:t>
            </w:r>
            <w:r>
              <w:rPr>
                <w:rFonts w:hint="eastAsia" w:ascii="宋体" w:hAnsi="宋体"/>
                <w:color w:val="auto"/>
                <w:spacing w:val="4"/>
                <w:kern w:val="0"/>
                <w:szCs w:val="21"/>
                <w:highlight w:val="none"/>
                <w:u w:val="single"/>
              </w:rPr>
              <w:t xml:space="preserve">  </w:t>
            </w:r>
            <w:r>
              <w:rPr>
                <w:rFonts w:hint="eastAsia" w:ascii="宋体" w:hAnsi="宋体"/>
                <w:color w:val="auto"/>
                <w:spacing w:val="4"/>
                <w:kern w:val="0"/>
                <w:szCs w:val="21"/>
                <w:highlight w:val="none"/>
                <w:u w:val="single"/>
                <w:lang w:val="en-US" w:eastAsia="zh-CN"/>
              </w:rPr>
              <w:t>投标表决</w:t>
            </w:r>
            <w:r>
              <w:rPr>
                <w:rFonts w:hint="eastAsia" w:ascii="宋体" w:hAnsi="宋体"/>
                <w:color w:val="auto"/>
                <w:spacing w:val="4"/>
                <w:kern w:val="0"/>
                <w:szCs w:val="21"/>
                <w:highlight w:val="none"/>
                <w:u w:val="single"/>
              </w:rPr>
              <w:t xml:space="preserve">   </w:t>
            </w:r>
            <w:r>
              <w:rPr>
                <w:rFonts w:hint="eastAsia" w:ascii="宋体" w:hAnsi="宋体"/>
                <w:color w:val="auto"/>
                <w:spacing w:val="4"/>
                <w:kern w:val="0"/>
                <w:szCs w:val="21"/>
                <w:highlight w:val="none"/>
              </w:rPr>
              <w:t>原则排序。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jc w:val="center"/>
        </w:trPr>
        <w:tc>
          <w:tcPr>
            <w:tcW w:w="1243" w:type="dxa"/>
            <w:tcBorders>
              <w:right w:val="single" w:color="auto" w:sz="4" w:space="0"/>
            </w:tcBorders>
            <w:vAlign w:val="center"/>
          </w:tcPr>
          <w:p>
            <w:pPr>
              <w:spacing w:line="400" w:lineRule="exact"/>
              <w:jc w:val="center"/>
              <w:rPr>
                <w:rFonts w:ascii="宋体" w:hAnsi="宋体"/>
                <w:color w:val="auto"/>
                <w:highlight w:val="none"/>
              </w:rPr>
            </w:pPr>
            <w:r>
              <w:rPr>
                <w:rFonts w:hint="eastAsia" w:ascii="宋体" w:hAnsi="宋体"/>
                <w:color w:val="auto"/>
                <w:highlight w:val="none"/>
              </w:rPr>
              <w:t>3.4</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auto"/>
                <w:highlight w:val="none"/>
              </w:rPr>
            </w:pPr>
            <w:r>
              <w:rPr>
                <w:rFonts w:ascii="宋体" w:hAnsi="宋体"/>
                <w:color w:val="auto"/>
                <w:highlight w:val="none"/>
              </w:rPr>
              <w:t>评标结果</w:t>
            </w:r>
          </w:p>
        </w:tc>
        <w:tc>
          <w:tcPr>
            <w:tcW w:w="6882" w:type="dxa"/>
            <w:gridSpan w:val="2"/>
            <w:tcBorders>
              <w:left w:val="single" w:color="auto" w:sz="4" w:space="0"/>
            </w:tcBorders>
            <w:vAlign w:val="center"/>
          </w:tcPr>
          <w:p>
            <w:pPr>
              <w:autoSpaceDE w:val="0"/>
              <w:autoSpaceDN w:val="0"/>
              <w:adjustRightInd w:val="0"/>
              <w:snapToGrid w:val="0"/>
              <w:spacing w:line="400" w:lineRule="exact"/>
              <w:ind w:firstLine="420"/>
              <w:jc w:val="left"/>
              <w:rPr>
                <w:rFonts w:ascii="宋体" w:hAnsi="宋体"/>
                <w:color w:val="auto"/>
                <w:kern w:val="0"/>
                <w:szCs w:val="21"/>
                <w:highlight w:val="none"/>
              </w:rPr>
            </w:pPr>
            <w:r>
              <w:rPr>
                <w:rFonts w:ascii="宋体" w:hAnsi="宋体"/>
                <w:color w:val="auto"/>
                <w:kern w:val="0"/>
                <w:szCs w:val="21"/>
                <w:highlight w:val="none"/>
              </w:rPr>
              <w:t>3.</w:t>
            </w:r>
            <w:r>
              <w:rPr>
                <w:rFonts w:ascii="宋体" w:hAnsi="宋体"/>
                <w:color w:val="auto"/>
                <w:spacing w:val="-1"/>
                <w:kern w:val="0"/>
                <w:szCs w:val="21"/>
                <w:highlight w:val="none"/>
              </w:rPr>
              <w:t>4</w:t>
            </w:r>
            <w:r>
              <w:rPr>
                <w:rFonts w:ascii="宋体" w:hAnsi="宋体"/>
                <w:color w:val="auto"/>
                <w:kern w:val="0"/>
                <w:szCs w:val="21"/>
                <w:highlight w:val="none"/>
              </w:rPr>
              <w:t>.1</w:t>
            </w:r>
            <w:r>
              <w:rPr>
                <w:rFonts w:hint="eastAsia" w:ascii="宋体" w:hAnsi="宋体"/>
                <w:color w:val="auto"/>
                <w:kern w:val="0"/>
                <w:szCs w:val="21"/>
                <w:highlight w:val="none"/>
              </w:rPr>
              <w:t xml:space="preserve"> </w:t>
            </w:r>
            <w:r>
              <w:rPr>
                <w:rFonts w:ascii="宋体" w:hAnsi="宋体"/>
                <w:color w:val="auto"/>
                <w:kern w:val="0"/>
                <w:szCs w:val="21"/>
                <w:highlight w:val="none"/>
              </w:rPr>
              <w:t>除第二章“</w:t>
            </w:r>
            <w:r>
              <w:rPr>
                <w:rFonts w:hint="eastAsia" w:ascii="宋体" w:hAnsi="宋体"/>
                <w:color w:val="auto"/>
                <w:kern w:val="0"/>
                <w:szCs w:val="21"/>
                <w:highlight w:val="none"/>
                <w:lang w:eastAsia="zh-CN"/>
              </w:rPr>
              <w:t>竞选人须知</w:t>
            </w:r>
            <w:r>
              <w:rPr>
                <w:rFonts w:ascii="宋体" w:hAnsi="宋体"/>
                <w:color w:val="auto"/>
                <w:kern w:val="0"/>
                <w:szCs w:val="21"/>
                <w:highlight w:val="none"/>
              </w:rPr>
              <w:t>”前</w:t>
            </w:r>
            <w:r>
              <w:rPr>
                <w:rFonts w:ascii="宋体" w:hAnsi="宋体"/>
                <w:color w:val="auto"/>
                <w:spacing w:val="1"/>
                <w:kern w:val="0"/>
                <w:szCs w:val="21"/>
                <w:highlight w:val="none"/>
              </w:rPr>
              <w:t>附</w:t>
            </w:r>
            <w:r>
              <w:rPr>
                <w:rFonts w:ascii="宋体" w:hAnsi="宋体"/>
                <w:color w:val="auto"/>
                <w:kern w:val="0"/>
                <w:szCs w:val="21"/>
                <w:highlight w:val="none"/>
              </w:rPr>
              <w:t>表授权直</w:t>
            </w:r>
            <w:r>
              <w:rPr>
                <w:rFonts w:ascii="宋体" w:hAnsi="宋体"/>
                <w:color w:val="auto"/>
                <w:spacing w:val="1"/>
                <w:kern w:val="0"/>
                <w:szCs w:val="21"/>
                <w:highlight w:val="none"/>
              </w:rPr>
              <w:t>接</w:t>
            </w:r>
            <w:r>
              <w:rPr>
                <w:rFonts w:ascii="宋体" w:hAnsi="宋体"/>
                <w:color w:val="auto"/>
                <w:kern w:val="0"/>
                <w:szCs w:val="21"/>
                <w:highlight w:val="none"/>
              </w:rPr>
              <w:t>确定中标</w:t>
            </w:r>
            <w:r>
              <w:rPr>
                <w:rFonts w:ascii="宋体" w:hAnsi="宋体"/>
                <w:color w:val="auto"/>
                <w:spacing w:val="1"/>
                <w:kern w:val="0"/>
                <w:szCs w:val="21"/>
                <w:highlight w:val="none"/>
              </w:rPr>
              <w:t>人</w:t>
            </w:r>
            <w:r>
              <w:rPr>
                <w:rFonts w:ascii="宋体" w:hAnsi="宋体"/>
                <w:color w:val="auto"/>
                <w:kern w:val="0"/>
                <w:szCs w:val="21"/>
                <w:highlight w:val="none"/>
              </w:rPr>
              <w:t>外，评标</w:t>
            </w:r>
            <w:r>
              <w:rPr>
                <w:rFonts w:ascii="宋体" w:hAnsi="宋体"/>
                <w:color w:val="auto"/>
                <w:spacing w:val="1"/>
                <w:kern w:val="0"/>
                <w:szCs w:val="21"/>
                <w:highlight w:val="none"/>
              </w:rPr>
              <w:t>委</w:t>
            </w:r>
            <w:r>
              <w:rPr>
                <w:rFonts w:ascii="宋体" w:hAnsi="宋体"/>
                <w:color w:val="auto"/>
                <w:kern w:val="0"/>
                <w:szCs w:val="21"/>
                <w:highlight w:val="none"/>
              </w:rPr>
              <w:t>员会</w:t>
            </w:r>
            <w:r>
              <w:rPr>
                <w:rFonts w:hint="eastAsia" w:ascii="宋体" w:hAnsi="宋体"/>
                <w:color w:val="auto"/>
                <w:kern w:val="0"/>
                <w:szCs w:val="21"/>
                <w:highlight w:val="none"/>
              </w:rPr>
              <w:t>按经评审的最低投标价法</w:t>
            </w:r>
            <w:r>
              <w:rPr>
                <w:rFonts w:ascii="宋体" w:hAnsi="宋体"/>
                <w:color w:val="auto"/>
                <w:kern w:val="0"/>
                <w:szCs w:val="21"/>
                <w:highlight w:val="none"/>
              </w:rPr>
              <w:t>推荐中标候选人。</w:t>
            </w:r>
          </w:p>
          <w:p>
            <w:pPr>
              <w:spacing w:line="400" w:lineRule="exact"/>
              <w:ind w:firstLine="424" w:firstLineChars="200"/>
              <w:rPr>
                <w:rFonts w:ascii="宋体" w:hAnsi="宋体"/>
                <w:color w:val="auto"/>
                <w:highlight w:val="none"/>
              </w:rPr>
            </w:pPr>
            <w:r>
              <w:rPr>
                <w:rFonts w:ascii="宋体" w:hAnsi="宋体"/>
                <w:color w:val="auto"/>
                <w:spacing w:val="1"/>
                <w:kern w:val="0"/>
                <w:szCs w:val="21"/>
                <w:highlight w:val="none"/>
              </w:rPr>
              <w:t>3</w:t>
            </w:r>
            <w:r>
              <w:rPr>
                <w:rFonts w:ascii="宋体" w:hAnsi="宋体"/>
                <w:color w:val="auto"/>
                <w:kern w:val="0"/>
                <w:szCs w:val="21"/>
                <w:highlight w:val="none"/>
              </w:rPr>
              <w:t>.4.2</w:t>
            </w:r>
            <w:r>
              <w:rPr>
                <w:rFonts w:hint="eastAsia" w:ascii="宋体" w:hAnsi="宋体"/>
                <w:color w:val="auto"/>
                <w:kern w:val="0"/>
                <w:szCs w:val="21"/>
                <w:highlight w:val="none"/>
              </w:rPr>
              <w:t xml:space="preserve"> </w:t>
            </w:r>
            <w:r>
              <w:rPr>
                <w:rFonts w:ascii="宋体" w:hAnsi="宋体"/>
                <w:color w:val="auto"/>
                <w:kern w:val="0"/>
                <w:szCs w:val="21"/>
                <w:highlight w:val="none"/>
              </w:rPr>
              <w:t>评标</w:t>
            </w:r>
            <w:r>
              <w:rPr>
                <w:rFonts w:ascii="宋体" w:hAnsi="宋体"/>
                <w:color w:val="auto"/>
                <w:spacing w:val="-1"/>
                <w:kern w:val="0"/>
                <w:szCs w:val="21"/>
                <w:highlight w:val="none"/>
              </w:rPr>
              <w:t>委</w:t>
            </w:r>
            <w:r>
              <w:rPr>
                <w:rFonts w:ascii="宋体" w:hAnsi="宋体"/>
                <w:color w:val="auto"/>
                <w:kern w:val="0"/>
                <w:szCs w:val="21"/>
                <w:highlight w:val="none"/>
              </w:rPr>
              <w:t>员会完成评标后，应当向</w:t>
            </w:r>
            <w:r>
              <w:rPr>
                <w:rFonts w:hint="eastAsia" w:ascii="宋体" w:hAnsi="宋体"/>
                <w:color w:val="auto"/>
                <w:kern w:val="0"/>
                <w:szCs w:val="21"/>
                <w:highlight w:val="none"/>
                <w:lang w:eastAsia="zh-CN"/>
              </w:rPr>
              <w:t>比选人</w:t>
            </w:r>
            <w:r>
              <w:rPr>
                <w:rFonts w:ascii="宋体" w:hAnsi="宋体"/>
                <w:color w:val="auto"/>
                <w:kern w:val="0"/>
                <w:szCs w:val="21"/>
                <w:highlight w:val="none"/>
              </w:rPr>
              <w:t>提交书面评标报告。</w:t>
            </w:r>
          </w:p>
        </w:tc>
      </w:tr>
    </w:tbl>
    <w:p>
      <w:pPr>
        <w:pStyle w:val="4"/>
        <w:spacing w:before="0" w:after="0" w:line="360" w:lineRule="auto"/>
        <w:rPr>
          <w:rFonts w:ascii="宋体" w:hAnsi="宋体"/>
          <w:b w:val="0"/>
          <w:snapToGrid w:val="0"/>
          <w:color w:val="auto"/>
          <w:highlight w:val="none"/>
        </w:rPr>
      </w:pPr>
    </w:p>
    <w:bookmarkEnd w:id="294"/>
    <w:bookmarkEnd w:id="295"/>
    <w:bookmarkEnd w:id="296"/>
    <w:bookmarkEnd w:id="297"/>
    <w:bookmarkEnd w:id="298"/>
    <w:bookmarkEnd w:id="299"/>
    <w:bookmarkEnd w:id="308"/>
    <w:p>
      <w:pPr>
        <w:pStyle w:val="4"/>
        <w:spacing w:before="0" w:after="0" w:line="360" w:lineRule="auto"/>
        <w:rPr>
          <w:rFonts w:ascii="宋体" w:hAnsi="宋体"/>
          <w:b w:val="0"/>
          <w:snapToGrid w:val="0"/>
          <w:color w:val="auto"/>
          <w:highlight w:val="none"/>
        </w:rPr>
      </w:pPr>
      <w:bookmarkStart w:id="309" w:name="_Toc12666"/>
      <w:bookmarkStart w:id="310" w:name="_Toc27750"/>
      <w:bookmarkStart w:id="311" w:name="_Toc57905886"/>
      <w:r>
        <w:rPr>
          <w:rFonts w:ascii="宋体" w:hAnsi="宋体"/>
          <w:b w:val="0"/>
          <w:snapToGrid w:val="0"/>
          <w:color w:val="auto"/>
          <w:highlight w:val="none"/>
        </w:rPr>
        <w:t>1.  评标方法</w:t>
      </w:r>
      <w:bookmarkEnd w:id="309"/>
      <w:bookmarkEnd w:id="310"/>
      <w:bookmarkEnd w:id="311"/>
    </w:p>
    <w:p>
      <w:pPr>
        <w:spacing w:line="360" w:lineRule="auto"/>
        <w:ind w:firstLine="420" w:firstLineChars="200"/>
        <w:rPr>
          <w:rFonts w:ascii="宋体" w:hAnsi="宋体"/>
          <w:color w:val="auto"/>
          <w:highlight w:val="none"/>
        </w:rPr>
      </w:pPr>
      <w:r>
        <w:rPr>
          <w:rFonts w:hint="eastAsia" w:ascii="宋体" w:hAnsi="宋体"/>
          <w:color w:val="auto"/>
          <w:highlight w:val="none"/>
        </w:rPr>
        <w:t>本次评标采用经评审的最低投标价法，评标委员会按照本章第2.1款进行报价排序，按照本章第2.2款进行符合性审查，符合性审查合格的</w:t>
      </w:r>
      <w:r>
        <w:rPr>
          <w:rFonts w:hint="eastAsia" w:ascii="宋体" w:hAnsi="宋体"/>
          <w:color w:val="auto"/>
          <w:highlight w:val="none"/>
          <w:lang w:eastAsia="zh-CN"/>
        </w:rPr>
        <w:t>竞选人</w:t>
      </w:r>
      <w:r>
        <w:rPr>
          <w:rFonts w:hint="eastAsia" w:ascii="宋体" w:hAnsi="宋体"/>
          <w:color w:val="auto"/>
          <w:highlight w:val="none"/>
        </w:rPr>
        <w:t>中按报价由低到高推荐中标候选人，或根据</w:t>
      </w:r>
      <w:r>
        <w:rPr>
          <w:rFonts w:hint="eastAsia" w:ascii="宋体" w:hAnsi="宋体"/>
          <w:color w:val="auto"/>
          <w:highlight w:val="none"/>
          <w:lang w:eastAsia="zh-CN"/>
        </w:rPr>
        <w:t>比选人</w:t>
      </w:r>
      <w:r>
        <w:rPr>
          <w:rFonts w:hint="eastAsia" w:ascii="宋体" w:hAnsi="宋体"/>
          <w:color w:val="auto"/>
          <w:highlight w:val="none"/>
        </w:rPr>
        <w:t>授权直接确定中标人。若出现</w:t>
      </w:r>
      <w:r>
        <w:rPr>
          <w:rFonts w:hint="eastAsia" w:ascii="宋体" w:hAnsi="宋体"/>
          <w:color w:val="auto"/>
          <w:highlight w:val="none"/>
          <w:lang w:eastAsia="zh-CN"/>
        </w:rPr>
        <w:t>竞选人</w:t>
      </w:r>
      <w:r>
        <w:rPr>
          <w:rFonts w:hint="eastAsia" w:ascii="宋体" w:hAnsi="宋体"/>
          <w:color w:val="auto"/>
          <w:highlight w:val="none"/>
        </w:rPr>
        <w:t>投标报价相同的，以评标办法前附表约定的原则确定排序。</w:t>
      </w:r>
    </w:p>
    <w:p>
      <w:pPr>
        <w:pStyle w:val="4"/>
        <w:spacing w:before="0" w:after="0" w:line="360" w:lineRule="auto"/>
        <w:rPr>
          <w:rFonts w:ascii="宋体" w:hAnsi="宋体"/>
          <w:b w:val="0"/>
          <w:snapToGrid w:val="0"/>
          <w:color w:val="auto"/>
          <w:highlight w:val="none"/>
        </w:rPr>
      </w:pPr>
      <w:bookmarkStart w:id="312" w:name="_Toc57905887"/>
      <w:bookmarkStart w:id="313" w:name="_Toc24923"/>
      <w:bookmarkStart w:id="314" w:name="_Toc20502"/>
      <w:r>
        <w:rPr>
          <w:rFonts w:ascii="宋体" w:hAnsi="宋体"/>
          <w:b w:val="0"/>
          <w:snapToGrid w:val="0"/>
          <w:color w:val="auto"/>
          <w:highlight w:val="none"/>
        </w:rPr>
        <w:t>2.  评审标准</w:t>
      </w:r>
      <w:bookmarkEnd w:id="312"/>
      <w:bookmarkEnd w:id="313"/>
      <w:bookmarkEnd w:id="314"/>
    </w:p>
    <w:p>
      <w:pPr>
        <w:pStyle w:val="5"/>
        <w:spacing w:before="0" w:after="0" w:line="360" w:lineRule="auto"/>
        <w:rPr>
          <w:rFonts w:ascii="宋体" w:hAnsi="宋体" w:cs="宋体"/>
          <w:color w:val="auto"/>
          <w:sz w:val="21"/>
          <w:szCs w:val="21"/>
          <w:highlight w:val="none"/>
        </w:rPr>
      </w:pPr>
      <w:bookmarkStart w:id="315" w:name="_Toc3739"/>
      <w:bookmarkStart w:id="316" w:name="_Toc57905888"/>
      <w:bookmarkStart w:id="317" w:name="_Toc24029"/>
      <w:r>
        <w:rPr>
          <w:rFonts w:ascii="宋体" w:hAnsi="宋体" w:cs="宋体"/>
          <w:color w:val="auto"/>
          <w:sz w:val="21"/>
          <w:szCs w:val="21"/>
          <w:highlight w:val="none"/>
        </w:rPr>
        <w:t>2.1</w:t>
      </w:r>
      <w:r>
        <w:rPr>
          <w:rFonts w:hint="eastAsia" w:ascii="宋体" w:hAnsi="宋体" w:cs="宋体"/>
          <w:color w:val="auto"/>
          <w:sz w:val="21"/>
          <w:szCs w:val="21"/>
          <w:highlight w:val="none"/>
        </w:rPr>
        <w:t>报价</w:t>
      </w:r>
      <w:r>
        <w:rPr>
          <w:rFonts w:ascii="宋体" w:hAnsi="宋体" w:cs="宋体"/>
          <w:color w:val="auto"/>
          <w:sz w:val="21"/>
          <w:szCs w:val="21"/>
          <w:highlight w:val="none"/>
        </w:rPr>
        <w:t>排序</w:t>
      </w:r>
      <w:bookmarkEnd w:id="315"/>
      <w:r>
        <w:rPr>
          <w:rFonts w:hint="eastAsia" w:ascii="宋体" w:hAnsi="宋体" w:cs="宋体"/>
          <w:color w:val="auto"/>
          <w:sz w:val="21"/>
          <w:szCs w:val="21"/>
          <w:highlight w:val="none"/>
        </w:rPr>
        <w:t>标准</w:t>
      </w:r>
      <w:bookmarkEnd w:id="316"/>
      <w:bookmarkEnd w:id="317"/>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见评标办法前附表。</w:t>
      </w:r>
    </w:p>
    <w:p>
      <w:pPr>
        <w:pStyle w:val="5"/>
        <w:spacing w:before="0" w:after="0" w:line="360" w:lineRule="auto"/>
        <w:rPr>
          <w:rFonts w:ascii="宋体" w:hAnsi="宋体" w:cs="宋体"/>
          <w:color w:val="auto"/>
          <w:sz w:val="21"/>
          <w:szCs w:val="21"/>
          <w:highlight w:val="none"/>
        </w:rPr>
      </w:pPr>
      <w:bookmarkStart w:id="318" w:name="_Toc16832"/>
      <w:bookmarkStart w:id="319" w:name="_Toc7449"/>
      <w:bookmarkStart w:id="320" w:name="_Toc57905889"/>
      <w:r>
        <w:rPr>
          <w:rFonts w:ascii="宋体" w:hAnsi="宋体" w:cs="宋体"/>
          <w:color w:val="auto"/>
          <w:sz w:val="21"/>
          <w:szCs w:val="21"/>
          <w:highlight w:val="none"/>
        </w:rPr>
        <w:t>2.</w:t>
      </w:r>
      <w:r>
        <w:rPr>
          <w:rFonts w:hint="eastAsia" w:ascii="宋体" w:hAnsi="宋体" w:cs="宋体"/>
          <w:color w:val="auto"/>
          <w:sz w:val="21"/>
          <w:szCs w:val="21"/>
          <w:highlight w:val="none"/>
        </w:rPr>
        <w:t>2符合性审查</w:t>
      </w:r>
      <w:bookmarkEnd w:id="318"/>
      <w:r>
        <w:rPr>
          <w:rFonts w:hint="eastAsia" w:ascii="宋体" w:hAnsi="宋体" w:cs="宋体"/>
          <w:color w:val="auto"/>
          <w:sz w:val="21"/>
          <w:szCs w:val="21"/>
          <w:highlight w:val="none"/>
        </w:rPr>
        <w:t>标准</w:t>
      </w:r>
      <w:bookmarkEnd w:id="319"/>
      <w:bookmarkEnd w:id="320"/>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按评标办法前附表约定的投标单位报价排序数量进行符合性审查</w:t>
      </w:r>
      <w:r>
        <w:rPr>
          <w:rFonts w:hint="eastAsia" w:ascii="宋体" w:hAnsi="宋体"/>
          <w:color w:val="auto"/>
          <w:spacing w:val="4"/>
          <w:kern w:val="0"/>
          <w:szCs w:val="21"/>
          <w:highlight w:val="none"/>
        </w:rPr>
        <w:t>。符合性审查内容：资格评审、形式评审、响应性评审。</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2.2.1  技术方案评审标准：见评标办法前附表。</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2A  资格评审标准：见资格预审文件第三章“资格审查办法”详细审查标准（适用于已进行资格预审的）。</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2B  资格评审标准：见评标办法前附表（适用于未进行资格预审的）。</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3  形式评审标准：见评标办法前附表。</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4  响应性评审标准：见评标办法前附表。</w:t>
      </w:r>
    </w:p>
    <w:p>
      <w:pPr>
        <w:pStyle w:val="4"/>
        <w:spacing w:before="0" w:after="0" w:line="360" w:lineRule="auto"/>
        <w:rPr>
          <w:rFonts w:ascii="宋体" w:hAnsi="宋体"/>
          <w:b w:val="0"/>
          <w:snapToGrid w:val="0"/>
          <w:color w:val="auto"/>
          <w:highlight w:val="none"/>
        </w:rPr>
      </w:pPr>
      <w:bookmarkStart w:id="321" w:name="_Toc57905890"/>
      <w:bookmarkStart w:id="322" w:name="_Toc30094"/>
      <w:bookmarkStart w:id="323" w:name="_Toc6630"/>
      <w:r>
        <w:rPr>
          <w:rFonts w:ascii="宋体" w:hAnsi="宋体"/>
          <w:b w:val="0"/>
          <w:snapToGrid w:val="0"/>
          <w:color w:val="auto"/>
          <w:highlight w:val="none"/>
        </w:rPr>
        <w:t>3.  评标程序</w:t>
      </w:r>
      <w:bookmarkEnd w:id="321"/>
      <w:bookmarkEnd w:id="322"/>
      <w:bookmarkEnd w:id="323"/>
    </w:p>
    <w:p>
      <w:pPr>
        <w:pStyle w:val="5"/>
        <w:spacing w:before="0" w:after="0" w:line="360" w:lineRule="auto"/>
        <w:rPr>
          <w:rFonts w:ascii="宋体" w:hAnsi="宋体" w:cs="宋体"/>
          <w:color w:val="auto"/>
          <w:sz w:val="21"/>
          <w:szCs w:val="21"/>
          <w:highlight w:val="none"/>
        </w:rPr>
      </w:pPr>
      <w:bookmarkStart w:id="324" w:name="_Toc17317"/>
      <w:bookmarkStart w:id="325" w:name="_Toc19555"/>
      <w:bookmarkStart w:id="326" w:name="_Toc57905891"/>
      <w:r>
        <w:rPr>
          <w:rFonts w:ascii="宋体" w:hAnsi="宋体" w:cs="宋体"/>
          <w:color w:val="auto"/>
          <w:sz w:val="21"/>
          <w:szCs w:val="21"/>
          <w:highlight w:val="none"/>
        </w:rPr>
        <w:t>3.1</w:t>
      </w:r>
      <w:r>
        <w:rPr>
          <w:rFonts w:hint="eastAsia" w:ascii="宋体" w:hAnsi="宋体" w:cs="宋体"/>
          <w:color w:val="auto"/>
          <w:sz w:val="21"/>
          <w:szCs w:val="21"/>
          <w:highlight w:val="none"/>
        </w:rPr>
        <w:t>报价排序</w:t>
      </w:r>
      <w:bookmarkEnd w:id="324"/>
      <w:bookmarkEnd w:id="325"/>
      <w:bookmarkEnd w:id="326"/>
    </w:p>
    <w:p>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对报价不高于最高限价的所有</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的投标文件，按照报价由低到高的顺序排序。</w:t>
      </w:r>
    </w:p>
    <w:p>
      <w:pPr>
        <w:pStyle w:val="5"/>
        <w:spacing w:before="0" w:after="0" w:line="360" w:lineRule="auto"/>
        <w:rPr>
          <w:rFonts w:ascii="宋体" w:hAnsi="宋体" w:cs="宋体"/>
          <w:color w:val="auto"/>
          <w:sz w:val="21"/>
          <w:szCs w:val="21"/>
          <w:highlight w:val="none"/>
        </w:rPr>
      </w:pPr>
      <w:bookmarkStart w:id="327" w:name="_Toc23300"/>
      <w:bookmarkStart w:id="328" w:name="_Toc57905892"/>
      <w:r>
        <w:rPr>
          <w:rFonts w:ascii="宋体" w:hAnsi="宋体" w:cs="宋体"/>
          <w:color w:val="auto"/>
          <w:sz w:val="21"/>
          <w:szCs w:val="21"/>
          <w:highlight w:val="none"/>
        </w:rPr>
        <w:t>3.</w:t>
      </w:r>
      <w:r>
        <w:rPr>
          <w:rFonts w:hint="eastAsia" w:ascii="宋体" w:hAnsi="宋体" w:cs="宋体"/>
          <w:color w:val="auto"/>
          <w:sz w:val="21"/>
          <w:szCs w:val="21"/>
          <w:highlight w:val="none"/>
        </w:rPr>
        <w:t>2符合性审查</w:t>
      </w:r>
      <w:bookmarkEnd w:id="327"/>
      <w:bookmarkEnd w:id="328"/>
    </w:p>
    <w:p>
      <w:pPr>
        <w:spacing w:line="360" w:lineRule="auto"/>
        <w:ind w:firstLine="413" w:firstLineChars="197"/>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.1评标委员会依据本章第2.</w:t>
      </w:r>
      <w:r>
        <w:rPr>
          <w:rFonts w:hint="eastAsia" w:ascii="宋体" w:hAnsi="宋体" w:cs="宋体"/>
          <w:color w:val="auto"/>
          <w:szCs w:val="21"/>
          <w:highlight w:val="none"/>
        </w:rPr>
        <w:t>2</w:t>
      </w:r>
      <w:r>
        <w:rPr>
          <w:rFonts w:ascii="宋体" w:hAnsi="宋体" w:cs="宋体"/>
          <w:color w:val="auto"/>
          <w:szCs w:val="21"/>
          <w:highlight w:val="none"/>
        </w:rPr>
        <w:t xml:space="preserve"> </w:t>
      </w:r>
      <w:r>
        <w:rPr>
          <w:rFonts w:hint="eastAsia" w:ascii="宋体" w:hAnsi="宋体" w:cs="宋体"/>
          <w:color w:val="auto"/>
          <w:szCs w:val="21"/>
          <w:highlight w:val="none"/>
        </w:rPr>
        <w:t>款规定的标准对投标文件进行符合性审查。符合性审查顺序：资格评审、形式评审、响应性评审。</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 xml:space="preserve">.2 </w:t>
      </w:r>
      <w:r>
        <w:rPr>
          <w:rFonts w:hint="eastAsia" w:ascii="宋体" w:hAnsi="宋体" w:cs="宋体"/>
          <w:color w:val="auto"/>
          <w:szCs w:val="21"/>
          <w:highlight w:val="none"/>
          <w:lang w:eastAsia="zh-CN"/>
        </w:rPr>
        <w:t>竞选人</w:t>
      </w:r>
      <w:r>
        <w:rPr>
          <w:rFonts w:ascii="宋体" w:hAnsi="宋体" w:cs="宋体"/>
          <w:color w:val="auto"/>
          <w:szCs w:val="21"/>
          <w:highlight w:val="none"/>
        </w:rPr>
        <w:t>有以下情形之一的，</w:t>
      </w:r>
      <w:r>
        <w:rPr>
          <w:rFonts w:hint="eastAsia" w:ascii="宋体" w:hAnsi="宋体" w:cs="宋体"/>
          <w:color w:val="auto"/>
          <w:szCs w:val="21"/>
          <w:highlight w:val="none"/>
        </w:rPr>
        <w:t>其投标文件将被否决：</w:t>
      </w:r>
    </w:p>
    <w:p>
      <w:pPr>
        <w:spacing w:line="360" w:lineRule="auto"/>
        <w:ind w:firstLine="405" w:firstLineChars="193"/>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）第二章“</w:t>
      </w:r>
      <w:r>
        <w:rPr>
          <w:rFonts w:hint="eastAsia" w:ascii="宋体" w:hAnsi="宋体" w:cs="宋体"/>
          <w:color w:val="auto"/>
          <w:szCs w:val="21"/>
          <w:highlight w:val="none"/>
          <w:lang w:eastAsia="zh-CN"/>
        </w:rPr>
        <w:t>竞选人须知</w:t>
      </w:r>
      <w:r>
        <w:rPr>
          <w:rFonts w:ascii="宋体" w:hAnsi="宋体" w:cs="宋体"/>
          <w:color w:val="auto"/>
          <w:szCs w:val="21"/>
          <w:highlight w:val="none"/>
        </w:rPr>
        <w:t xml:space="preserve">”第1.4.3 </w:t>
      </w:r>
      <w:r>
        <w:rPr>
          <w:rFonts w:hint="eastAsia" w:ascii="宋体" w:hAnsi="宋体" w:cs="宋体"/>
          <w:color w:val="auto"/>
          <w:szCs w:val="21"/>
          <w:highlight w:val="none"/>
        </w:rPr>
        <w:t>项</w:t>
      </w:r>
      <w:r>
        <w:rPr>
          <w:rFonts w:ascii="宋体" w:hAnsi="宋体" w:cs="宋体"/>
          <w:color w:val="auto"/>
          <w:szCs w:val="21"/>
          <w:highlight w:val="none"/>
        </w:rPr>
        <w:t>规定的任何一种情形的；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本次投标有串通投标、弄虚作假等其他违反招投标相关法律、法规行为的；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（3）拒绝按评标委员会要求澄清、说明或补正的。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3.2.3 投标报价有算术错误的，评标委员会按以下原则对投标报价进行修正，修正的价格经</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书面确认后具有约束力，修正原则如下：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（1）投标文件中的大写金额与小写金额不一致的，以大写金额为准；</w:t>
      </w:r>
    </w:p>
    <w:p>
      <w:pPr>
        <w:spacing w:line="360" w:lineRule="auto"/>
        <w:ind w:firstLine="420" w:firstLineChars="200"/>
        <w:rPr>
          <w:rFonts w:ascii="宋体" w:hAnsi="宋体" w:cs="宋体"/>
          <w:color w:val="0000FF"/>
          <w:szCs w:val="21"/>
          <w:highlight w:val="none"/>
        </w:rPr>
      </w:pPr>
      <w:r>
        <w:rPr>
          <w:rFonts w:hint="eastAsia" w:ascii="宋体" w:hAnsi="宋体" w:cs="宋体"/>
          <w:color w:val="auto"/>
          <w:szCs w:val="21"/>
          <w:highlight w:val="none"/>
        </w:rPr>
        <w:t>（2）投标函中的总报价与</w:t>
      </w:r>
      <w:r>
        <w:rPr>
          <w:rFonts w:hint="eastAsia" w:ascii="宋体" w:hAnsi="宋体" w:cs="宋体"/>
          <w:color w:val="auto"/>
          <w:szCs w:val="21"/>
          <w:highlight w:val="none"/>
          <w:lang w:val="en-US" w:eastAsia="zh-CN"/>
        </w:rPr>
        <w:t>综合单价</w:t>
      </w:r>
      <w:r>
        <w:rPr>
          <w:rFonts w:hint="eastAsia" w:ascii="宋体" w:hAnsi="宋体" w:cs="宋体"/>
          <w:color w:val="auto"/>
          <w:szCs w:val="21"/>
          <w:highlight w:val="none"/>
        </w:rPr>
        <w:t>清单总报价不一致的，由评标委员会作否决投标处理。</w:t>
      </w:r>
    </w:p>
    <w:p>
      <w:pPr>
        <w:pStyle w:val="5"/>
        <w:spacing w:before="0" w:after="0" w:line="360" w:lineRule="auto"/>
        <w:rPr>
          <w:rFonts w:ascii="宋体" w:hAnsi="宋体" w:cs="宋体"/>
          <w:color w:val="auto"/>
          <w:sz w:val="21"/>
          <w:szCs w:val="21"/>
          <w:highlight w:val="none"/>
        </w:rPr>
      </w:pPr>
      <w:bookmarkStart w:id="329" w:name="_Toc5505"/>
      <w:bookmarkStart w:id="330" w:name="_Toc30970"/>
      <w:bookmarkStart w:id="331" w:name="_Toc57905893"/>
      <w:r>
        <w:rPr>
          <w:rFonts w:ascii="宋体" w:hAnsi="宋体" w:cs="宋体"/>
          <w:color w:val="auto"/>
          <w:sz w:val="21"/>
          <w:szCs w:val="21"/>
          <w:highlight w:val="none"/>
        </w:rPr>
        <w:t>3.</w:t>
      </w:r>
      <w:r>
        <w:rPr>
          <w:rFonts w:hint="eastAsia" w:ascii="宋体" w:hAnsi="宋体" w:cs="宋体"/>
          <w:color w:val="auto"/>
          <w:sz w:val="21"/>
          <w:szCs w:val="21"/>
          <w:highlight w:val="none"/>
        </w:rPr>
        <w:t>3</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投标文件的澄清和补正</w:t>
      </w:r>
      <w:bookmarkEnd w:id="329"/>
      <w:bookmarkEnd w:id="330"/>
      <w:bookmarkEnd w:id="331"/>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.1 </w:t>
      </w:r>
      <w:r>
        <w:rPr>
          <w:rFonts w:hint="eastAsia" w:ascii="宋体" w:hAnsi="宋体" w:cs="宋体"/>
          <w:color w:val="auto"/>
          <w:szCs w:val="21"/>
          <w:highlight w:val="none"/>
        </w:rPr>
        <w:t>在评标过程中，评标委员会可以书面形式要求</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对所提交投标文件中不明确的内容进行书面澄清或说明，或者对细微偏差进行补正。评标委员会不接受</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主动提出的澄清、说明或补正。</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.2 </w:t>
      </w:r>
      <w:r>
        <w:rPr>
          <w:rFonts w:hint="eastAsia" w:ascii="宋体" w:hAnsi="宋体" w:cs="宋体"/>
          <w:color w:val="auto"/>
          <w:szCs w:val="21"/>
          <w:highlight w:val="none"/>
        </w:rPr>
        <w:t>澄清、说明和补正不得改变投标文件的实质性内容（算术性错误修正的除外）。</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的书面澄清、说明和补正属于投标文件的组成部分。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.3 </w:t>
      </w:r>
      <w:r>
        <w:rPr>
          <w:rFonts w:hint="eastAsia" w:ascii="宋体" w:hAnsi="宋体" w:cs="宋体"/>
          <w:color w:val="auto"/>
          <w:szCs w:val="21"/>
          <w:highlight w:val="none"/>
        </w:rPr>
        <w:t>评标委员会对</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提交的澄清、说明或补正有疑问的，可以要求</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进一步澄清、说明或补正，直至满足评标委员会的要求。</w:t>
      </w:r>
    </w:p>
    <w:p>
      <w:pPr>
        <w:pStyle w:val="5"/>
        <w:spacing w:before="0" w:after="0" w:line="360" w:lineRule="auto"/>
        <w:rPr>
          <w:rFonts w:ascii="宋体" w:hAnsi="宋体" w:cs="宋体"/>
          <w:color w:val="auto"/>
          <w:sz w:val="21"/>
          <w:szCs w:val="21"/>
          <w:highlight w:val="none"/>
        </w:rPr>
      </w:pPr>
      <w:bookmarkStart w:id="332" w:name="_Toc479262406"/>
      <w:bookmarkStart w:id="333" w:name="_Toc27746"/>
      <w:bookmarkStart w:id="334" w:name="_Toc57905894"/>
      <w:bookmarkStart w:id="335" w:name="_Toc484465184"/>
      <w:bookmarkStart w:id="336" w:name="_Toc26860"/>
      <w:r>
        <w:rPr>
          <w:rFonts w:ascii="宋体" w:hAnsi="宋体" w:cs="宋体"/>
          <w:color w:val="auto"/>
          <w:sz w:val="21"/>
          <w:szCs w:val="21"/>
          <w:highlight w:val="none"/>
        </w:rPr>
        <w:t>3.</w:t>
      </w:r>
      <w:r>
        <w:rPr>
          <w:rFonts w:hint="eastAsia" w:ascii="宋体" w:hAnsi="宋体" w:cs="宋体"/>
          <w:color w:val="auto"/>
          <w:sz w:val="21"/>
          <w:szCs w:val="21"/>
          <w:highlight w:val="none"/>
        </w:rPr>
        <w:t>4</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评标结果</w:t>
      </w:r>
      <w:bookmarkEnd w:id="332"/>
      <w:bookmarkEnd w:id="333"/>
      <w:bookmarkEnd w:id="334"/>
      <w:bookmarkEnd w:id="335"/>
      <w:bookmarkEnd w:id="336"/>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除第二章“</w:t>
      </w:r>
      <w:r>
        <w:rPr>
          <w:rFonts w:hint="eastAsia" w:ascii="宋体" w:hAnsi="宋体" w:cs="宋体"/>
          <w:color w:val="auto"/>
          <w:szCs w:val="21"/>
          <w:highlight w:val="none"/>
          <w:lang w:eastAsia="zh-CN"/>
        </w:rPr>
        <w:t>竞选人须知</w:t>
      </w:r>
      <w:r>
        <w:rPr>
          <w:rFonts w:hint="eastAsia" w:ascii="宋体" w:hAnsi="宋体" w:cs="宋体"/>
          <w:color w:val="auto"/>
          <w:szCs w:val="21"/>
          <w:highlight w:val="none"/>
        </w:rPr>
        <w:t>”前附表授权直接确定中标人外，评标委员会按经评审的最低投标价法推荐中标候选人。</w:t>
      </w:r>
    </w:p>
    <w:p>
      <w:pP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 xml:space="preserve"> 评标委员会完成评标后，应当向</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提交书面评标报告和中标候选人名单。</w:t>
      </w:r>
    </w:p>
    <w:p>
      <w:pPr>
        <w:spacing w:line="360" w:lineRule="auto"/>
        <w:rPr>
          <w:rFonts w:ascii="宋体" w:hAnsi="宋体"/>
          <w:b/>
          <w:szCs w:val="20"/>
          <w:highlight w:val="none"/>
        </w:rPr>
      </w:pPr>
      <w:r>
        <w:rPr>
          <w:rFonts w:ascii="宋体" w:hAnsi="宋体"/>
          <w:kern w:val="0"/>
          <w:sz w:val="20"/>
          <w:szCs w:val="20"/>
          <w:highlight w:val="none"/>
        </w:rPr>
        <w:br w:type="page"/>
      </w:r>
    </w:p>
    <w:p>
      <w:pPr>
        <w:pStyle w:val="33"/>
        <w:spacing w:line="360" w:lineRule="auto"/>
        <w:rPr>
          <w:rFonts w:ascii="宋体" w:hAnsi="宋体"/>
          <w:b/>
          <w:color w:val="auto"/>
          <w:sz w:val="28"/>
          <w:szCs w:val="28"/>
          <w:highlight w:val="none"/>
          <w:u w:val="none"/>
          <w:lang w:eastAsia="zh-CN"/>
        </w:rPr>
      </w:pPr>
      <w:bookmarkStart w:id="337" w:name="招标文件03章02评标办法综合评估法02附件02"/>
      <w:bookmarkEnd w:id="337"/>
      <w:bookmarkStart w:id="338" w:name="招标文件04章合同条款及格式"/>
      <w:bookmarkEnd w:id="338"/>
      <w:r>
        <w:rPr>
          <w:rFonts w:ascii="宋体" w:hAnsi="宋体"/>
          <w:b/>
          <w:color w:val="auto"/>
          <w:sz w:val="28"/>
          <w:szCs w:val="28"/>
          <w:highlight w:val="none"/>
          <w:u w:val="none"/>
          <w:lang w:eastAsia="zh-CN"/>
        </w:rPr>
        <w:t>附件A：</w:t>
      </w:r>
      <w:r>
        <w:rPr>
          <w:rFonts w:hint="eastAsia" w:ascii="宋体" w:hAnsi="宋体"/>
          <w:b/>
          <w:color w:val="auto"/>
          <w:sz w:val="28"/>
          <w:szCs w:val="28"/>
          <w:highlight w:val="none"/>
          <w:u w:val="none"/>
          <w:lang w:eastAsia="zh-CN"/>
        </w:rPr>
        <w:t>经评审的最低投标价法</w:t>
      </w:r>
      <w:r>
        <w:rPr>
          <w:rFonts w:ascii="宋体" w:hAnsi="宋体"/>
          <w:b/>
          <w:color w:val="auto"/>
          <w:sz w:val="28"/>
          <w:szCs w:val="28"/>
          <w:highlight w:val="none"/>
          <w:u w:val="none"/>
          <w:lang w:eastAsia="zh-CN"/>
        </w:rPr>
        <w:t>否决投标情况一览表</w:t>
      </w:r>
    </w:p>
    <w:p>
      <w:pPr>
        <w:pStyle w:val="33"/>
        <w:spacing w:line="360" w:lineRule="auto"/>
        <w:ind w:firstLine="420" w:firstLineChars="200"/>
        <w:jc w:val="both"/>
        <w:rPr>
          <w:rFonts w:ascii="宋体" w:hAnsi="宋体"/>
          <w:color w:val="auto"/>
          <w:sz w:val="21"/>
          <w:szCs w:val="21"/>
          <w:highlight w:val="none"/>
          <w:u w:val="none"/>
          <w:lang w:eastAsia="zh-CN"/>
        </w:rPr>
      </w:pPr>
      <w:r>
        <w:rPr>
          <w:rFonts w:hint="eastAsia" w:ascii="宋体" w:hAnsi="宋体"/>
          <w:color w:val="auto"/>
          <w:sz w:val="21"/>
          <w:szCs w:val="21"/>
          <w:highlight w:val="none"/>
          <w:u w:val="none"/>
          <w:lang w:eastAsia="zh-CN"/>
        </w:rPr>
        <w:t>投标文件存在本一览表下列情形之一的，投标文件视为重大偏差并作否决投标处理，否则，评标委员会不得视为重大偏差而否决竞选人的投标文件</w:t>
      </w:r>
      <w:r>
        <w:rPr>
          <w:rFonts w:ascii="宋体" w:hAnsi="宋体"/>
          <w:color w:val="auto"/>
          <w:sz w:val="21"/>
          <w:szCs w:val="21"/>
          <w:highlight w:val="none"/>
          <w:u w:val="none"/>
          <w:lang w:eastAsia="zh-CN"/>
        </w:rPr>
        <w:t>。</w:t>
      </w:r>
    </w:p>
    <w:tbl>
      <w:tblPr>
        <w:tblStyle w:val="46"/>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pPr>
              <w:spacing w:line="400" w:lineRule="exact"/>
              <w:jc w:val="center"/>
              <w:rPr>
                <w:rFonts w:ascii="宋体" w:hAnsi="宋体"/>
                <w:b/>
                <w:color w:val="auto"/>
                <w:szCs w:val="21"/>
                <w:highlight w:val="none"/>
              </w:rPr>
            </w:pPr>
            <w:r>
              <w:rPr>
                <w:rFonts w:ascii="宋体" w:hAnsi="宋体"/>
                <w:b/>
                <w:color w:val="auto"/>
                <w:szCs w:val="21"/>
                <w:highlight w:val="none"/>
              </w:rPr>
              <w:t>章节号</w:t>
            </w:r>
          </w:p>
        </w:tc>
        <w:tc>
          <w:tcPr>
            <w:tcW w:w="1899" w:type="dxa"/>
            <w:vAlign w:val="center"/>
          </w:tcPr>
          <w:p>
            <w:pPr>
              <w:spacing w:line="400" w:lineRule="exact"/>
              <w:jc w:val="center"/>
              <w:rPr>
                <w:rFonts w:ascii="宋体" w:hAnsi="宋体"/>
                <w:b/>
                <w:color w:val="auto"/>
                <w:szCs w:val="21"/>
                <w:highlight w:val="none"/>
              </w:rPr>
            </w:pPr>
            <w:r>
              <w:rPr>
                <w:rFonts w:ascii="宋体" w:hAnsi="宋体"/>
                <w:b/>
                <w:color w:val="auto"/>
                <w:szCs w:val="21"/>
                <w:highlight w:val="none"/>
              </w:rPr>
              <w:t>条款名称</w:t>
            </w:r>
          </w:p>
        </w:tc>
        <w:tc>
          <w:tcPr>
            <w:tcW w:w="6333" w:type="dxa"/>
            <w:vAlign w:val="center"/>
          </w:tcPr>
          <w:p>
            <w:pPr>
              <w:spacing w:line="400" w:lineRule="exact"/>
              <w:jc w:val="center"/>
              <w:rPr>
                <w:rFonts w:ascii="宋体" w:hAnsi="宋体"/>
                <w:b/>
                <w:color w:val="auto"/>
                <w:szCs w:val="21"/>
                <w:highlight w:val="none"/>
              </w:rPr>
            </w:pPr>
            <w:r>
              <w:rPr>
                <w:rFonts w:ascii="宋体" w:hAnsi="宋体"/>
                <w:b/>
                <w:color w:val="auto"/>
                <w:szCs w:val="21"/>
                <w:highlight w:val="none"/>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第三章</w:t>
            </w:r>
          </w:p>
        </w:tc>
        <w:tc>
          <w:tcPr>
            <w:tcW w:w="1899"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技术方案评审</w:t>
            </w:r>
          </w:p>
          <w:p>
            <w:pPr>
              <w:spacing w:line="400" w:lineRule="exact"/>
              <w:jc w:val="center"/>
              <w:rPr>
                <w:rFonts w:ascii="宋体" w:hAnsi="宋体"/>
                <w:color w:val="auto"/>
                <w:szCs w:val="21"/>
                <w:highlight w:val="none"/>
              </w:rPr>
            </w:pPr>
            <w:r>
              <w:rPr>
                <w:rFonts w:hint="eastAsia" w:ascii="宋体" w:hAnsi="宋体"/>
                <w:color w:val="auto"/>
                <w:szCs w:val="21"/>
                <w:highlight w:val="none"/>
              </w:rPr>
              <w:t>（如有）</w:t>
            </w: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eastAsia="zh-CN"/>
              </w:rPr>
              <w:t>竞选人</w:t>
            </w:r>
            <w:r>
              <w:rPr>
                <w:rFonts w:hint="eastAsia" w:ascii="宋体" w:hAnsi="宋体"/>
                <w:color w:val="auto"/>
                <w:szCs w:val="21"/>
                <w:highlight w:val="none"/>
              </w:rPr>
              <w:t>的技术方案综合性评审不合格，由评标委员会作否决投标处理。技术方案采用暗标评审时，其形式应符合第二章</w:t>
            </w:r>
            <w:r>
              <w:rPr>
                <w:rFonts w:hint="eastAsia" w:ascii="宋体" w:hAnsi="宋体"/>
                <w:color w:val="auto"/>
                <w:szCs w:val="21"/>
                <w:highlight w:val="none"/>
                <w:lang w:eastAsia="zh-CN"/>
              </w:rPr>
              <w:t>竞选人须知前附表</w:t>
            </w:r>
            <w:r>
              <w:rPr>
                <w:rFonts w:hint="eastAsia" w:ascii="宋体" w:hAnsi="宋体"/>
                <w:color w:val="auto"/>
                <w:szCs w:val="21"/>
                <w:highlight w:val="none"/>
              </w:rPr>
              <w:t>第3.7.5项（</w:t>
            </w:r>
            <w:r>
              <w:rPr>
                <w:rFonts w:hint="eastAsia" w:ascii="宋体" w:hAnsi="宋体"/>
                <w:color w:val="auto"/>
                <w:szCs w:val="21"/>
                <w:highlight w:val="none"/>
                <w:lang w:val="en-US" w:eastAsia="zh-CN"/>
              </w:rPr>
              <w:t>4</w:t>
            </w:r>
            <w:r>
              <w:rPr>
                <w:rFonts w:hint="eastAsia" w:ascii="宋体" w:hAnsi="宋体"/>
                <w:color w:val="auto"/>
                <w:szCs w:val="21"/>
                <w:highlight w:val="none"/>
              </w:rPr>
              <w:t>）技术部分的</w:t>
            </w:r>
            <w:r>
              <w:rPr>
                <w:rFonts w:hint="eastAsia" w:ascii="宋体" w:hAnsi="宋体"/>
                <w:color w:val="auto"/>
                <w:szCs w:val="21"/>
                <w:highlight w:val="none"/>
                <w:lang w:val="en-US" w:eastAsia="zh-CN"/>
              </w:rPr>
              <w:t>装订</w:t>
            </w:r>
            <w:r>
              <w:rPr>
                <w:rFonts w:hint="eastAsia" w:ascii="宋体" w:hAnsi="宋体"/>
                <w:color w:val="auto"/>
                <w:szCs w:val="21"/>
                <w:highlight w:val="none"/>
              </w:rPr>
              <w:t>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资格评审</w:t>
            </w: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w:t>
            </w:r>
            <w:r>
              <w:rPr>
                <w:rFonts w:hint="eastAsia" w:ascii="宋体" w:hAnsi="宋体"/>
                <w:color w:val="auto"/>
                <w:szCs w:val="21"/>
                <w:highlight w:val="none"/>
                <w:lang w:eastAsia="zh-CN"/>
              </w:rPr>
              <w:t>竞选人</w:t>
            </w:r>
            <w:r>
              <w:rPr>
                <w:rFonts w:hint="eastAsia" w:ascii="宋体" w:hAnsi="宋体"/>
                <w:color w:val="auto"/>
                <w:szCs w:val="21"/>
                <w:highlight w:val="none"/>
              </w:rPr>
              <w:t>的资质条件、营业执照及安全生产条件须满足</w:t>
            </w:r>
            <w:r>
              <w:rPr>
                <w:rFonts w:hint="eastAsia" w:ascii="宋体" w:hAnsi="宋体"/>
                <w:color w:val="auto"/>
                <w:szCs w:val="21"/>
                <w:highlight w:val="none"/>
                <w:lang w:eastAsia="zh-CN"/>
              </w:rPr>
              <w:t>竞选人须知前附表</w:t>
            </w:r>
            <w:r>
              <w:rPr>
                <w:rFonts w:hint="eastAsia" w:ascii="宋体" w:hAnsi="宋体"/>
                <w:color w:val="auto"/>
                <w:szCs w:val="21"/>
                <w:highlight w:val="none"/>
              </w:rPr>
              <w:t>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A-3</w:t>
            </w:r>
            <w:r>
              <w:rPr>
                <w:rFonts w:hint="eastAsia" w:ascii="宋体" w:hAnsi="宋体"/>
                <w:color w:val="auto"/>
                <w:szCs w:val="21"/>
                <w:highlight w:val="none"/>
                <w:lang w:eastAsia="zh-CN"/>
              </w:rPr>
              <w:t>竞选人</w:t>
            </w:r>
            <w:r>
              <w:rPr>
                <w:rFonts w:hint="eastAsia" w:ascii="宋体" w:hAnsi="宋体"/>
                <w:color w:val="auto"/>
                <w:szCs w:val="21"/>
                <w:highlight w:val="none"/>
              </w:rPr>
              <w:t>的财务须满足</w:t>
            </w:r>
            <w:r>
              <w:rPr>
                <w:rFonts w:hint="eastAsia" w:ascii="宋体" w:hAnsi="宋体"/>
                <w:color w:val="auto"/>
                <w:szCs w:val="21"/>
                <w:highlight w:val="none"/>
                <w:lang w:eastAsia="zh-CN"/>
              </w:rPr>
              <w:t>竞选人须知前附表</w:t>
            </w:r>
            <w:r>
              <w:rPr>
                <w:rFonts w:hint="eastAsia" w:ascii="宋体" w:hAnsi="宋体"/>
                <w:color w:val="auto"/>
                <w:szCs w:val="21"/>
                <w:highlight w:val="none"/>
              </w:rPr>
              <w:t>第1.4.1项的要求，否则由评标委员会作否决投标处理（如有）。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A-4</w:t>
            </w:r>
            <w:r>
              <w:rPr>
                <w:rFonts w:hint="eastAsia" w:ascii="宋体" w:hAnsi="宋体"/>
                <w:color w:val="auto"/>
                <w:szCs w:val="21"/>
                <w:highlight w:val="none"/>
                <w:lang w:eastAsia="zh-CN"/>
              </w:rPr>
              <w:t>竞选人</w:t>
            </w:r>
            <w:r>
              <w:rPr>
                <w:rFonts w:hint="eastAsia" w:ascii="宋体" w:hAnsi="宋体"/>
                <w:color w:val="auto"/>
                <w:szCs w:val="21"/>
                <w:highlight w:val="none"/>
              </w:rPr>
              <w:t>的业绩须满足</w:t>
            </w:r>
            <w:r>
              <w:rPr>
                <w:rFonts w:hint="eastAsia" w:ascii="宋体" w:hAnsi="宋体"/>
                <w:color w:val="auto"/>
                <w:szCs w:val="21"/>
                <w:highlight w:val="none"/>
                <w:lang w:eastAsia="zh-CN"/>
              </w:rPr>
              <w:t>竞选人须知前附表</w:t>
            </w:r>
            <w:r>
              <w:rPr>
                <w:rFonts w:hint="eastAsia" w:ascii="宋体" w:hAnsi="宋体"/>
                <w:color w:val="auto"/>
                <w:szCs w:val="21"/>
                <w:highlight w:val="none"/>
              </w:rPr>
              <w:t>第1.4.1项的要求，否则由评标委员会作否决投标处理（如有）。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A-5</w:t>
            </w:r>
            <w:r>
              <w:rPr>
                <w:rFonts w:hint="eastAsia" w:ascii="宋体" w:hAnsi="宋体"/>
                <w:color w:val="auto"/>
                <w:szCs w:val="21"/>
                <w:highlight w:val="none"/>
                <w:lang w:eastAsia="zh-CN"/>
              </w:rPr>
              <w:t>竞选人</w:t>
            </w:r>
            <w:r>
              <w:rPr>
                <w:rFonts w:hint="eastAsia" w:ascii="宋体" w:hAnsi="宋体"/>
                <w:color w:val="auto"/>
                <w:szCs w:val="21"/>
                <w:highlight w:val="none"/>
              </w:rPr>
              <w:t>的投标截止日投标资格情况须满足</w:t>
            </w:r>
            <w:r>
              <w:rPr>
                <w:rFonts w:hint="eastAsia" w:ascii="宋体" w:hAnsi="宋体"/>
                <w:color w:val="auto"/>
                <w:szCs w:val="21"/>
                <w:highlight w:val="none"/>
                <w:lang w:eastAsia="zh-CN"/>
              </w:rPr>
              <w:t>竞选人须知前附表</w:t>
            </w:r>
            <w:r>
              <w:rPr>
                <w:rFonts w:hint="eastAsia" w:ascii="宋体" w:hAnsi="宋体"/>
                <w:color w:val="auto"/>
                <w:szCs w:val="21"/>
                <w:highlight w:val="none"/>
              </w:rPr>
              <w:t>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A-6</w:t>
            </w:r>
            <w:r>
              <w:rPr>
                <w:rFonts w:hint="eastAsia" w:ascii="宋体" w:hAnsi="宋体"/>
                <w:color w:val="auto"/>
                <w:szCs w:val="21"/>
                <w:highlight w:val="none"/>
                <w:lang w:eastAsia="zh-CN"/>
              </w:rPr>
              <w:t>竞选人</w:t>
            </w:r>
            <w:r>
              <w:rPr>
                <w:rFonts w:hint="eastAsia" w:ascii="宋体" w:hAnsi="宋体"/>
                <w:color w:val="auto"/>
                <w:szCs w:val="21"/>
                <w:highlight w:val="none"/>
              </w:rPr>
              <w:t>的项目经理资格须满足</w:t>
            </w:r>
            <w:r>
              <w:rPr>
                <w:rFonts w:hint="eastAsia" w:ascii="宋体" w:hAnsi="宋体"/>
                <w:color w:val="auto"/>
                <w:szCs w:val="21"/>
                <w:highlight w:val="none"/>
                <w:lang w:eastAsia="zh-CN"/>
              </w:rPr>
              <w:t>竞选人须知前附表</w:t>
            </w:r>
            <w:r>
              <w:rPr>
                <w:rFonts w:hint="eastAsia" w:ascii="宋体" w:hAnsi="宋体"/>
                <w:color w:val="auto"/>
                <w:szCs w:val="21"/>
                <w:highlight w:val="none"/>
              </w:rPr>
              <w:t>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A-7</w:t>
            </w:r>
            <w:r>
              <w:rPr>
                <w:rFonts w:hint="eastAsia" w:ascii="宋体" w:hAnsi="宋体"/>
                <w:color w:val="auto"/>
                <w:szCs w:val="21"/>
                <w:highlight w:val="none"/>
                <w:lang w:eastAsia="zh-CN"/>
              </w:rPr>
              <w:t>竞选人</w:t>
            </w:r>
            <w:r>
              <w:rPr>
                <w:rFonts w:hint="eastAsia" w:ascii="宋体" w:hAnsi="宋体"/>
                <w:color w:val="auto"/>
                <w:szCs w:val="21"/>
                <w:highlight w:val="none"/>
              </w:rPr>
              <w:t>的其他要求须满足</w:t>
            </w:r>
            <w:r>
              <w:rPr>
                <w:rFonts w:hint="eastAsia" w:ascii="宋体" w:hAnsi="宋体"/>
                <w:color w:val="auto"/>
                <w:szCs w:val="21"/>
                <w:highlight w:val="none"/>
                <w:lang w:eastAsia="zh-CN"/>
              </w:rPr>
              <w:t>竞选人须知前附表</w:t>
            </w:r>
            <w:r>
              <w:rPr>
                <w:rFonts w:hint="eastAsia" w:ascii="宋体" w:hAnsi="宋体"/>
                <w:color w:val="auto"/>
                <w:szCs w:val="21"/>
                <w:highlight w:val="none"/>
              </w:rPr>
              <w:t>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A-8若有联合体</w:t>
            </w:r>
            <w:r>
              <w:rPr>
                <w:rFonts w:hint="eastAsia" w:ascii="宋体" w:hAnsi="宋体"/>
                <w:color w:val="auto"/>
                <w:szCs w:val="21"/>
                <w:highlight w:val="none"/>
                <w:lang w:eastAsia="zh-CN"/>
              </w:rPr>
              <w:t>竞选人</w:t>
            </w:r>
            <w:r>
              <w:rPr>
                <w:rFonts w:hint="eastAsia" w:ascii="宋体" w:hAnsi="宋体"/>
                <w:color w:val="auto"/>
                <w:szCs w:val="21"/>
                <w:highlight w:val="none"/>
              </w:rPr>
              <w:t>，则：</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（1）联合体各方应按照招标文件提供的格式签订联合体协议书，明确联合体牵头人和各方权利义务；</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（2）联合体各方均应当具备承担招标项目的相应能力，联合体协议约定同一专业分工由两个及以上单位共同承担的，按照资质等级较低的单位确定资质等级；</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（3）联合体各方不得再以自己名义单独或参加其他联合体在同一标段中投标。</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形式评审</w:t>
            </w:r>
          </w:p>
        </w:tc>
        <w:tc>
          <w:tcPr>
            <w:tcW w:w="6333"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A-9</w:t>
            </w:r>
            <w:r>
              <w:rPr>
                <w:rFonts w:hint="eastAsia" w:ascii="宋体" w:hAnsi="宋体"/>
                <w:color w:val="auto"/>
                <w:szCs w:val="21"/>
                <w:highlight w:val="none"/>
                <w:lang w:eastAsia="zh-CN"/>
              </w:rPr>
              <w:t>竞选人</w:t>
            </w:r>
            <w:r>
              <w:rPr>
                <w:rFonts w:hint="eastAsia" w:ascii="宋体" w:hAnsi="宋体"/>
                <w:color w:val="auto"/>
                <w:szCs w:val="21"/>
                <w:highlight w:val="none"/>
              </w:rPr>
              <w:t>名称必须与营业执照、资质证书、安全生产许可证一致，依法变更名称的应提交相应证明材料，</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A-10投标函格式规定签名、盖章的位置有法定代表人或其委托代理人签名（或盖章）、加盖单位法人章，否则由评标委员会作否决投标处理。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A-11投标文件格式符合第二章“</w:t>
            </w:r>
            <w:r>
              <w:rPr>
                <w:rFonts w:hint="eastAsia" w:ascii="宋体" w:hAnsi="宋体"/>
                <w:color w:val="auto"/>
                <w:szCs w:val="21"/>
                <w:highlight w:val="none"/>
                <w:lang w:eastAsia="zh-CN"/>
              </w:rPr>
              <w:t>竞选人须知</w:t>
            </w:r>
            <w:r>
              <w:rPr>
                <w:rFonts w:hint="eastAsia" w:ascii="宋体" w:hAnsi="宋体"/>
                <w:color w:val="auto"/>
                <w:szCs w:val="21"/>
                <w:highlight w:val="none"/>
              </w:rPr>
              <w:t>”第3.7款的要求，否则由评标委员会作否决投标处理。</w:t>
            </w:r>
          </w:p>
          <w:p>
            <w:pPr>
              <w:spacing w:line="400" w:lineRule="exact"/>
              <w:ind w:firstLine="420" w:firstLineChars="200"/>
              <w:rPr>
                <w:rFonts w:ascii="宋体" w:hAnsi="宋体"/>
                <w:color w:val="auto"/>
                <w:szCs w:val="21"/>
                <w:highlight w:val="none"/>
              </w:rPr>
            </w:pPr>
            <w:r>
              <w:rPr>
                <w:rFonts w:hint="eastAsia" w:ascii="宋体" w:hAnsi="宋体"/>
                <w:color w:val="auto"/>
                <w:kern w:val="0"/>
                <w:szCs w:val="21"/>
                <w:highlight w:val="none"/>
              </w:rPr>
              <w:t>编制投标文件时不得对第八章“投标文件格式”的相应要素作实质性修改，否则由评标委员会作否决投标处理。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tcPr>
          <w:p>
            <w:pPr>
              <w:autoSpaceDE w:val="0"/>
              <w:autoSpaceDN w:val="0"/>
              <w:adjustRightInd w:val="0"/>
              <w:snapToGrid w:val="0"/>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A-12投标文件份数符合第二章“</w:t>
            </w:r>
            <w:r>
              <w:rPr>
                <w:rFonts w:hint="eastAsia" w:ascii="宋体" w:hAnsi="宋体"/>
                <w:color w:val="auto"/>
                <w:szCs w:val="21"/>
                <w:highlight w:val="none"/>
                <w:lang w:eastAsia="zh-CN"/>
              </w:rPr>
              <w:t>竞选人须知</w:t>
            </w:r>
            <w:r>
              <w:rPr>
                <w:rFonts w:hint="eastAsia" w:ascii="宋体" w:hAnsi="宋体"/>
                <w:color w:val="auto"/>
                <w:szCs w:val="21"/>
                <w:highlight w:val="none"/>
              </w:rPr>
              <w:t>”第3.7.4项的规定，</w:t>
            </w:r>
            <w:r>
              <w:rPr>
                <w:rFonts w:hint="eastAsia" w:ascii="宋体" w:hAnsi="宋体"/>
                <w:color w:val="auto"/>
                <w:kern w:val="0"/>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-13联合体参与投标的应提交联合体协议书，并明确联合体牵头人。在联合体协议书第5条联合体各成员单位内部的职责分工中填写的联合体所有成员单位名称应与其营业执照、资质证书、安全生产许可证一致，依法变更名称的应提交相应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A-14只能有一个有效报价。在招标文件没有规定的情况下，不得提交选择性报价，否则由评标委员会作否决投标处理。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tcPr>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A-15</w:t>
            </w:r>
            <w:r>
              <w:rPr>
                <w:rFonts w:hint="eastAsia" w:ascii="宋体" w:hAnsi="宋体" w:cs="宋体"/>
                <w:color w:val="auto"/>
                <w:kern w:val="0"/>
                <w:highlight w:val="none"/>
              </w:rPr>
              <w:t>第八章 投标文件格式要求法定代表人或其委托代理人签名（或盖章）的须齐全。</w:t>
            </w:r>
            <w:r>
              <w:rPr>
                <w:rFonts w:hint="eastAsia" w:ascii="宋体" w:hAnsi="宋体" w:cs="宋体"/>
                <w:snapToGrid w:val="0"/>
                <w:color w:val="auto"/>
                <w:kern w:val="0"/>
                <w:szCs w:val="21"/>
                <w:highlight w:val="none"/>
              </w:rPr>
              <w:t>若投标单位为联合体，则联合体协议书中各联合体各成员单位签名（或盖章）须齐全，联合体协议书以外的</w:t>
            </w:r>
            <w:r>
              <w:rPr>
                <w:rFonts w:hint="eastAsia" w:ascii="宋体" w:hAnsi="宋体" w:cs="宋体"/>
                <w:color w:val="auto"/>
                <w:kern w:val="0"/>
                <w:highlight w:val="none"/>
              </w:rPr>
              <w:t>投标文件格式中，要求</w:t>
            </w:r>
            <w:r>
              <w:rPr>
                <w:rFonts w:hint="eastAsia" w:ascii="宋体" w:hAnsi="宋体" w:cs="宋体"/>
                <w:snapToGrid w:val="0"/>
                <w:color w:val="auto"/>
                <w:kern w:val="0"/>
                <w:szCs w:val="21"/>
                <w:highlight w:val="none"/>
              </w:rPr>
              <w:t>联合体牵头人</w:t>
            </w:r>
            <w:r>
              <w:rPr>
                <w:rFonts w:hint="eastAsia" w:ascii="宋体" w:hAnsi="宋体" w:cs="宋体"/>
                <w:color w:val="auto"/>
                <w:kern w:val="0"/>
                <w:highlight w:val="none"/>
              </w:rPr>
              <w:t>法定代表人或其委托代理人签名（或盖章）的须齐全</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A-16</w:t>
            </w:r>
            <w:r>
              <w:rPr>
                <w:rFonts w:hint="eastAsia" w:ascii="宋体" w:hAnsi="宋体"/>
                <w:color w:val="auto"/>
                <w:szCs w:val="21"/>
                <w:highlight w:val="none"/>
                <w:lang w:eastAsia="zh-CN"/>
              </w:rPr>
              <w:t>竞选人</w:t>
            </w:r>
            <w:r>
              <w:rPr>
                <w:rFonts w:hint="eastAsia" w:ascii="宋体" w:hAnsi="宋体"/>
                <w:color w:val="auto"/>
                <w:szCs w:val="21"/>
                <w:highlight w:val="none"/>
              </w:rPr>
              <w:t>法定代表人的委托代理人有法定代表人签署的授权委托书和</w:t>
            </w:r>
            <w:r>
              <w:rPr>
                <w:rFonts w:hint="eastAsia" w:ascii="宋体" w:hAnsi="宋体"/>
                <w:color w:val="auto"/>
                <w:szCs w:val="21"/>
                <w:highlight w:val="none"/>
                <w:lang w:eastAsia="zh-CN"/>
              </w:rPr>
              <w:t>竞选人</w:t>
            </w:r>
            <w:r>
              <w:rPr>
                <w:rFonts w:hint="eastAsia" w:ascii="宋体" w:hAnsi="宋体"/>
                <w:color w:val="auto"/>
                <w:szCs w:val="21"/>
                <w:highlight w:val="none"/>
              </w:rPr>
              <w:t>为其缴纳的养老保险证明材料，否则由评标委员会作否决投标处理。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响应性评审</w:t>
            </w: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A-17</w:t>
            </w:r>
            <w:r>
              <w:rPr>
                <w:rFonts w:hint="eastAsia" w:ascii="宋体" w:hAnsi="宋体" w:cs="宋体"/>
                <w:color w:val="auto"/>
                <w:szCs w:val="21"/>
                <w:highlight w:val="none"/>
              </w:rPr>
              <w:t>投标总报价必须与已标价工程量清单总报价一致</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A-18投标总报价不得高于</w:t>
            </w:r>
            <w:r>
              <w:rPr>
                <w:rFonts w:hint="eastAsia" w:ascii="宋体" w:hAnsi="宋体"/>
                <w:color w:val="auto"/>
                <w:szCs w:val="21"/>
                <w:highlight w:val="none"/>
                <w:lang w:eastAsia="zh-CN"/>
              </w:rPr>
              <w:t>比选人</w:t>
            </w:r>
            <w:r>
              <w:rPr>
                <w:rFonts w:hint="eastAsia" w:ascii="宋体" w:hAnsi="宋体"/>
                <w:color w:val="auto"/>
                <w:szCs w:val="21"/>
                <w:highlight w:val="none"/>
              </w:rPr>
              <w:t>公布的投标总报价最高限价，否则由评标委员会作否决投标处理。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A-19投标总报价低于最高限价85%的，</w:t>
            </w:r>
            <w:r>
              <w:rPr>
                <w:rFonts w:hint="eastAsia" w:ascii="宋体" w:hAnsi="宋体"/>
                <w:color w:val="auto"/>
                <w:szCs w:val="21"/>
                <w:highlight w:val="none"/>
                <w:lang w:eastAsia="zh-CN"/>
              </w:rPr>
              <w:t>竞选人</w:t>
            </w:r>
            <w:r>
              <w:rPr>
                <w:rFonts w:hint="eastAsia" w:ascii="宋体" w:hAnsi="宋体"/>
                <w:color w:val="auto"/>
                <w:szCs w:val="21"/>
                <w:highlight w:val="none"/>
              </w:rPr>
              <w:t>应在编制投标文件时，在投标函部分中递交低价风险担保提交承诺书。承诺书格式详见第八章投标文件格式，否则由评标委员会作否决投标处理。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A-20暂列金额、暂估价、安全文明施工费等暂定金额必须按照招标文件给定的金额填报，否则由评标委员会作否决投标处理。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A-21投标内容符合第二章“</w:t>
            </w:r>
            <w:r>
              <w:rPr>
                <w:rFonts w:hint="eastAsia" w:ascii="宋体" w:hAnsi="宋体"/>
                <w:color w:val="auto"/>
                <w:szCs w:val="21"/>
                <w:highlight w:val="none"/>
                <w:lang w:eastAsia="zh-CN"/>
              </w:rPr>
              <w:t>竞选人须知</w:t>
            </w:r>
            <w:r>
              <w:rPr>
                <w:rFonts w:hint="eastAsia" w:ascii="宋体" w:hAnsi="宋体"/>
                <w:color w:val="auto"/>
                <w:szCs w:val="21"/>
                <w:highlight w:val="none"/>
              </w:rPr>
              <w:t>”第1.3.1项规定，否则由评标委员会作否决投标处理。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A-22工期符合第二章“</w:t>
            </w:r>
            <w:r>
              <w:rPr>
                <w:rFonts w:hint="eastAsia" w:ascii="宋体" w:hAnsi="宋体"/>
                <w:color w:val="auto"/>
                <w:szCs w:val="21"/>
                <w:highlight w:val="none"/>
                <w:lang w:eastAsia="zh-CN"/>
              </w:rPr>
              <w:t>竞选人须知</w:t>
            </w:r>
            <w:r>
              <w:rPr>
                <w:rFonts w:hint="eastAsia" w:ascii="宋体" w:hAnsi="宋体"/>
                <w:color w:val="auto"/>
                <w:szCs w:val="21"/>
                <w:highlight w:val="none"/>
              </w:rPr>
              <w:t>”第1.3.2项规定，否则由评标委员会作否决投标处理。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A-23工程质量符合第二章“</w:t>
            </w:r>
            <w:r>
              <w:rPr>
                <w:rFonts w:hint="eastAsia" w:ascii="宋体" w:hAnsi="宋体"/>
                <w:color w:val="auto"/>
                <w:szCs w:val="21"/>
                <w:highlight w:val="none"/>
                <w:lang w:eastAsia="zh-CN"/>
              </w:rPr>
              <w:t>竞选人须知</w:t>
            </w:r>
            <w:r>
              <w:rPr>
                <w:rFonts w:hint="eastAsia" w:ascii="宋体" w:hAnsi="宋体"/>
                <w:color w:val="auto"/>
                <w:szCs w:val="21"/>
                <w:highlight w:val="none"/>
              </w:rPr>
              <w:t>”第1.3.3项规定，否则由评标委员会作否决投标处理。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A-24投标有效期符合第二章“</w:t>
            </w:r>
            <w:r>
              <w:rPr>
                <w:rFonts w:hint="eastAsia" w:ascii="宋体" w:hAnsi="宋体"/>
                <w:color w:val="auto"/>
                <w:szCs w:val="21"/>
                <w:highlight w:val="none"/>
                <w:lang w:eastAsia="zh-CN"/>
              </w:rPr>
              <w:t>竞选人须知</w:t>
            </w:r>
            <w:r>
              <w:rPr>
                <w:rFonts w:hint="eastAsia" w:ascii="宋体" w:hAnsi="宋体"/>
                <w:color w:val="auto"/>
                <w:szCs w:val="21"/>
                <w:highlight w:val="none"/>
              </w:rPr>
              <w:t>”第3.3.1项规定，否则由评标委员会作否决投标处理。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A-25</w:t>
            </w:r>
            <w:r>
              <w:rPr>
                <w:rFonts w:hint="eastAsia" w:ascii="宋体" w:hAnsi="宋体"/>
                <w:color w:val="auto"/>
                <w:szCs w:val="21"/>
                <w:highlight w:val="none"/>
                <w:lang w:eastAsia="zh-CN"/>
              </w:rPr>
              <w:t>竞选人</w:t>
            </w:r>
            <w:r>
              <w:rPr>
                <w:rFonts w:ascii="宋体" w:hAnsi="宋体"/>
                <w:color w:val="auto"/>
                <w:szCs w:val="21"/>
                <w:highlight w:val="none"/>
              </w:rPr>
              <w:t>应按</w:t>
            </w:r>
            <w:r>
              <w:rPr>
                <w:rFonts w:hint="eastAsia" w:ascii="宋体" w:hAnsi="宋体"/>
                <w:color w:val="auto"/>
                <w:szCs w:val="21"/>
                <w:highlight w:val="none"/>
                <w:lang w:eastAsia="zh-CN"/>
              </w:rPr>
              <w:t>竞选人须知前附表</w:t>
            </w:r>
            <w:r>
              <w:rPr>
                <w:rFonts w:hint="eastAsia" w:ascii="宋体" w:hAnsi="宋体"/>
                <w:color w:val="auto"/>
                <w:szCs w:val="21"/>
                <w:highlight w:val="none"/>
              </w:rPr>
              <w:t>第3.4款的</w:t>
            </w:r>
            <w:r>
              <w:rPr>
                <w:rFonts w:ascii="宋体" w:hAnsi="宋体"/>
                <w:color w:val="auto"/>
                <w:szCs w:val="21"/>
                <w:highlight w:val="none"/>
              </w:rPr>
              <w:t>规定递交投标保证金，并作为其投标文件的组成部分</w:t>
            </w:r>
            <w:r>
              <w:rPr>
                <w:rFonts w:hint="eastAsia" w:ascii="宋体" w:hAnsi="宋体"/>
                <w:color w:val="auto"/>
                <w:szCs w:val="21"/>
                <w:highlight w:val="none"/>
              </w:rPr>
              <w:t>，</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A-26符合第四章“合同条款及格式”规定，投标文件不应附有</w:t>
            </w:r>
            <w:r>
              <w:rPr>
                <w:rFonts w:hint="eastAsia" w:ascii="宋体" w:hAnsi="宋体"/>
                <w:color w:val="auto"/>
                <w:szCs w:val="21"/>
                <w:highlight w:val="none"/>
                <w:lang w:eastAsia="zh-CN"/>
              </w:rPr>
              <w:t>比选人</w:t>
            </w:r>
            <w:r>
              <w:rPr>
                <w:rFonts w:hint="eastAsia" w:ascii="宋体" w:hAnsi="宋体"/>
                <w:color w:val="auto"/>
                <w:szCs w:val="21"/>
                <w:highlight w:val="none"/>
              </w:rPr>
              <w:t>不能接受的条件，否则由评标委员会作否决投标处理。（由</w:t>
            </w:r>
            <w:r>
              <w:rPr>
                <w:rFonts w:hint="eastAsia" w:ascii="宋体" w:hAnsi="宋体"/>
                <w:color w:val="auto"/>
                <w:szCs w:val="21"/>
                <w:highlight w:val="none"/>
                <w:lang w:eastAsia="zh-CN"/>
              </w:rPr>
              <w:t>竞选人</w:t>
            </w:r>
            <w:r>
              <w:rPr>
                <w:rFonts w:hint="eastAsia" w:ascii="宋体" w:hAnsi="宋体"/>
                <w:color w:val="auto"/>
                <w:szCs w:val="21"/>
                <w:highlight w:val="none"/>
              </w:rPr>
              <w:t>承诺，承诺书格式详见第八章投标文件格式。）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A-27符合第七章“技术标准和要求”规定。否则由评标委员会作否决投标处理（如有）。（由</w:t>
            </w:r>
            <w:r>
              <w:rPr>
                <w:rFonts w:hint="eastAsia" w:ascii="宋体" w:hAnsi="宋体"/>
                <w:color w:val="auto"/>
                <w:szCs w:val="21"/>
                <w:highlight w:val="none"/>
                <w:lang w:eastAsia="zh-CN"/>
              </w:rPr>
              <w:t>竞选人</w:t>
            </w:r>
            <w:r>
              <w:rPr>
                <w:rFonts w:hint="eastAsia" w:ascii="宋体" w:hAnsi="宋体"/>
                <w:color w:val="auto"/>
                <w:szCs w:val="21"/>
                <w:highlight w:val="none"/>
              </w:rPr>
              <w:t>承诺，承诺书格式详见第八章投标文件格式。）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A-28</w:t>
            </w:r>
            <w:r>
              <w:rPr>
                <w:rFonts w:hint="eastAsia" w:ascii="宋体" w:hAnsi="宋体"/>
                <w:color w:val="auto"/>
                <w:szCs w:val="21"/>
                <w:highlight w:val="none"/>
                <w:lang w:eastAsia="zh-CN"/>
              </w:rPr>
              <w:t>竞选人</w:t>
            </w:r>
            <w:r>
              <w:rPr>
                <w:rFonts w:hint="eastAsia" w:ascii="宋体" w:hAnsi="宋体"/>
                <w:color w:val="auto"/>
                <w:szCs w:val="21"/>
                <w:highlight w:val="none"/>
              </w:rPr>
              <w:t>提供的关于已标价工程量清单的承诺符合招标文件的要求，</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A-29投标报价有算术错误的，按照第三章“评标办法”第3.2.3项规定执行，否则由评标委员会作否决投标处理。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A-30</w:t>
            </w:r>
            <w:r>
              <w:rPr>
                <w:rFonts w:hint="eastAsia" w:ascii="宋体" w:hAnsi="宋体"/>
                <w:color w:val="auto"/>
                <w:szCs w:val="21"/>
                <w:highlight w:val="none"/>
                <w:lang w:eastAsia="zh-CN"/>
              </w:rPr>
              <w:t>竞选人</w:t>
            </w:r>
            <w:r>
              <w:rPr>
                <w:rFonts w:hint="eastAsia" w:ascii="宋体" w:hAnsi="宋体"/>
                <w:color w:val="auto"/>
                <w:szCs w:val="21"/>
                <w:highlight w:val="none"/>
              </w:rPr>
              <w:t>有以下情形之一的，其投标文件由评标委员会</w:t>
            </w:r>
            <w:r>
              <w:rPr>
                <w:rFonts w:ascii="宋体" w:hAnsi="宋体"/>
                <w:color w:val="auto"/>
                <w:szCs w:val="21"/>
                <w:highlight w:val="none"/>
              </w:rPr>
              <w:t>作否决投标处理</w:t>
            </w:r>
            <w:r>
              <w:rPr>
                <w:rFonts w:hint="eastAsia"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1.第二章“</w:t>
            </w:r>
            <w:r>
              <w:rPr>
                <w:rFonts w:hint="eastAsia" w:ascii="宋体" w:hAnsi="宋体"/>
                <w:color w:val="auto"/>
                <w:szCs w:val="21"/>
                <w:highlight w:val="none"/>
                <w:lang w:eastAsia="zh-CN"/>
              </w:rPr>
              <w:t>竞选人须知</w:t>
            </w:r>
            <w:r>
              <w:rPr>
                <w:rFonts w:hint="eastAsia" w:ascii="宋体" w:hAnsi="宋体"/>
                <w:color w:val="auto"/>
                <w:szCs w:val="21"/>
                <w:highlight w:val="none"/>
              </w:rPr>
              <w:t>”第1.4.3项规定的任何一种情形的；</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2.本次投标有串通投标、弄虚作假等违反招投标相关法律、法规的行为的；</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3.拒绝按评标委员会要求澄清、说明或补正的。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pPr>
              <w:spacing w:line="400" w:lineRule="exact"/>
              <w:jc w:val="center"/>
              <w:rPr>
                <w:rFonts w:ascii="宋体" w:hAnsi="宋体"/>
                <w:color w:val="auto"/>
                <w:szCs w:val="21"/>
                <w:highlight w:val="none"/>
              </w:rPr>
            </w:pPr>
            <w:r>
              <w:rPr>
                <w:rFonts w:ascii="宋体" w:hAnsi="宋体"/>
                <w:color w:val="auto"/>
                <w:szCs w:val="21"/>
                <w:highlight w:val="none"/>
              </w:rPr>
              <w:t>其他</w:t>
            </w:r>
          </w:p>
        </w:tc>
        <w:tc>
          <w:tcPr>
            <w:tcW w:w="1899" w:type="dxa"/>
            <w:vAlign w:val="center"/>
          </w:tcPr>
          <w:p>
            <w:pPr>
              <w:spacing w:line="400" w:lineRule="exact"/>
              <w:jc w:val="center"/>
              <w:rPr>
                <w:rFonts w:ascii="宋体" w:hAnsi="宋体"/>
                <w:color w:val="auto"/>
                <w:szCs w:val="21"/>
                <w:highlight w:val="none"/>
              </w:rPr>
            </w:pPr>
          </w:p>
        </w:tc>
        <w:tc>
          <w:tcPr>
            <w:tcW w:w="6333" w:type="dxa"/>
          </w:tcPr>
          <w:p>
            <w:pPr>
              <w:spacing w:line="400" w:lineRule="exact"/>
              <w:ind w:firstLine="420" w:firstLineChars="200"/>
              <w:rPr>
                <w:rFonts w:ascii="宋体" w:hAnsi="宋体"/>
                <w:i/>
                <w:color w:val="auto"/>
                <w:szCs w:val="21"/>
                <w:highlight w:val="none"/>
              </w:rPr>
            </w:pPr>
            <w:r>
              <w:rPr>
                <w:rFonts w:hint="eastAsia" w:ascii="宋体" w:hAnsi="宋体"/>
                <w:i/>
                <w:color w:val="auto"/>
                <w:szCs w:val="21"/>
                <w:highlight w:val="none"/>
              </w:rPr>
              <w:t>[提示：</w:t>
            </w:r>
            <w:r>
              <w:rPr>
                <w:rFonts w:hint="eastAsia" w:ascii="宋体" w:hAnsi="宋体"/>
                <w:i/>
                <w:color w:val="auto"/>
                <w:szCs w:val="21"/>
                <w:highlight w:val="none"/>
                <w:lang w:eastAsia="zh-CN"/>
              </w:rPr>
              <w:t>比选人</w:t>
            </w:r>
            <w:r>
              <w:rPr>
                <w:rFonts w:hint="eastAsia" w:ascii="宋体" w:hAnsi="宋体"/>
                <w:i/>
                <w:color w:val="auto"/>
                <w:szCs w:val="21"/>
                <w:highlight w:val="none"/>
              </w:rPr>
              <w:t>必须将所有否决投标条款集中罗列于此表，若无其他否决投标条款则在该条写无。]</w:t>
            </w:r>
          </w:p>
        </w:tc>
      </w:tr>
    </w:tbl>
    <w:p>
      <w:pPr>
        <w:spacing w:line="480" w:lineRule="auto"/>
        <w:jc w:val="left"/>
        <w:rPr>
          <w:rFonts w:ascii="宋体" w:hAnsi="宋体"/>
          <w:color w:val="auto"/>
          <w:kern w:val="0"/>
          <w:sz w:val="24"/>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before="340" w:after="330" w:line="360" w:lineRule="auto"/>
        <w:jc w:val="left"/>
        <w:rPr>
          <w:rFonts w:ascii="宋体" w:hAnsi="宋体"/>
          <w:kern w:val="0"/>
          <w:sz w:val="52"/>
          <w:szCs w:val="52"/>
          <w:highlight w:val="none"/>
        </w:rPr>
      </w:pPr>
      <w:r>
        <w:rPr>
          <w:rFonts w:ascii="宋体" w:hAnsi="宋体"/>
          <w:kern w:val="0"/>
          <w:highlight w:val="none"/>
        </w:rPr>
        <w:br w:type="page"/>
      </w:r>
    </w:p>
    <w:p>
      <w:pPr>
        <w:pStyle w:val="3"/>
        <w:spacing w:line="360" w:lineRule="auto"/>
        <w:jc w:val="center"/>
        <w:rPr>
          <w:rFonts w:ascii="宋体" w:hAnsi="宋体"/>
          <w:kern w:val="0"/>
          <w:highlight w:val="none"/>
        </w:rPr>
      </w:pPr>
      <w:bookmarkStart w:id="339" w:name="_Toc10597"/>
      <w:bookmarkStart w:id="340" w:name="_Toc8427"/>
      <w:bookmarkStart w:id="341" w:name="_Toc12421"/>
      <w:bookmarkStart w:id="342" w:name="_Toc430530509"/>
      <w:bookmarkStart w:id="343" w:name="_Toc509218785"/>
      <w:r>
        <w:rPr>
          <w:rFonts w:hint="eastAsia" w:ascii="宋体" w:hAnsi="宋体"/>
          <w:kern w:val="0"/>
          <w:highlight w:val="none"/>
        </w:rPr>
        <w:t>第四章  合同条款及格式</w:t>
      </w:r>
      <w:bookmarkEnd w:id="339"/>
      <w:bookmarkEnd w:id="340"/>
      <w:bookmarkEnd w:id="341"/>
      <w:bookmarkEnd w:id="342"/>
      <w:bookmarkEnd w:id="343"/>
    </w:p>
    <w:p>
      <w:pPr>
        <w:pStyle w:val="5"/>
        <w:jc w:val="center"/>
        <w:rPr>
          <w:rFonts w:ascii="宋体" w:hAnsi="宋体"/>
          <w:b w:val="0"/>
          <w:color w:val="auto"/>
          <w:sz w:val="44"/>
          <w:szCs w:val="44"/>
          <w:highlight w:val="none"/>
        </w:rPr>
      </w:pPr>
      <w:r>
        <w:rPr>
          <w:rFonts w:ascii="宋体" w:hAnsi="宋体"/>
          <w:highlight w:val="none"/>
        </w:rPr>
        <w:br w:type="page"/>
      </w:r>
      <w:bookmarkStart w:id="344" w:name="_Toc534185765"/>
      <w:bookmarkStart w:id="345" w:name="_Toc509218786"/>
      <w:bookmarkStart w:id="346" w:name="_Toc12845"/>
      <w:bookmarkStart w:id="347" w:name="_Toc57905907"/>
      <w:bookmarkStart w:id="348" w:name="_Toc351203494"/>
      <w:bookmarkStart w:id="349" w:name="_Toc28155"/>
      <w:bookmarkStart w:id="350" w:name="_Toc9133"/>
      <w:bookmarkStart w:id="351" w:name="_Toc17170"/>
      <w:bookmarkStart w:id="352" w:name="_Toc351203480"/>
      <w:bookmarkStart w:id="353" w:name="_Toc296503025"/>
      <w:bookmarkStart w:id="354" w:name="_Toc296890982"/>
      <w:r>
        <w:rPr>
          <w:rFonts w:hint="default" w:ascii="Times New Roman" w:hAnsi="Times New Roman" w:cs="Times New Roman"/>
          <w:color w:val="auto"/>
          <w:sz w:val="44"/>
          <w:szCs w:val="44"/>
          <w:highlight w:val="none"/>
        </w:rPr>
        <w:t>第一部分</w:t>
      </w:r>
      <w:r>
        <w:rPr>
          <w:rFonts w:ascii="宋体" w:hAnsi="宋体"/>
          <w:color w:val="auto"/>
          <w:sz w:val="44"/>
          <w:szCs w:val="44"/>
          <w:highlight w:val="none"/>
        </w:rPr>
        <w:t xml:space="preserve"> 合同协议书</w:t>
      </w:r>
      <w:bookmarkEnd w:id="344"/>
      <w:bookmarkEnd w:id="345"/>
      <w:bookmarkEnd w:id="346"/>
      <w:bookmarkEnd w:id="347"/>
    </w:p>
    <w:bookmarkEnd w:id="348"/>
    <w:p>
      <w:pPr>
        <w:snapToGrid w:val="0"/>
        <w:spacing w:line="360" w:lineRule="auto"/>
        <w:ind w:firstLine="422" w:firstLineChars="200"/>
        <w:rPr>
          <w:rFonts w:ascii="宋体" w:hAnsi="宋体"/>
          <w:b/>
          <w:color w:val="auto"/>
          <w:szCs w:val="21"/>
          <w:highlight w:val="none"/>
          <w:u w:val="single"/>
        </w:rPr>
      </w:pPr>
      <w:bookmarkStart w:id="355" w:name="_Toc351203632"/>
      <w:r>
        <w:rPr>
          <w:rFonts w:hint="eastAsia" w:ascii="宋体" w:hAnsi="宋体"/>
          <w:b/>
          <w:color w:val="auto"/>
          <w:szCs w:val="21"/>
          <w:highlight w:val="none"/>
        </w:rPr>
        <w:t>发包人（全称）：</w:t>
      </w:r>
      <w:r>
        <w:rPr>
          <w:rFonts w:hint="default" w:ascii="宋体" w:hAnsi="宋体" w:eastAsia="宋体" w:cs="Times New Roman"/>
          <w:color w:val="auto"/>
          <w:szCs w:val="21"/>
          <w:highlight w:val="none"/>
          <w:u w:val="single"/>
        </w:rPr>
        <w:t>重庆新汇商实业有限公司</w:t>
      </w:r>
      <w:r>
        <w:rPr>
          <w:rFonts w:hint="eastAsia" w:ascii="宋体" w:hAnsi="宋体"/>
          <w:color w:val="auto"/>
          <w:szCs w:val="21"/>
          <w:highlight w:val="none"/>
          <w:u w:val="single"/>
        </w:rPr>
        <w:t xml:space="preserve">           </w:t>
      </w:r>
    </w:p>
    <w:p>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           </w:t>
      </w:r>
    </w:p>
    <w:p>
      <w:pPr>
        <w:spacing w:line="360" w:lineRule="auto"/>
        <w:ind w:firstLine="420" w:firstLineChars="200"/>
        <w:rPr>
          <w:rFonts w:ascii="宋体" w:hAnsi="宋体"/>
          <w:b/>
          <w:color w:val="auto"/>
          <w:szCs w:val="21"/>
          <w:highlight w:val="none"/>
          <w:u w:val="single"/>
        </w:rPr>
      </w:pPr>
      <w:r>
        <w:rPr>
          <w:rFonts w:hint="eastAsia" w:ascii="宋体" w:hAnsi="宋体"/>
          <w:color w:val="auto"/>
          <w:szCs w:val="21"/>
          <w:highlight w:val="none"/>
        </w:rPr>
        <w:t>根据《中华人民共和国民法典》、《中华人民共和国建筑法》及有关法律、法规规定，遵循平等、自愿、公平和诚实信用的原则，双方就</w:t>
      </w:r>
      <w:r>
        <w:rPr>
          <w:rFonts w:hint="eastAsia" w:ascii="宋体" w:hAnsi="宋体"/>
          <w:snapToGrid w:val="0"/>
          <w:color w:val="auto"/>
          <w:kern w:val="0"/>
          <w:szCs w:val="21"/>
          <w:highlight w:val="none"/>
          <w:u w:val="single"/>
        </w:rPr>
        <w:t>迎龙医药城一期项目新增健康跑道施工</w:t>
      </w:r>
      <w:r>
        <w:rPr>
          <w:rFonts w:hint="eastAsia" w:ascii="宋体" w:hAnsi="宋体"/>
          <w:color w:val="auto"/>
          <w:szCs w:val="21"/>
          <w:highlight w:val="none"/>
        </w:rPr>
        <w:t>及有关事项协商一致，共同达成如下协议：</w:t>
      </w:r>
    </w:p>
    <w:p>
      <w:pPr>
        <w:pStyle w:val="6"/>
        <w:keepNext/>
        <w:keepLines/>
        <w:spacing w:before="120" w:after="120" w:line="360" w:lineRule="auto"/>
        <w:ind w:firstLine="422" w:firstLineChars="200"/>
        <w:jc w:val="both"/>
        <w:rPr>
          <w:color w:val="auto"/>
          <w:kern w:val="2"/>
          <w:sz w:val="21"/>
          <w:szCs w:val="21"/>
          <w:highlight w:val="none"/>
        </w:rPr>
      </w:pPr>
      <w:bookmarkStart w:id="356" w:name="_Toc532377166"/>
      <w:bookmarkStart w:id="357" w:name="_Toc351203481"/>
      <w:bookmarkStart w:id="358" w:name="_Toc532375573"/>
      <w:r>
        <w:rPr>
          <w:rFonts w:hint="eastAsia"/>
          <w:color w:val="auto"/>
          <w:kern w:val="2"/>
          <w:sz w:val="21"/>
          <w:szCs w:val="21"/>
          <w:highlight w:val="none"/>
        </w:rPr>
        <w:t>一、工程概况</w:t>
      </w:r>
      <w:bookmarkEnd w:id="356"/>
      <w:bookmarkEnd w:id="357"/>
      <w:bookmarkEnd w:id="358"/>
    </w:p>
    <w:p>
      <w:pPr>
        <w:snapToGrid w:val="0"/>
        <w:spacing w:line="360" w:lineRule="auto"/>
        <w:ind w:firstLine="420" w:firstLineChars="200"/>
        <w:rPr>
          <w:rFonts w:ascii="宋体" w:hAnsi="宋体"/>
          <w:color w:val="auto"/>
          <w:szCs w:val="21"/>
          <w:highlight w:val="none"/>
          <w:u w:val="single"/>
        </w:rPr>
      </w:pPr>
      <w:r>
        <w:rPr>
          <w:rFonts w:hint="eastAsia" w:ascii="宋体" w:hAnsi="宋体"/>
          <w:bCs/>
          <w:color w:val="auto"/>
          <w:szCs w:val="21"/>
          <w:highlight w:val="none"/>
        </w:rPr>
        <w:t>1.工程名称</w:t>
      </w:r>
      <w:r>
        <w:rPr>
          <w:rFonts w:hint="eastAsia" w:ascii="宋体" w:hAnsi="宋体"/>
          <w:color w:val="auto"/>
          <w:szCs w:val="21"/>
          <w:highlight w:val="none"/>
        </w:rPr>
        <w:t>：</w:t>
      </w:r>
      <w:r>
        <w:rPr>
          <w:rFonts w:hint="eastAsia" w:ascii="宋体" w:hAnsi="宋体"/>
          <w:snapToGrid w:val="0"/>
          <w:color w:val="auto"/>
          <w:kern w:val="0"/>
          <w:szCs w:val="21"/>
          <w:highlight w:val="none"/>
          <w:u w:val="single"/>
        </w:rPr>
        <w:t>迎龙医药城一期项目新增健康跑道施工</w:t>
      </w:r>
      <w:r>
        <w:rPr>
          <w:rFonts w:hint="eastAsia" w:ascii="宋体" w:hAnsi="宋体"/>
          <w:color w:val="auto"/>
          <w:szCs w:val="21"/>
          <w:highlight w:val="none"/>
        </w:rPr>
        <w:t>。</w:t>
      </w:r>
    </w:p>
    <w:p>
      <w:pPr>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2.工程地点：</w:t>
      </w:r>
      <w:r>
        <w:rPr>
          <w:rFonts w:hint="eastAsia" w:ascii="宋体" w:hAnsi="宋体"/>
          <w:snapToGrid w:val="0"/>
          <w:color w:val="auto"/>
          <w:kern w:val="0"/>
          <w:szCs w:val="21"/>
          <w:highlight w:val="none"/>
          <w:u w:val="single"/>
          <w:lang w:val="en-US" w:eastAsia="zh-CN"/>
        </w:rPr>
        <w:t>经开区</w:t>
      </w:r>
      <w:r>
        <w:rPr>
          <w:rFonts w:hint="eastAsia" w:ascii="宋体" w:hAnsi="宋体"/>
          <w:snapToGrid w:val="0"/>
          <w:color w:val="auto"/>
          <w:kern w:val="0"/>
          <w:szCs w:val="21"/>
          <w:highlight w:val="none"/>
          <w:u w:val="single"/>
        </w:rPr>
        <w:t>迎龙</w:t>
      </w:r>
      <w:r>
        <w:rPr>
          <w:rFonts w:hint="eastAsia" w:ascii="宋体" w:hAnsi="宋体"/>
          <w:snapToGrid w:val="0"/>
          <w:color w:val="auto"/>
          <w:kern w:val="0"/>
          <w:szCs w:val="21"/>
          <w:highlight w:val="none"/>
          <w:u w:val="single"/>
          <w:lang w:val="en-US" w:eastAsia="zh-CN"/>
        </w:rPr>
        <w:t>医药城</w:t>
      </w:r>
      <w:r>
        <w:rPr>
          <w:rFonts w:hint="eastAsia" w:ascii="宋体" w:hAnsi="宋体"/>
          <w:color w:val="auto"/>
          <w:szCs w:val="21"/>
          <w:highlight w:val="none"/>
        </w:rPr>
        <w:t>。</w:t>
      </w:r>
    </w:p>
    <w:p>
      <w:pPr>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3.工程立项批准文号：</w:t>
      </w:r>
      <w:r>
        <w:rPr>
          <w:rFonts w:hint="eastAsia" w:ascii="宋体" w:hAnsi="宋体" w:eastAsia="宋体" w:cs="Times New Roman"/>
          <w:color w:val="auto"/>
          <w:szCs w:val="21"/>
          <w:highlight w:val="none"/>
          <w:u w:val="single"/>
          <w:lang w:val="en-US" w:eastAsia="zh-CN"/>
        </w:rPr>
        <w:t xml:space="preserve">             </w:t>
      </w:r>
      <w:r>
        <w:rPr>
          <w:rFonts w:hint="eastAsia" w:ascii="宋体" w:hAnsi="宋体"/>
          <w:bCs/>
          <w:color w:val="auto"/>
          <w:szCs w:val="21"/>
          <w:highlight w:val="none"/>
        </w:rPr>
        <w:t>。</w:t>
      </w:r>
    </w:p>
    <w:p>
      <w:pPr>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4.资金来源：</w:t>
      </w:r>
      <w:r>
        <w:rPr>
          <w:rFonts w:hint="default" w:ascii="Times New Roman" w:hAnsi="Times New Roman" w:cs="Times New Roman"/>
          <w:color w:val="auto"/>
          <w:szCs w:val="21"/>
          <w:highlight w:val="none"/>
          <w:u w:val="single"/>
          <w:lang w:val="en-US" w:eastAsia="zh-CN"/>
        </w:rPr>
        <w:t>财政资金</w:t>
      </w:r>
      <w:r>
        <w:rPr>
          <w:rFonts w:hint="eastAsia" w:ascii="宋体" w:hAnsi="宋体"/>
          <w:color w:val="auto"/>
          <w:szCs w:val="21"/>
          <w:highlight w:val="none"/>
        </w:rPr>
        <w:t>。</w:t>
      </w:r>
    </w:p>
    <w:p>
      <w:pPr>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5.工程内容：</w:t>
      </w:r>
      <w:r>
        <w:rPr>
          <w:rFonts w:hint="eastAsia" w:ascii="宋体" w:hAnsi="宋体"/>
          <w:snapToGrid w:val="0"/>
          <w:color w:val="0000FF"/>
          <w:kern w:val="0"/>
          <w:szCs w:val="21"/>
          <w:highlight w:val="none"/>
          <w:u w:val="single"/>
          <w:lang w:val="en-US" w:eastAsia="zh-CN"/>
        </w:rPr>
        <w:t>重邮科技园市政道路北源路、星环路沿市政人行道增设户外健康跑道615米</w:t>
      </w:r>
      <w:r>
        <w:rPr>
          <w:rFonts w:hint="eastAsia" w:ascii="宋体" w:hAnsi="宋体"/>
          <w:snapToGrid w:val="0"/>
          <w:color w:val="0000FF"/>
          <w:kern w:val="0"/>
          <w:szCs w:val="21"/>
          <w:highlight w:val="none"/>
          <w:u w:val="single"/>
        </w:rPr>
        <w:t>。（详见</w:t>
      </w:r>
      <w:r>
        <w:rPr>
          <w:rFonts w:hint="eastAsia" w:ascii="宋体" w:hAnsi="宋体"/>
          <w:snapToGrid w:val="0"/>
          <w:color w:val="0000FF"/>
          <w:kern w:val="0"/>
          <w:szCs w:val="21"/>
          <w:highlight w:val="none"/>
          <w:u w:val="single"/>
          <w:lang w:val="en-US" w:eastAsia="zh-CN"/>
        </w:rPr>
        <w:t>工程量清单</w:t>
      </w:r>
      <w:r>
        <w:rPr>
          <w:rFonts w:hint="eastAsia" w:ascii="宋体" w:hAnsi="宋体"/>
          <w:snapToGrid w:val="0"/>
          <w:color w:val="0000FF"/>
          <w:kern w:val="0"/>
          <w:szCs w:val="21"/>
          <w:highlight w:val="none"/>
          <w:u w:val="single"/>
        </w:rPr>
        <w:t>）</w:t>
      </w:r>
      <w:r>
        <w:rPr>
          <w:rFonts w:hint="eastAsia" w:ascii="宋体" w:hAnsi="宋体"/>
          <w:color w:val="auto"/>
          <w:szCs w:val="21"/>
          <w:highlight w:val="none"/>
        </w:rPr>
        <w:t>。</w:t>
      </w:r>
    </w:p>
    <w:p>
      <w:pPr>
        <w:snapToGrid w:val="0"/>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6.工程承包范围：重邮科技园市政道路北源路、星环路沿市政人行道增设户外健康跑道615米。（详见工程量清单）</w:t>
      </w:r>
      <w:r>
        <w:rPr>
          <w:rFonts w:hint="eastAsia" w:ascii="宋体" w:hAnsi="宋体"/>
          <w:color w:val="auto"/>
          <w:szCs w:val="21"/>
          <w:highlight w:val="none"/>
        </w:rPr>
        <w:t>。</w:t>
      </w:r>
    </w:p>
    <w:p>
      <w:pPr>
        <w:pStyle w:val="6"/>
        <w:keepNext/>
        <w:keepLines/>
        <w:spacing w:before="120" w:after="120" w:line="360" w:lineRule="auto"/>
        <w:ind w:firstLine="422" w:firstLineChars="200"/>
        <w:jc w:val="both"/>
        <w:rPr>
          <w:color w:val="auto"/>
          <w:kern w:val="2"/>
          <w:sz w:val="21"/>
          <w:szCs w:val="21"/>
          <w:highlight w:val="none"/>
        </w:rPr>
      </w:pPr>
      <w:bookmarkStart w:id="359" w:name="_Toc532377167"/>
      <w:bookmarkStart w:id="360" w:name="_Toc532375574"/>
      <w:bookmarkStart w:id="361" w:name="_Toc351203482"/>
      <w:r>
        <w:rPr>
          <w:rFonts w:hint="eastAsia"/>
          <w:color w:val="auto"/>
          <w:kern w:val="2"/>
          <w:sz w:val="21"/>
          <w:szCs w:val="21"/>
          <w:highlight w:val="none"/>
        </w:rPr>
        <w:t>二、合同工期</w:t>
      </w:r>
      <w:bookmarkEnd w:id="359"/>
      <w:bookmarkEnd w:id="360"/>
      <w:bookmarkEnd w:id="361"/>
    </w:p>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auto"/>
          <w:kern w:val="0"/>
          <w:szCs w:val="21"/>
          <w:highlight w:val="none"/>
          <w:u w:val="single"/>
          <w:lang w:eastAsia="zh-CN"/>
        </w:rPr>
      </w:pPr>
      <w:r>
        <w:rPr>
          <w:rFonts w:hint="eastAsia" w:ascii="宋体" w:hAnsi="宋体"/>
          <w:bCs/>
          <w:color w:val="auto"/>
          <w:szCs w:val="21"/>
          <w:highlight w:val="none"/>
        </w:rPr>
        <w:t>承包人投标函中承诺的工期：</w:t>
      </w:r>
      <w:r>
        <w:rPr>
          <w:rFonts w:hint="eastAsia" w:ascii="宋体" w:hAnsi="宋体"/>
          <w:snapToGrid w:val="0"/>
          <w:color w:val="0000FF"/>
          <w:kern w:val="0"/>
          <w:szCs w:val="21"/>
          <w:highlight w:val="none"/>
          <w:u w:val="single"/>
          <w:lang w:val="en-US" w:eastAsia="zh-CN"/>
        </w:rPr>
        <w:t>50日历天（从中标通知书发出之日起算，2024年7月10日前完工）。（未按时完工的承担违约金1000元/天，发包人同意延期的，以双方确定的延期时间为准）。</w:t>
      </w:r>
    </w:p>
    <w:p>
      <w:pPr>
        <w:spacing w:line="360" w:lineRule="auto"/>
        <w:ind w:firstLine="420" w:firstLineChars="200"/>
        <w:rPr>
          <w:rFonts w:hint="default" w:ascii="宋体" w:hAnsi="宋体" w:eastAsia="宋体" w:cs="Times New Roman"/>
          <w:bCs/>
          <w:color w:val="auto"/>
          <w:szCs w:val="21"/>
          <w:highlight w:val="none"/>
        </w:rPr>
      </w:pPr>
      <w:r>
        <w:rPr>
          <w:rFonts w:hint="default" w:ascii="宋体" w:hAnsi="宋体" w:eastAsia="宋体" w:cs="Times New Roman"/>
          <w:bCs/>
          <w:color w:val="auto"/>
          <w:szCs w:val="21"/>
          <w:highlight w:val="none"/>
        </w:rPr>
        <w:t>缺陷责任期:约定为 24 个月，从竣工验收之日起计算。</w:t>
      </w:r>
    </w:p>
    <w:p>
      <w:pPr>
        <w:pStyle w:val="6"/>
        <w:keepNext/>
        <w:keepLines/>
        <w:spacing w:before="120" w:after="120" w:line="360" w:lineRule="auto"/>
        <w:ind w:firstLine="422" w:firstLineChars="200"/>
        <w:jc w:val="both"/>
        <w:rPr>
          <w:color w:val="auto"/>
          <w:kern w:val="2"/>
          <w:sz w:val="21"/>
          <w:szCs w:val="21"/>
          <w:highlight w:val="none"/>
        </w:rPr>
      </w:pPr>
      <w:bookmarkStart w:id="362" w:name="_Toc351203483"/>
      <w:bookmarkStart w:id="363" w:name="_Toc532375575"/>
      <w:bookmarkStart w:id="364" w:name="_Toc532377168"/>
      <w:r>
        <w:rPr>
          <w:rFonts w:hint="eastAsia"/>
          <w:color w:val="auto"/>
          <w:kern w:val="2"/>
          <w:sz w:val="21"/>
          <w:szCs w:val="21"/>
          <w:highlight w:val="none"/>
        </w:rPr>
        <w:t>三、质量标准</w:t>
      </w:r>
      <w:bookmarkEnd w:id="362"/>
      <w:bookmarkEnd w:id="363"/>
      <w:bookmarkEnd w:id="364"/>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工程质量符合强制性质量标准，</w:t>
      </w:r>
      <w:r>
        <w:rPr>
          <w:rFonts w:hint="eastAsia" w:ascii="宋体" w:hAnsi="宋体"/>
          <w:color w:val="auto"/>
          <w:szCs w:val="21"/>
          <w:highlight w:val="none"/>
          <w:u w:val="single"/>
        </w:rPr>
        <w:t>符合国家和重庆市现行有关施工质量验收规范和标准要求，并达到合格</w:t>
      </w:r>
      <w:r>
        <w:rPr>
          <w:rFonts w:hint="eastAsia" w:ascii="宋体" w:hAnsi="宋体"/>
          <w:color w:val="auto"/>
          <w:szCs w:val="21"/>
          <w:highlight w:val="none"/>
        </w:rPr>
        <w:t>标准。</w:t>
      </w:r>
    </w:p>
    <w:p>
      <w:pPr>
        <w:pStyle w:val="6"/>
        <w:keepNext/>
        <w:keepLines/>
        <w:spacing w:before="120" w:after="120" w:line="360" w:lineRule="auto"/>
        <w:ind w:firstLine="422" w:firstLineChars="200"/>
        <w:jc w:val="both"/>
        <w:rPr>
          <w:color w:val="auto"/>
          <w:kern w:val="2"/>
          <w:sz w:val="21"/>
          <w:szCs w:val="21"/>
          <w:highlight w:val="none"/>
        </w:rPr>
      </w:pPr>
      <w:bookmarkStart w:id="365" w:name="_Toc532375576"/>
      <w:bookmarkStart w:id="366" w:name="_Toc532377169"/>
      <w:bookmarkStart w:id="367" w:name="_Toc351203484"/>
      <w:r>
        <w:rPr>
          <w:rFonts w:hint="eastAsia"/>
          <w:color w:val="auto"/>
          <w:kern w:val="2"/>
          <w:sz w:val="21"/>
          <w:szCs w:val="21"/>
          <w:highlight w:val="none"/>
        </w:rPr>
        <w:t>四、签约合同价与合同价格形式</w:t>
      </w:r>
      <w:bookmarkEnd w:id="365"/>
      <w:bookmarkEnd w:id="366"/>
      <w:bookmarkEnd w:id="367"/>
      <w:r>
        <w:rPr>
          <w:rFonts w:hint="eastAsia"/>
          <w:color w:val="auto"/>
          <w:kern w:val="2"/>
          <w:sz w:val="21"/>
          <w:szCs w:val="21"/>
          <w:highlight w:val="none"/>
        </w:rPr>
        <w:tab/>
      </w:r>
    </w:p>
    <w:p>
      <w:pPr>
        <w:spacing w:line="460" w:lineRule="atLeast"/>
        <w:ind w:firstLine="420" w:firstLineChars="200"/>
        <w:jc w:val="left"/>
        <w:rPr>
          <w:rFonts w:hint="default" w:ascii="宋体" w:hAnsi="宋体" w:eastAsia="宋体" w:cs="Times New Roman"/>
          <w:color w:val="auto"/>
          <w:szCs w:val="21"/>
          <w:highlight w:val="none"/>
        </w:rPr>
      </w:pPr>
      <w:r>
        <w:rPr>
          <w:rFonts w:hint="default" w:ascii="宋体" w:hAnsi="宋体" w:eastAsia="宋体" w:cs="Times New Roman"/>
          <w:color w:val="auto"/>
          <w:szCs w:val="21"/>
          <w:highlight w:val="none"/>
        </w:rPr>
        <w:t>1、合同暂定价格为人民币（大写）：</w:t>
      </w:r>
      <w:r>
        <w:rPr>
          <w:rFonts w:hint="default" w:ascii="宋体" w:hAnsi="宋体" w:eastAsia="宋体" w:cs="Times New Roman"/>
          <w:color w:val="auto"/>
          <w:szCs w:val="21"/>
          <w:highlight w:val="none"/>
          <w:u w:val="single"/>
          <w:lang w:val="en-US" w:eastAsia="zh-CN"/>
        </w:rPr>
        <w:t xml:space="preserve">     </w:t>
      </w:r>
      <w:r>
        <w:rPr>
          <w:rFonts w:hint="default" w:ascii="宋体" w:hAnsi="宋体" w:eastAsia="宋体" w:cs="Times New Roman"/>
          <w:color w:val="auto"/>
          <w:szCs w:val="21"/>
          <w:highlight w:val="none"/>
          <w:u w:val="single"/>
        </w:rPr>
        <w:t xml:space="preserve"> </w:t>
      </w:r>
      <w:r>
        <w:rPr>
          <w:rFonts w:hint="default" w:ascii="宋体" w:hAnsi="宋体" w:eastAsia="宋体" w:cs="Times New Roman"/>
          <w:color w:val="auto"/>
          <w:szCs w:val="21"/>
          <w:highlight w:val="none"/>
        </w:rPr>
        <w:t>元。</w:t>
      </w:r>
    </w:p>
    <w:p>
      <w:pPr>
        <w:keepNext w:val="0"/>
        <w:keepLines w:val="0"/>
        <w:pageBreakBefore w:val="0"/>
        <w:widowControl w:val="0"/>
        <w:kinsoku/>
        <w:wordWrap/>
        <w:overflowPunct/>
        <w:topLinePunct w:val="0"/>
        <w:autoSpaceDE/>
        <w:autoSpaceDN/>
        <w:bidi w:val="0"/>
        <w:adjustRightInd/>
        <w:snapToGrid/>
        <w:spacing w:line="460" w:lineRule="atLeast"/>
        <w:ind w:firstLine="420" w:firstLineChars="200"/>
        <w:jc w:val="left"/>
        <w:textAlignment w:val="auto"/>
        <w:rPr>
          <w:rFonts w:hint="default" w:ascii="宋体" w:hAnsi="宋体" w:eastAsia="宋体" w:cs="Times New Roman"/>
          <w:color w:val="auto"/>
          <w:szCs w:val="21"/>
          <w:highlight w:val="none"/>
        </w:rPr>
      </w:pPr>
      <w:r>
        <w:rPr>
          <w:rFonts w:hint="default" w:ascii="宋体" w:hAnsi="宋体" w:eastAsia="宋体" w:cs="Times New Roman"/>
          <w:color w:val="auto"/>
          <w:szCs w:val="21"/>
          <w:highlight w:val="none"/>
          <w:lang w:val="en-US" w:eastAsia="zh-CN"/>
        </w:rPr>
        <w:t>承包人在合同签订后2周内编制施工图预算，</w:t>
      </w:r>
      <w:r>
        <w:rPr>
          <w:rFonts w:hint="eastAsia" w:ascii="宋体" w:hAnsi="宋体" w:eastAsia="宋体" w:cs="Times New Roman"/>
          <w:color w:val="auto"/>
          <w:szCs w:val="21"/>
          <w:highlight w:val="none"/>
          <w:lang w:val="en-US" w:eastAsia="zh-CN"/>
        </w:rPr>
        <w:t>经发包人及其委托的咨询单位审核后最终由经开投资集团成本管理部进行审定</w:t>
      </w:r>
      <w:r>
        <w:rPr>
          <w:rFonts w:hint="default" w:ascii="宋体" w:hAnsi="宋体" w:eastAsia="宋体" w:cs="Times New Roman"/>
          <w:color w:val="auto"/>
          <w:szCs w:val="21"/>
          <w:highlight w:val="none"/>
          <w:lang w:eastAsia="zh-CN"/>
        </w:rPr>
        <w:t>，</w:t>
      </w:r>
      <w:r>
        <w:rPr>
          <w:rFonts w:hint="default" w:ascii="宋体" w:hAnsi="宋体" w:eastAsia="宋体" w:cs="Times New Roman"/>
          <w:color w:val="auto"/>
          <w:szCs w:val="21"/>
          <w:highlight w:val="none"/>
          <w:lang w:val="en-US" w:eastAsia="zh-CN"/>
        </w:rPr>
        <w:t>作为期中支付和结算依据</w:t>
      </w:r>
      <w:r>
        <w:rPr>
          <w:rFonts w:hint="default" w:ascii="宋体" w:hAnsi="宋体" w:eastAsia="宋体" w:cs="Times New Roman"/>
          <w:color w:val="auto"/>
          <w:szCs w:val="21"/>
          <w:highlight w:val="none"/>
        </w:rPr>
        <w:t xml:space="preserve">。 </w:t>
      </w:r>
      <w:r>
        <w:rPr>
          <w:rFonts w:hint="default" w:ascii="宋体" w:hAnsi="宋体" w:eastAsia="宋体" w:cs="Times New Roman"/>
          <w:color w:val="auto"/>
          <w:szCs w:val="21"/>
          <w:highlight w:val="none"/>
          <w:lang w:val="en-US" w:eastAsia="zh-CN"/>
        </w:rPr>
        <w:t>施工图预算</w:t>
      </w:r>
      <w:r>
        <w:rPr>
          <w:rFonts w:hint="default" w:ascii="宋体" w:hAnsi="宋体" w:eastAsia="宋体" w:cs="Times New Roman"/>
          <w:color w:val="auto"/>
          <w:szCs w:val="21"/>
          <w:highlight w:val="none"/>
        </w:rPr>
        <w:t>采用</w:t>
      </w:r>
      <w:r>
        <w:rPr>
          <w:rFonts w:hint="default" w:ascii="宋体" w:hAnsi="宋体" w:eastAsia="宋体" w:cs="Times New Roman"/>
          <w:color w:val="auto"/>
          <w:szCs w:val="21"/>
          <w:highlight w:val="none"/>
          <w:lang w:val="en-US" w:eastAsia="zh-CN"/>
        </w:rPr>
        <w:t>清单计价模式，</w:t>
      </w:r>
      <w:r>
        <w:rPr>
          <w:rFonts w:hint="default" w:ascii="宋体" w:hAnsi="宋体" w:eastAsia="宋体" w:cs="Times New Roman"/>
          <w:color w:val="auto"/>
          <w:szCs w:val="21"/>
          <w:highlight w:val="none"/>
        </w:rPr>
        <w:t>综合单价包干形式，该包干单价包含</w:t>
      </w:r>
      <w:r>
        <w:rPr>
          <w:rFonts w:hint="default" w:ascii="宋体" w:hAnsi="宋体" w:eastAsia="宋体" w:cs="Times New Roman"/>
          <w:color w:val="auto"/>
          <w:szCs w:val="21"/>
          <w:highlight w:val="none"/>
          <w:lang w:val="en-US" w:eastAsia="zh-CN"/>
        </w:rPr>
        <w:t>发包</w:t>
      </w:r>
      <w:r>
        <w:rPr>
          <w:rFonts w:hint="default" w:ascii="宋体" w:hAnsi="宋体" w:eastAsia="宋体" w:cs="Times New Roman"/>
          <w:color w:val="auto"/>
          <w:szCs w:val="21"/>
          <w:highlight w:val="none"/>
          <w:lang w:eastAsia="zh-CN"/>
        </w:rPr>
        <w:t>人</w:t>
      </w:r>
      <w:r>
        <w:rPr>
          <w:rFonts w:hint="default" w:ascii="宋体" w:hAnsi="宋体" w:eastAsia="宋体" w:cs="Times New Roman"/>
          <w:color w:val="auto"/>
          <w:szCs w:val="21"/>
          <w:highlight w:val="none"/>
        </w:rPr>
        <w:t>确认的施工范围全部工作内容，并达到约定的功能要求，除根据合同约定的在工程实施过程中需进行增减的款项外，其他任何情况均不进行单价调整，但合同当事人另有约定的除外</w:t>
      </w:r>
      <w:r>
        <w:rPr>
          <w:rFonts w:hint="default" w:ascii="宋体" w:hAnsi="宋体" w:eastAsia="宋体" w:cs="Times New Roman"/>
          <w:color w:val="auto"/>
          <w:szCs w:val="21"/>
          <w:highlight w:val="none"/>
          <w:lang w:eastAsia="zh-CN"/>
        </w:rPr>
        <w:t>，</w:t>
      </w:r>
      <w:r>
        <w:rPr>
          <w:rFonts w:hint="default" w:ascii="宋体" w:hAnsi="宋体" w:eastAsia="宋体" w:cs="Times New Roman"/>
          <w:color w:val="auto"/>
          <w:szCs w:val="21"/>
          <w:highlight w:val="none"/>
        </w:rPr>
        <w:t>包含但不限于施工的人工费、材料费、施工机具使用费、企业管理费、利润、风险费</w:t>
      </w:r>
      <w:r>
        <w:rPr>
          <w:rFonts w:hint="default" w:ascii="宋体" w:hAnsi="宋体" w:eastAsia="宋体" w:cs="Times New Roman"/>
          <w:color w:val="auto"/>
          <w:szCs w:val="21"/>
          <w:highlight w:val="none"/>
          <w:lang w:eastAsia="zh-CN"/>
        </w:rPr>
        <w:t>、</w:t>
      </w:r>
      <w:r>
        <w:rPr>
          <w:rFonts w:hint="default" w:ascii="宋体" w:hAnsi="宋体" w:eastAsia="宋体" w:cs="Times New Roman"/>
          <w:color w:val="auto"/>
          <w:szCs w:val="21"/>
          <w:highlight w:val="none"/>
        </w:rPr>
        <w:t>场内外运输及二次转运费、成品保护费、试验检验费</w:t>
      </w:r>
      <w:r>
        <w:rPr>
          <w:rFonts w:hint="default" w:ascii="宋体" w:hAnsi="宋体" w:eastAsia="宋体" w:cs="Times New Roman"/>
          <w:color w:val="auto"/>
          <w:szCs w:val="21"/>
          <w:highlight w:val="none"/>
          <w:lang w:eastAsia="zh-CN"/>
        </w:rPr>
        <w:t>、</w:t>
      </w:r>
      <w:r>
        <w:rPr>
          <w:rFonts w:hint="default" w:ascii="宋体" w:hAnsi="宋体" w:eastAsia="宋体" w:cs="Times New Roman"/>
          <w:color w:val="auto"/>
          <w:szCs w:val="21"/>
          <w:highlight w:val="none"/>
        </w:rPr>
        <w:t>鉴定费、水电费、施工措施费、垃圾清运费、高温补贴费、安全责任及安全措施费及其它不可预见费、其他项目费、规费、税金、政策性文件、室内空气质量检测、装饰地点物业公司（如：装修保证金、弃渣费等）规定的所有费用等全部费用并充分考虑风险因素。</w:t>
      </w:r>
    </w:p>
    <w:p>
      <w:pPr>
        <w:spacing w:line="460" w:lineRule="atLeast"/>
        <w:ind w:firstLine="420" w:firstLineChars="200"/>
        <w:jc w:val="left"/>
        <w:rPr>
          <w:rFonts w:hint="default" w:ascii="宋体" w:hAnsi="宋体" w:eastAsia="宋体" w:cs="Times New Roman"/>
          <w:color w:val="auto"/>
          <w:szCs w:val="21"/>
          <w:highlight w:val="none"/>
        </w:rPr>
      </w:pPr>
      <w:r>
        <w:rPr>
          <w:rFonts w:hint="default" w:ascii="宋体" w:hAnsi="宋体" w:eastAsia="宋体" w:cs="Times New Roman"/>
          <w:color w:val="auto"/>
          <w:szCs w:val="21"/>
          <w:highlight w:val="none"/>
        </w:rPr>
        <w:t>承包人</w:t>
      </w:r>
      <w:r>
        <w:rPr>
          <w:rFonts w:hint="default" w:ascii="宋体" w:hAnsi="宋体" w:eastAsia="宋体" w:cs="Times New Roman"/>
          <w:color w:val="auto"/>
          <w:szCs w:val="21"/>
          <w:highlight w:val="none"/>
          <w:lang w:val="en-US" w:eastAsia="zh-CN"/>
        </w:rPr>
        <w:t>编制的施工图预算</w:t>
      </w:r>
      <w:r>
        <w:rPr>
          <w:rFonts w:hint="default" w:ascii="宋体" w:hAnsi="宋体" w:eastAsia="宋体" w:cs="Times New Roman"/>
          <w:color w:val="auto"/>
          <w:szCs w:val="21"/>
          <w:highlight w:val="none"/>
        </w:rPr>
        <w:t>以招标文件、合同条件、本次招标范围的施工设计图纸、国家技术和经济规范及标准、《建设工程工程量清单计价规范》（GB50500-2013）、《房屋与装饰工程工程量计算规范》（GB50584－2013）等相应的工程量计算规范、《重庆市建设工程工程量清单计价规则》（CQJJGZ－2013）、《重庆市建设工程工程量计算规则》（CQJLGZ－2013）；定额采用《重庆市房屋建筑与装饰工程计价定额》（CQJZZSDE-2018）、《重庆市通用安装工程计价定额》（CQAZDE-2018）、《重庆市绿色建筑工程计价定额》（CQLSJZDE-2018）、《重庆市构筑物工程计价定额》（CQGZWDE-2018）、《重庆市建设工程费用定额》（CQFYDE-2018）、《重庆市建设工程混凝土及砂浆配合比表》（CQPHBB-2018）、《重庆市建设工程施工仪器仪表台班定额》（CQYQYBDE-2018）、《重庆市建设工程施工机械台班定额》（CQJXDE-2018）等定额结合相关配套文件进行计价。</w:t>
      </w:r>
    </w:p>
    <w:p>
      <w:pPr>
        <w:spacing w:line="460" w:lineRule="atLeast"/>
        <w:ind w:firstLine="420" w:firstLineChars="200"/>
        <w:jc w:val="left"/>
        <w:rPr>
          <w:rFonts w:hint="eastAsia" w:ascii="宋体" w:hAnsi="宋体" w:eastAsia="宋体" w:cs="Times New Roman"/>
          <w:color w:val="auto"/>
          <w:szCs w:val="21"/>
          <w:highlight w:val="none"/>
        </w:rPr>
      </w:pPr>
      <w:r>
        <w:rPr>
          <w:rFonts w:hint="default" w:ascii="宋体" w:hAnsi="宋体" w:eastAsia="宋体" w:cs="Times New Roman"/>
          <w:color w:val="auto"/>
          <w:szCs w:val="21"/>
          <w:highlight w:val="none"/>
        </w:rPr>
        <w:t>上述计价定额缺项时，按其他行业计价定额及相关配套文件执行；再缺项时，由建设、施工、监理、全过程审核单位共同编制一次性补充定额或市场核价，并做好施工期人工、材料等耗量的签证以及影像资料的收集，以咨询重庆市建设工程造价管理总站的意见为</w:t>
      </w:r>
      <w:r>
        <w:rPr>
          <w:rFonts w:hint="default" w:ascii="宋体" w:hAnsi="宋体" w:eastAsia="宋体" w:cs="Times New Roman"/>
          <w:color w:val="auto"/>
          <w:szCs w:val="21"/>
          <w:highlight w:val="none"/>
          <w:lang w:val="en-US" w:eastAsia="zh-CN"/>
        </w:rPr>
        <w:t>编制</w:t>
      </w:r>
      <w:r>
        <w:rPr>
          <w:rFonts w:hint="default" w:ascii="宋体" w:hAnsi="宋体" w:eastAsia="宋体" w:cs="Times New Roman"/>
          <w:color w:val="auto"/>
          <w:szCs w:val="21"/>
          <w:highlight w:val="none"/>
        </w:rPr>
        <w:t>依据。</w:t>
      </w:r>
    </w:p>
    <w:p>
      <w:pPr>
        <w:spacing w:line="460" w:lineRule="atLeast"/>
        <w:ind w:firstLine="420" w:firstLineChars="200"/>
        <w:jc w:val="left"/>
        <w:rPr>
          <w:rFonts w:hint="default" w:ascii="宋体" w:hAnsi="宋体" w:eastAsia="宋体" w:cs="Times New Roman"/>
          <w:color w:val="auto"/>
          <w:szCs w:val="21"/>
          <w:highlight w:val="none"/>
        </w:rPr>
      </w:pPr>
      <w:r>
        <w:rPr>
          <w:rFonts w:hint="default" w:ascii="宋体" w:hAnsi="宋体" w:eastAsia="宋体" w:cs="Times New Roman"/>
          <w:color w:val="auto"/>
          <w:szCs w:val="21"/>
          <w:highlight w:val="none"/>
          <w:lang w:eastAsia="zh-CN"/>
        </w:rPr>
        <w:t>施工图预算人材机、措施费等计价原则同结算原则</w:t>
      </w:r>
    </w:p>
    <w:p>
      <w:pPr>
        <w:spacing w:line="460" w:lineRule="atLeast"/>
        <w:ind w:firstLine="420" w:firstLineChars="200"/>
        <w:jc w:val="left"/>
        <w:rPr>
          <w:rFonts w:hint="default" w:ascii="宋体" w:hAnsi="宋体" w:eastAsia="宋体" w:cs="Times New Roman"/>
          <w:color w:val="auto"/>
          <w:szCs w:val="21"/>
          <w:highlight w:val="none"/>
        </w:rPr>
      </w:pPr>
      <w:r>
        <w:rPr>
          <w:rFonts w:hint="default" w:ascii="宋体" w:hAnsi="宋体" w:eastAsia="宋体" w:cs="Times New Roman"/>
          <w:color w:val="auto"/>
          <w:szCs w:val="21"/>
          <w:highlight w:val="none"/>
          <w:lang w:val="en-US" w:eastAsia="zh-CN"/>
        </w:rPr>
        <w:t>2</w:t>
      </w:r>
      <w:r>
        <w:rPr>
          <w:rFonts w:hint="default" w:ascii="宋体" w:hAnsi="宋体" w:eastAsia="宋体" w:cs="Times New Roman"/>
          <w:color w:val="auto"/>
          <w:szCs w:val="21"/>
          <w:highlight w:val="none"/>
        </w:rPr>
        <w:t>、合同结算方式</w:t>
      </w:r>
    </w:p>
    <w:p>
      <w:pPr>
        <w:spacing w:line="460" w:lineRule="atLeast"/>
        <w:ind w:firstLine="420" w:firstLineChars="200"/>
        <w:jc w:val="left"/>
        <w:rPr>
          <w:rFonts w:ascii="宋体" w:hAnsi="宋体"/>
          <w:color w:val="auto"/>
          <w:szCs w:val="21"/>
          <w:highlight w:val="none"/>
        </w:rPr>
      </w:pPr>
      <w:r>
        <w:rPr>
          <w:rFonts w:hint="default" w:ascii="宋体" w:hAnsi="宋体" w:eastAsia="宋体" w:cs="Times New Roman"/>
          <w:color w:val="auto"/>
          <w:szCs w:val="21"/>
          <w:highlight w:val="none"/>
        </w:rPr>
        <w:t>结算总价＝</w:t>
      </w:r>
      <w:r>
        <w:rPr>
          <w:rFonts w:hint="eastAsia" w:ascii="宋体" w:hAnsi="宋体" w:eastAsia="宋体" w:cs="Times New Roman"/>
          <w:color w:val="auto"/>
          <w:szCs w:val="21"/>
          <w:highlight w:val="none"/>
          <w:lang w:val="en-US" w:eastAsia="zh-CN"/>
        </w:rPr>
        <w:t>各分部分项工程量清单结算价+措施项目费（除安全文明施工费外）+安全文明施工费+规费+税金+设计变更部分结算价款±合同约定的其它费用-违约处理金</w:t>
      </w:r>
      <w:r>
        <w:rPr>
          <w:rFonts w:hint="default" w:ascii="宋体" w:hAnsi="宋体" w:eastAsia="宋体" w:cs="Times New Roman"/>
          <w:color w:val="auto"/>
          <w:szCs w:val="21"/>
          <w:highlight w:val="none"/>
        </w:rPr>
        <w:t>，如需</w:t>
      </w:r>
      <w:r>
        <w:rPr>
          <w:rFonts w:hint="eastAsia" w:ascii="宋体" w:hAnsi="宋体" w:eastAsia="宋体" w:cs="Times New Roman"/>
          <w:color w:val="auto"/>
          <w:szCs w:val="21"/>
          <w:highlight w:val="none"/>
          <w:lang w:eastAsia="zh-CN"/>
        </w:rPr>
        <w:t>集团、有关单位</w:t>
      </w:r>
      <w:r>
        <w:rPr>
          <w:rFonts w:hint="default" w:ascii="宋体" w:hAnsi="宋体" w:eastAsia="宋体" w:cs="Times New Roman"/>
          <w:color w:val="auto"/>
          <w:szCs w:val="21"/>
          <w:highlight w:val="none"/>
        </w:rPr>
        <w:t>审核的，以</w:t>
      </w:r>
      <w:r>
        <w:rPr>
          <w:rFonts w:hint="eastAsia" w:ascii="宋体" w:hAnsi="宋体" w:eastAsia="宋体" w:cs="Times New Roman"/>
          <w:color w:val="auto"/>
          <w:szCs w:val="21"/>
          <w:highlight w:val="none"/>
          <w:lang w:eastAsia="zh-CN"/>
        </w:rPr>
        <w:t>集团、有关单位</w:t>
      </w:r>
      <w:r>
        <w:rPr>
          <w:rFonts w:hint="default" w:ascii="宋体" w:hAnsi="宋体" w:eastAsia="宋体" w:cs="Times New Roman"/>
          <w:color w:val="auto"/>
          <w:szCs w:val="21"/>
          <w:highlight w:val="none"/>
        </w:rPr>
        <w:t>审定金额为准</w:t>
      </w:r>
      <w:r>
        <w:rPr>
          <w:rFonts w:hint="default" w:ascii="宋体" w:hAnsi="宋体" w:eastAsia="宋体" w:cs="Times New Roman"/>
          <w:color w:val="auto"/>
          <w:szCs w:val="21"/>
          <w:highlight w:val="none"/>
          <w:lang w:eastAsia="zh-CN"/>
        </w:rPr>
        <w:t>，</w:t>
      </w:r>
      <w:r>
        <w:rPr>
          <w:rFonts w:hint="default" w:ascii="宋体" w:hAnsi="宋体" w:eastAsia="宋体" w:cs="Times New Roman"/>
          <w:color w:val="auto"/>
          <w:szCs w:val="21"/>
          <w:highlight w:val="none"/>
        </w:rPr>
        <w:t>最终工程费结算金额(除</w:t>
      </w:r>
      <w:r>
        <w:rPr>
          <w:rFonts w:hint="default" w:ascii="宋体" w:hAnsi="宋体" w:eastAsia="宋体" w:cs="Times New Roman"/>
          <w:color w:val="auto"/>
          <w:szCs w:val="21"/>
          <w:highlight w:val="none"/>
          <w:lang w:eastAsia="zh-CN"/>
        </w:rPr>
        <w:t>发包人同意或</w:t>
      </w:r>
      <w:r>
        <w:rPr>
          <w:rFonts w:hint="default" w:ascii="宋体" w:hAnsi="宋体" w:eastAsia="宋体" w:cs="Times New Roman"/>
          <w:color w:val="auto"/>
          <w:szCs w:val="21"/>
          <w:highlight w:val="none"/>
        </w:rPr>
        <w:t>不可抗力外)不得超过</w:t>
      </w:r>
      <w:r>
        <w:rPr>
          <w:rFonts w:hint="default" w:ascii="宋体" w:hAnsi="宋体" w:eastAsia="宋体" w:cs="Times New Roman"/>
          <w:color w:val="auto"/>
          <w:szCs w:val="21"/>
          <w:highlight w:val="none"/>
          <w:lang w:val="en-US" w:eastAsia="zh-CN"/>
        </w:rPr>
        <w:t>经发科局审定的概算对应的工程费金额</w:t>
      </w:r>
      <w:r>
        <w:rPr>
          <w:rFonts w:hint="default" w:ascii="宋体" w:hAnsi="宋体" w:eastAsia="宋体" w:cs="Times New Roman"/>
          <w:color w:val="auto"/>
          <w:szCs w:val="21"/>
          <w:highlight w:val="none"/>
        </w:rPr>
        <w:t>。超出部分，</w:t>
      </w:r>
      <w:r>
        <w:rPr>
          <w:rFonts w:hint="default" w:ascii="宋体" w:hAnsi="宋体" w:eastAsia="宋体" w:cs="Times New Roman"/>
          <w:color w:val="auto"/>
          <w:szCs w:val="21"/>
          <w:highlight w:val="none"/>
          <w:lang w:val="en-US" w:eastAsia="zh-CN"/>
        </w:rPr>
        <w:t>发包</w:t>
      </w:r>
      <w:r>
        <w:rPr>
          <w:rFonts w:hint="default" w:ascii="宋体" w:hAnsi="宋体" w:eastAsia="宋体" w:cs="Times New Roman"/>
          <w:color w:val="auto"/>
          <w:szCs w:val="21"/>
          <w:highlight w:val="none"/>
        </w:rPr>
        <w:t>人将不予支付相关费用，由</w:t>
      </w:r>
      <w:r>
        <w:rPr>
          <w:rFonts w:hint="default" w:ascii="宋体" w:hAnsi="宋体" w:eastAsia="宋体" w:cs="Times New Roman"/>
          <w:color w:val="auto"/>
          <w:szCs w:val="21"/>
          <w:highlight w:val="none"/>
          <w:lang w:val="en-US" w:eastAsia="zh-CN"/>
        </w:rPr>
        <w:t>承包</w:t>
      </w:r>
      <w:r>
        <w:rPr>
          <w:rFonts w:hint="default" w:ascii="宋体" w:hAnsi="宋体" w:eastAsia="宋体" w:cs="Times New Roman"/>
          <w:color w:val="auto"/>
          <w:szCs w:val="21"/>
          <w:highlight w:val="none"/>
        </w:rPr>
        <w:t>人在保证工程达到</w:t>
      </w:r>
      <w:r>
        <w:rPr>
          <w:rFonts w:hint="default" w:ascii="宋体" w:hAnsi="宋体" w:eastAsia="宋体" w:cs="Times New Roman"/>
          <w:color w:val="auto"/>
          <w:szCs w:val="21"/>
          <w:highlight w:val="none"/>
          <w:lang w:val="en-US" w:eastAsia="zh-CN"/>
        </w:rPr>
        <w:t>相应规范</w:t>
      </w:r>
      <w:r>
        <w:rPr>
          <w:rFonts w:hint="default" w:ascii="宋体" w:hAnsi="宋体" w:eastAsia="宋体" w:cs="Times New Roman"/>
          <w:color w:val="auto"/>
          <w:szCs w:val="21"/>
          <w:highlight w:val="none"/>
        </w:rPr>
        <w:t>的前提下，自行承担超出部分相关费用。</w:t>
      </w:r>
    </w:p>
    <w:p>
      <w:pPr>
        <w:pStyle w:val="6"/>
        <w:keepNext/>
        <w:keepLines/>
        <w:spacing w:before="120" w:after="120" w:line="360" w:lineRule="auto"/>
        <w:ind w:firstLine="422" w:firstLineChars="200"/>
        <w:jc w:val="both"/>
        <w:rPr>
          <w:color w:val="auto"/>
          <w:kern w:val="2"/>
          <w:sz w:val="21"/>
          <w:szCs w:val="21"/>
          <w:highlight w:val="none"/>
        </w:rPr>
      </w:pPr>
      <w:bookmarkStart w:id="368" w:name="_Toc351203485"/>
      <w:bookmarkStart w:id="369" w:name="_Toc532375577"/>
      <w:bookmarkStart w:id="370" w:name="_Toc532377170"/>
      <w:r>
        <w:rPr>
          <w:rFonts w:hint="eastAsia"/>
          <w:color w:val="auto"/>
          <w:kern w:val="2"/>
          <w:sz w:val="21"/>
          <w:szCs w:val="21"/>
          <w:highlight w:val="none"/>
        </w:rPr>
        <w:t>五、</w:t>
      </w:r>
      <w:bookmarkEnd w:id="368"/>
      <w:r>
        <w:rPr>
          <w:rFonts w:hint="eastAsia"/>
          <w:color w:val="auto"/>
          <w:kern w:val="2"/>
          <w:sz w:val="21"/>
          <w:szCs w:val="21"/>
          <w:highlight w:val="none"/>
        </w:rPr>
        <w:t>项目经理及技术负责人</w:t>
      </w:r>
      <w:bookmarkEnd w:id="369"/>
      <w:bookmarkEnd w:id="370"/>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承包人投标文件中承诺的项目经理：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姓名：</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身份证号码：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建造师</w:t>
      </w:r>
      <w:r>
        <w:rPr>
          <w:rFonts w:ascii="宋体" w:hAnsi="宋体"/>
          <w:color w:val="auto"/>
          <w:szCs w:val="21"/>
          <w:highlight w:val="none"/>
        </w:rPr>
        <w:t>注册证书号</w:t>
      </w:r>
      <w:r>
        <w:rPr>
          <w:rFonts w:hint="eastAsia"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承包人投标文件中承诺的技术负责人：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姓名：</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身份证号码：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pPr>
        <w:pStyle w:val="2"/>
        <w:spacing w:line="360" w:lineRule="auto"/>
        <w:rPr>
          <w:rFonts w:ascii="宋体" w:hAnsi="宋体"/>
          <w:color w:val="auto"/>
          <w:szCs w:val="21"/>
          <w:highlight w:val="none"/>
        </w:rPr>
      </w:pPr>
      <w:r>
        <w:rPr>
          <w:rFonts w:hint="eastAsia" w:ascii="宋体" w:hAnsi="宋体"/>
          <w:color w:val="auto"/>
          <w:szCs w:val="21"/>
          <w:highlight w:val="none"/>
        </w:rPr>
        <w:t>证书名称</w:t>
      </w:r>
      <w:r>
        <w:rPr>
          <w:rFonts w:ascii="宋体" w:hAnsi="宋体"/>
          <w:color w:val="auto"/>
          <w:szCs w:val="21"/>
          <w:highlight w:val="none"/>
        </w:rPr>
        <w:t>及号码：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6"/>
        <w:keepNext/>
        <w:keepLines/>
        <w:spacing w:before="120" w:after="120" w:line="360" w:lineRule="auto"/>
        <w:ind w:firstLine="422" w:firstLineChars="200"/>
        <w:jc w:val="both"/>
        <w:rPr>
          <w:color w:val="auto"/>
          <w:kern w:val="2"/>
          <w:sz w:val="21"/>
          <w:szCs w:val="21"/>
          <w:highlight w:val="none"/>
        </w:rPr>
      </w:pPr>
      <w:bookmarkStart w:id="371" w:name="_Toc532377171"/>
      <w:bookmarkStart w:id="372" w:name="_Toc532375578"/>
      <w:bookmarkStart w:id="373" w:name="_Toc351203486"/>
      <w:r>
        <w:rPr>
          <w:rFonts w:hint="eastAsia"/>
          <w:color w:val="auto"/>
          <w:kern w:val="2"/>
          <w:sz w:val="21"/>
          <w:szCs w:val="21"/>
          <w:highlight w:val="none"/>
        </w:rPr>
        <w:t>六、合同文件构成</w:t>
      </w:r>
      <w:bookmarkEnd w:id="371"/>
      <w:bookmarkEnd w:id="372"/>
      <w:bookmarkEnd w:id="373"/>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合同由以下文件构成：</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（1）合同协议书；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（2）中标通知书；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（3）投标函及投标函附录；</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（4）专用合同条款及其附件；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（5）通用合同条款；</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（6）投标文件（投标函及投标函附录除外）；</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（7）招标文件及修改文件；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（8）技术标准和要求；</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（9）图纸；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（10）其他合同文件。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在合同订立、履行过程中形成的与合同有关的书面形式的文件均构成合同文件组成部分。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上述各项合同文件包括合同当事人就该项合同文件所作出的补充和修改，属于同一类内容的文件，应以最新签署的为准。专用合同条款及其附件须经合同当事人签名或盖章。</w:t>
      </w:r>
    </w:p>
    <w:p>
      <w:pPr>
        <w:pStyle w:val="6"/>
        <w:keepNext/>
        <w:keepLines/>
        <w:spacing w:before="120" w:after="120" w:line="360" w:lineRule="auto"/>
        <w:ind w:firstLine="422" w:firstLineChars="200"/>
        <w:jc w:val="both"/>
        <w:rPr>
          <w:color w:val="auto"/>
          <w:kern w:val="2"/>
          <w:sz w:val="21"/>
          <w:szCs w:val="21"/>
          <w:highlight w:val="none"/>
        </w:rPr>
      </w:pPr>
      <w:bookmarkStart w:id="374" w:name="_Toc351203487"/>
      <w:bookmarkStart w:id="375" w:name="_Toc532375579"/>
      <w:bookmarkStart w:id="376" w:name="_Toc532377172"/>
      <w:r>
        <w:rPr>
          <w:rFonts w:hint="eastAsia"/>
          <w:color w:val="auto"/>
          <w:kern w:val="2"/>
          <w:sz w:val="21"/>
          <w:szCs w:val="21"/>
          <w:highlight w:val="none"/>
        </w:rPr>
        <w:t>七、承诺</w:t>
      </w:r>
      <w:bookmarkEnd w:id="374"/>
      <w:bookmarkEnd w:id="375"/>
      <w:bookmarkEnd w:id="376"/>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1.发包人承诺按照法律规定履行项目审批手续、筹集工程建设资金并按照合同约定的期限和方式支付合同价款。</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w:t>
      </w:r>
      <w:r>
        <w:rPr>
          <w:rFonts w:hint="eastAsia" w:ascii="宋体" w:hAnsi="宋体"/>
          <w:color w:val="auto"/>
          <w:szCs w:val="21"/>
          <w:highlight w:val="none"/>
        </w:rPr>
        <w:t>承包人承诺按照法律规定及合同约定组织完成工程施工，确保工程质量和安全，不进行转包及违法分包，并在缺陷责任期及保修期内承担相应的工程维修责任</w:t>
      </w:r>
      <w:r>
        <w:rPr>
          <w:rFonts w:hint="eastAsia" w:ascii="宋体" w:hAnsi="宋体"/>
          <w:bCs/>
          <w:color w:val="auto"/>
          <w:szCs w:val="21"/>
          <w:highlight w:val="none"/>
        </w:rPr>
        <w:t>。</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3.发包人和承包人通过招投标形式签订合同的，双方理解并承诺不再就同一工程另行签订与合同实质性内容相背离的协议。</w:t>
      </w:r>
    </w:p>
    <w:p>
      <w:pPr>
        <w:pStyle w:val="6"/>
        <w:keepNext/>
        <w:keepLines/>
        <w:spacing w:before="120" w:after="120" w:line="360" w:lineRule="auto"/>
        <w:ind w:firstLine="422" w:firstLineChars="200"/>
        <w:jc w:val="both"/>
        <w:rPr>
          <w:color w:val="auto"/>
          <w:kern w:val="2"/>
          <w:sz w:val="21"/>
          <w:szCs w:val="21"/>
          <w:highlight w:val="none"/>
        </w:rPr>
      </w:pPr>
      <w:bookmarkStart w:id="377" w:name="_Toc532377173"/>
      <w:bookmarkStart w:id="378" w:name="_Toc351203488"/>
      <w:bookmarkStart w:id="379" w:name="_Toc532375580"/>
      <w:r>
        <w:rPr>
          <w:rFonts w:hint="eastAsia"/>
          <w:color w:val="auto"/>
          <w:kern w:val="2"/>
          <w:sz w:val="21"/>
          <w:szCs w:val="21"/>
          <w:highlight w:val="none"/>
        </w:rPr>
        <w:t>八、词语含义</w:t>
      </w:r>
      <w:bookmarkEnd w:id="377"/>
      <w:bookmarkEnd w:id="378"/>
      <w:bookmarkEnd w:id="379"/>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本协议书中词语含义与专用合同条款及通用合同条款中赋予的含义相同。</w:t>
      </w:r>
    </w:p>
    <w:p>
      <w:pPr>
        <w:pStyle w:val="6"/>
        <w:keepNext/>
        <w:keepLines/>
        <w:spacing w:before="120" w:after="120" w:line="360" w:lineRule="auto"/>
        <w:ind w:firstLine="422" w:firstLineChars="200"/>
        <w:jc w:val="both"/>
        <w:rPr>
          <w:color w:val="auto"/>
          <w:kern w:val="2"/>
          <w:sz w:val="21"/>
          <w:szCs w:val="21"/>
          <w:highlight w:val="none"/>
        </w:rPr>
      </w:pPr>
      <w:bookmarkStart w:id="380" w:name="_Toc532375581"/>
      <w:bookmarkStart w:id="381" w:name="_Toc532377174"/>
      <w:r>
        <w:rPr>
          <w:rFonts w:hint="eastAsia"/>
          <w:color w:val="auto"/>
          <w:kern w:val="2"/>
          <w:sz w:val="21"/>
          <w:szCs w:val="21"/>
          <w:highlight w:val="none"/>
        </w:rPr>
        <w:t>九、签订时间</w:t>
      </w:r>
      <w:bookmarkEnd w:id="380"/>
      <w:bookmarkEnd w:id="381"/>
    </w:p>
    <w:p>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合同于</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hint="eastAsia" w:ascii="宋体" w:hAnsi="宋体"/>
          <w:bCs/>
          <w:color w:val="auto"/>
          <w:szCs w:val="21"/>
          <w:highlight w:val="none"/>
        </w:rPr>
        <w:t>日签订</w:t>
      </w:r>
    </w:p>
    <w:p>
      <w:pPr>
        <w:pStyle w:val="6"/>
        <w:keepNext/>
        <w:keepLines/>
        <w:spacing w:before="120" w:after="120" w:line="360" w:lineRule="auto"/>
        <w:ind w:firstLine="422" w:firstLineChars="200"/>
        <w:jc w:val="both"/>
        <w:rPr>
          <w:color w:val="auto"/>
          <w:kern w:val="2"/>
          <w:sz w:val="21"/>
          <w:szCs w:val="21"/>
          <w:highlight w:val="none"/>
        </w:rPr>
      </w:pPr>
      <w:bookmarkStart w:id="382" w:name="_Toc351203489"/>
      <w:bookmarkStart w:id="383" w:name="_Toc532377175"/>
      <w:bookmarkStart w:id="384" w:name="_Toc532375582"/>
      <w:r>
        <w:rPr>
          <w:rFonts w:hint="eastAsia"/>
          <w:color w:val="auto"/>
          <w:kern w:val="2"/>
          <w:sz w:val="21"/>
          <w:szCs w:val="21"/>
          <w:highlight w:val="none"/>
        </w:rPr>
        <w:t>十、</w:t>
      </w:r>
      <w:bookmarkEnd w:id="382"/>
      <w:bookmarkStart w:id="385" w:name="_Toc351203490"/>
      <w:r>
        <w:rPr>
          <w:rFonts w:hint="eastAsia"/>
          <w:color w:val="auto"/>
          <w:kern w:val="2"/>
          <w:sz w:val="21"/>
          <w:szCs w:val="21"/>
          <w:highlight w:val="none"/>
        </w:rPr>
        <w:t>签订地点</w:t>
      </w:r>
      <w:bookmarkEnd w:id="383"/>
      <w:bookmarkEnd w:id="384"/>
      <w:bookmarkEnd w:id="385"/>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合同在</w:t>
      </w:r>
      <w:r>
        <w:rPr>
          <w:rFonts w:hint="eastAsia" w:ascii="宋体" w:hAnsi="宋体"/>
          <w:bCs/>
          <w:color w:val="auto"/>
          <w:szCs w:val="21"/>
          <w:highlight w:val="none"/>
          <w:u w:val="single"/>
        </w:rPr>
        <w:t xml:space="preserve">        </w:t>
      </w:r>
      <w:r>
        <w:rPr>
          <w:rFonts w:hint="eastAsia" w:ascii="宋体" w:hAnsi="宋体"/>
          <w:bCs/>
          <w:color w:val="auto"/>
          <w:szCs w:val="21"/>
          <w:highlight w:val="none"/>
        </w:rPr>
        <w:t>签订。</w:t>
      </w:r>
    </w:p>
    <w:p>
      <w:pPr>
        <w:pStyle w:val="6"/>
        <w:keepNext/>
        <w:keepLines/>
        <w:spacing w:before="120" w:after="120" w:line="360" w:lineRule="auto"/>
        <w:ind w:firstLine="422" w:firstLineChars="200"/>
        <w:jc w:val="both"/>
        <w:rPr>
          <w:color w:val="auto"/>
          <w:kern w:val="2"/>
          <w:sz w:val="21"/>
          <w:szCs w:val="21"/>
          <w:highlight w:val="none"/>
        </w:rPr>
      </w:pPr>
      <w:bookmarkStart w:id="386" w:name="_Toc532375583"/>
      <w:bookmarkStart w:id="387" w:name="_Toc532377176"/>
      <w:bookmarkStart w:id="388" w:name="_Toc351203491"/>
      <w:r>
        <w:rPr>
          <w:rFonts w:hint="eastAsia"/>
          <w:color w:val="auto"/>
          <w:kern w:val="2"/>
          <w:sz w:val="21"/>
          <w:szCs w:val="21"/>
          <w:highlight w:val="none"/>
        </w:rPr>
        <w:t>十一、补充协议</w:t>
      </w:r>
      <w:bookmarkEnd w:id="386"/>
      <w:bookmarkEnd w:id="387"/>
      <w:bookmarkEnd w:id="388"/>
    </w:p>
    <w:p>
      <w:pPr>
        <w:spacing w:line="360" w:lineRule="auto"/>
        <w:ind w:firstLine="420" w:firstLineChars="200"/>
        <w:rPr>
          <w:rFonts w:ascii="宋体" w:hAnsi="宋体"/>
          <w:b/>
          <w:bCs/>
          <w:color w:val="auto"/>
          <w:szCs w:val="21"/>
          <w:highlight w:val="none"/>
        </w:rPr>
      </w:pPr>
      <w:r>
        <w:rPr>
          <w:rFonts w:hint="eastAsia" w:ascii="宋体" w:hAnsi="宋体"/>
          <w:bCs/>
          <w:color w:val="auto"/>
          <w:szCs w:val="21"/>
          <w:highlight w:val="none"/>
        </w:rPr>
        <w:t>合同未尽事宜，合同当事人另行签订补充协议，补充协议是合同的组成部分。</w:t>
      </w:r>
    </w:p>
    <w:p>
      <w:pPr>
        <w:pStyle w:val="6"/>
        <w:keepNext/>
        <w:keepLines/>
        <w:spacing w:before="120" w:after="120" w:line="360" w:lineRule="auto"/>
        <w:ind w:firstLine="422" w:firstLineChars="200"/>
        <w:jc w:val="both"/>
        <w:rPr>
          <w:color w:val="auto"/>
          <w:kern w:val="2"/>
          <w:sz w:val="21"/>
          <w:szCs w:val="21"/>
          <w:highlight w:val="none"/>
        </w:rPr>
      </w:pPr>
      <w:bookmarkStart w:id="389" w:name="_Toc351203492"/>
      <w:bookmarkStart w:id="390" w:name="_Toc532377177"/>
      <w:bookmarkStart w:id="391" w:name="_Toc532375584"/>
      <w:r>
        <w:rPr>
          <w:rFonts w:hint="eastAsia"/>
          <w:color w:val="auto"/>
          <w:kern w:val="2"/>
          <w:sz w:val="21"/>
          <w:szCs w:val="21"/>
          <w:highlight w:val="none"/>
        </w:rPr>
        <w:t>十二、合同生效</w:t>
      </w:r>
      <w:bookmarkEnd w:id="389"/>
      <w:bookmarkEnd w:id="390"/>
      <w:bookmarkEnd w:id="391"/>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合同在以下条件全部满足之后生效：</w:t>
      </w:r>
    </w:p>
    <w:p>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1.合同</w:t>
      </w:r>
      <w:r>
        <w:rPr>
          <w:rFonts w:hint="eastAsia" w:ascii="宋体" w:hAnsi="宋体"/>
          <w:color w:val="auto"/>
          <w:szCs w:val="21"/>
          <w:highlight w:val="none"/>
        </w:rPr>
        <w:t>经双方法定代表人或其委托代理人签名并加盖</w:t>
      </w:r>
      <w:r>
        <w:rPr>
          <w:rFonts w:hint="eastAsia" w:ascii="宋体" w:hAnsi="宋体"/>
          <w:snapToGrid w:val="0"/>
          <w:color w:val="auto"/>
          <w:kern w:val="0"/>
          <w:szCs w:val="21"/>
          <w:highlight w:val="none"/>
        </w:rPr>
        <w:t>公章或合同专用章</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2.采用保函形式递交履约担保的，承包人按合同约定向发包人提交履约担保后；</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6"/>
        <w:keepNext/>
        <w:keepLines/>
        <w:spacing w:before="120" w:after="120" w:line="360" w:lineRule="auto"/>
        <w:ind w:firstLine="422" w:firstLineChars="200"/>
        <w:jc w:val="both"/>
        <w:rPr>
          <w:color w:val="auto"/>
          <w:kern w:val="2"/>
          <w:sz w:val="21"/>
          <w:szCs w:val="21"/>
          <w:highlight w:val="none"/>
        </w:rPr>
      </w:pPr>
      <w:bookmarkStart w:id="392" w:name="_Toc532377178"/>
      <w:bookmarkStart w:id="393" w:name="_Toc351203493"/>
      <w:bookmarkStart w:id="394" w:name="_Toc532375585"/>
      <w:r>
        <w:rPr>
          <w:rFonts w:hint="eastAsia"/>
          <w:color w:val="auto"/>
          <w:kern w:val="2"/>
          <w:sz w:val="21"/>
          <w:szCs w:val="21"/>
          <w:highlight w:val="none"/>
        </w:rPr>
        <w:t>十三、合同份数</w:t>
      </w:r>
      <w:bookmarkEnd w:id="392"/>
      <w:bookmarkEnd w:id="393"/>
      <w:bookmarkEnd w:id="394"/>
    </w:p>
    <w:p>
      <w:pPr>
        <w:spacing w:line="360" w:lineRule="auto"/>
        <w:ind w:firstLine="420" w:firstLineChars="200"/>
        <w:rPr>
          <w:rFonts w:ascii="宋体" w:hAnsi="宋体"/>
          <w:bCs/>
          <w:color w:val="auto"/>
          <w:szCs w:val="21"/>
          <w:highlight w:val="none"/>
        </w:rPr>
      </w:pPr>
      <w:r>
        <w:rPr>
          <w:rFonts w:hint="eastAsia" w:ascii="宋体" w:hAnsi="宋体" w:cs="Microsoft Sans Serif"/>
          <w:bCs/>
          <w:color w:val="auto"/>
          <w:szCs w:val="21"/>
          <w:highlight w:val="none"/>
        </w:rPr>
        <w:t>合同一式</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份，其中正本</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份，双方各持</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份，副本</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份，双方各执</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份。副本与正本不一致时，以正本为准</w:t>
      </w:r>
      <w:r>
        <w:rPr>
          <w:rFonts w:hint="eastAsia" w:ascii="宋体" w:hAnsi="宋体"/>
          <w:bCs/>
          <w:color w:val="auto"/>
          <w:szCs w:val="21"/>
          <w:highlight w:val="none"/>
        </w:rPr>
        <w:t>。</w:t>
      </w:r>
    </w:p>
    <w:p>
      <w:pPr>
        <w:spacing w:line="360" w:lineRule="auto"/>
        <w:ind w:firstLine="420" w:firstLineChars="200"/>
        <w:rPr>
          <w:rFonts w:ascii="宋体" w:hAnsi="宋体"/>
          <w:bCs/>
          <w:color w:val="auto"/>
          <w:szCs w:val="21"/>
          <w:highlight w:val="none"/>
        </w:rPr>
      </w:pPr>
    </w:p>
    <w:p>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br w:type="page"/>
      </w:r>
    </w:p>
    <w:p>
      <w:pPr>
        <w:spacing w:line="360" w:lineRule="auto"/>
        <w:ind w:firstLine="420" w:firstLineChars="200"/>
        <w:rPr>
          <w:rFonts w:hint="eastAsia" w:ascii="宋体" w:hAnsi="宋体"/>
          <w:bCs/>
          <w:color w:val="auto"/>
          <w:szCs w:val="21"/>
          <w:highlight w:val="none"/>
        </w:rPr>
      </w:pP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（以下为签名盖章页）。</w:t>
      </w:r>
    </w:p>
    <w:p>
      <w:pPr>
        <w:rPr>
          <w:rFonts w:ascii="宋体" w:hAnsi="宋体"/>
          <w:color w:val="auto"/>
          <w:szCs w:val="21"/>
          <w:highlight w:val="none"/>
        </w:rPr>
      </w:pPr>
    </w:p>
    <w:p>
      <w:pPr>
        <w:pStyle w:val="45"/>
        <w:rPr>
          <w:color w:val="auto"/>
          <w:highlight w:val="none"/>
        </w:rPr>
      </w:pPr>
    </w:p>
    <w:p>
      <w:pPr>
        <w:adjustRightInd w:val="0"/>
        <w:spacing w:line="360" w:lineRule="auto"/>
        <w:ind w:firstLine="420" w:firstLineChars="200"/>
        <w:rPr>
          <w:rFonts w:ascii="宋体" w:hAnsi="宋体"/>
          <w:snapToGrid w:val="0"/>
          <w:color w:val="auto"/>
          <w:kern w:val="0"/>
          <w:szCs w:val="21"/>
          <w:highlight w:val="none"/>
        </w:rPr>
      </w:pPr>
      <w:bookmarkStart w:id="395" w:name="_Toc467689623"/>
      <w:r>
        <w:rPr>
          <w:rFonts w:ascii="宋体" w:hAnsi="宋体"/>
          <w:snapToGrid w:val="0"/>
          <w:color w:val="auto"/>
          <w:kern w:val="0"/>
          <w:szCs w:val="21"/>
          <w:highlight w:val="none"/>
        </w:rPr>
        <w:t>发包人：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（公章</w:t>
      </w:r>
      <w:r>
        <w:rPr>
          <w:rFonts w:hint="eastAsia" w:ascii="宋体" w:hAnsi="宋体"/>
          <w:snapToGrid w:val="0"/>
          <w:color w:val="auto"/>
          <w:kern w:val="0"/>
          <w:szCs w:val="21"/>
          <w:highlight w:val="none"/>
        </w:rPr>
        <w:t>或合同专用章</w:t>
      </w:r>
      <w:r>
        <w:rPr>
          <w:rFonts w:ascii="宋体" w:hAnsi="宋体"/>
          <w:snapToGrid w:val="0"/>
          <w:color w:val="auto"/>
          <w:kern w:val="0"/>
          <w:szCs w:val="21"/>
          <w:highlight w:val="none"/>
        </w:rPr>
        <w:t>）</w:t>
      </w:r>
    </w:p>
    <w:p>
      <w:pPr>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w:t>
      </w:r>
    </w:p>
    <w:p>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统一社会信用代码：</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纳税人识别号：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地    址：</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电    话：</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开户银行：</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snapToGrid w:val="0"/>
          <w:color w:val="auto"/>
          <w:kern w:val="0"/>
          <w:szCs w:val="21"/>
          <w:highlight w:val="none"/>
        </w:rPr>
        <w:t>账    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rPr>
          <w:rFonts w:ascii="宋体" w:hAnsi="宋体"/>
          <w:snapToGrid w:val="0"/>
          <w:color w:val="auto"/>
          <w:kern w:val="0"/>
          <w:szCs w:val="21"/>
          <w:highlight w:val="none"/>
        </w:rPr>
      </w:pPr>
    </w:p>
    <w:p>
      <w:pPr>
        <w:spacing w:line="360" w:lineRule="auto"/>
        <w:ind w:firstLine="420" w:firstLineChars="200"/>
        <w:rPr>
          <w:rFonts w:ascii="宋体" w:hAnsi="宋体"/>
          <w:color w:val="auto"/>
          <w:szCs w:val="21"/>
          <w:highlight w:val="none"/>
        </w:rPr>
      </w:pPr>
      <w:r>
        <w:rPr>
          <w:rFonts w:ascii="宋体" w:hAnsi="宋体"/>
          <w:snapToGrid w:val="0"/>
          <w:color w:val="auto"/>
          <w:kern w:val="0"/>
          <w:szCs w:val="21"/>
          <w:highlight w:val="none"/>
        </w:rPr>
        <w:t>承包人：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（公章</w:t>
      </w:r>
      <w:r>
        <w:rPr>
          <w:rFonts w:hint="eastAsia" w:ascii="宋体" w:hAnsi="宋体"/>
          <w:snapToGrid w:val="0"/>
          <w:color w:val="auto"/>
          <w:kern w:val="0"/>
          <w:szCs w:val="21"/>
          <w:highlight w:val="none"/>
        </w:rPr>
        <w:t>或合同专用章</w:t>
      </w:r>
      <w:r>
        <w:rPr>
          <w:rFonts w:ascii="宋体" w:hAnsi="宋体"/>
          <w:snapToGrid w:val="0"/>
          <w:color w:val="auto"/>
          <w:kern w:val="0"/>
          <w:szCs w:val="21"/>
          <w:highlight w:val="none"/>
        </w:rPr>
        <w:t>）</w:t>
      </w:r>
    </w:p>
    <w:p>
      <w:pPr>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w:t>
      </w:r>
    </w:p>
    <w:p>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统一社会信用代码：</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纳税人识别号：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地    址：</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电    话：</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开户银行：</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账    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pStyle w:val="2"/>
        <w:spacing w:line="360" w:lineRule="auto"/>
        <w:rPr>
          <w:rFonts w:ascii="宋体" w:hAnsi="宋体"/>
          <w:color w:val="auto"/>
          <w:szCs w:val="21"/>
          <w:highlight w:val="none"/>
        </w:rPr>
      </w:pPr>
    </w:p>
    <w:p>
      <w:pPr>
        <w:spacing w:line="360" w:lineRule="auto"/>
        <w:jc w:val="right"/>
        <w:rPr>
          <w:rFonts w:ascii="宋体" w:hAnsi="宋体"/>
          <w:snapToGrid w:val="0"/>
          <w:color w:val="auto"/>
          <w:kern w:val="0"/>
          <w:szCs w:val="21"/>
          <w:highlight w:val="none"/>
        </w:rPr>
      </w:pPr>
    </w:p>
    <w:p>
      <w:pPr>
        <w:spacing w:line="360" w:lineRule="auto"/>
        <w:jc w:val="right"/>
        <w:rPr>
          <w:rFonts w:ascii="宋体" w:hAnsi="宋体"/>
          <w:snapToGrid w:val="0"/>
          <w:color w:val="auto"/>
          <w:kern w:val="0"/>
          <w:szCs w:val="21"/>
          <w:highlight w:val="none"/>
        </w:rPr>
      </w:pPr>
    </w:p>
    <w:p>
      <w:pPr>
        <w:spacing w:line="360" w:lineRule="auto"/>
        <w:jc w:val="right"/>
        <w:rPr>
          <w:rFonts w:ascii="宋体" w:hAnsi="宋体"/>
          <w:snapToGrid w:val="0"/>
          <w:color w:val="auto"/>
          <w:kern w:val="0"/>
          <w:szCs w:val="21"/>
          <w:highlight w:val="none"/>
        </w:rPr>
      </w:pPr>
      <w:r>
        <w:rPr>
          <w:rFonts w:hint="eastAsia" w:ascii="宋体" w:hAnsi="宋体"/>
          <w:snapToGrid w:val="0"/>
          <w:color w:val="auto"/>
          <w:kern w:val="0"/>
          <w:szCs w:val="21"/>
          <w:highlight w:val="none"/>
        </w:rPr>
        <w:t>签约时间：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日</w:t>
      </w:r>
      <w:bookmarkEnd w:id="395"/>
    </w:p>
    <w:p>
      <w:pPr>
        <w:pStyle w:val="5"/>
        <w:jc w:val="center"/>
        <w:rPr>
          <w:rFonts w:ascii="宋体" w:hAnsi="宋体"/>
          <w:bCs w:val="0"/>
          <w:color w:val="auto"/>
          <w:sz w:val="21"/>
          <w:szCs w:val="21"/>
          <w:highlight w:val="none"/>
        </w:rPr>
      </w:pPr>
      <w:r>
        <w:rPr>
          <w:rFonts w:hint="eastAsia" w:ascii="宋体" w:hAnsi="宋体"/>
          <w:b w:val="0"/>
          <w:snapToGrid w:val="0"/>
          <w:color w:val="auto"/>
          <w:sz w:val="21"/>
          <w:szCs w:val="21"/>
          <w:highlight w:val="none"/>
          <w:lang w:val="zh-CN"/>
        </w:rPr>
        <w:br w:type="page"/>
      </w:r>
      <w:bookmarkStart w:id="396" w:name="_Toc57905908"/>
      <w:bookmarkStart w:id="397" w:name="_Toc529388289"/>
      <w:bookmarkStart w:id="398" w:name="_Toc19856"/>
      <w:bookmarkStart w:id="399" w:name="_Toc532377179"/>
      <w:bookmarkStart w:id="400" w:name="_Toc532375586"/>
      <w:r>
        <w:rPr>
          <w:rFonts w:hint="eastAsia" w:ascii="宋体" w:hAnsi="宋体"/>
          <w:color w:val="auto"/>
          <w:sz w:val="44"/>
          <w:szCs w:val="44"/>
          <w:highlight w:val="none"/>
        </w:rPr>
        <w:t>第二部分 通用合同条款</w:t>
      </w:r>
      <w:bookmarkEnd w:id="396"/>
      <w:bookmarkEnd w:id="397"/>
      <w:bookmarkEnd w:id="398"/>
      <w:bookmarkEnd w:id="399"/>
      <w:bookmarkEnd w:id="400"/>
    </w:p>
    <w:p>
      <w:pPr>
        <w:keepNext/>
        <w:keepLines/>
        <w:snapToGrid w:val="0"/>
        <w:spacing w:before="260" w:after="260" w:line="360" w:lineRule="auto"/>
        <w:outlineLvl w:val="2"/>
        <w:rPr>
          <w:rFonts w:ascii="宋体" w:hAnsi="宋体"/>
          <w:b/>
          <w:bCs/>
          <w:color w:val="auto"/>
          <w:szCs w:val="21"/>
          <w:highlight w:val="none"/>
          <w:lang w:val="zh-CN"/>
        </w:rPr>
      </w:pPr>
    </w:p>
    <w:p>
      <w:pPr>
        <w:pStyle w:val="5"/>
        <w:jc w:val="center"/>
        <w:rPr>
          <w:rFonts w:ascii="宋体" w:hAnsi="宋体"/>
          <w:color w:val="auto"/>
          <w:sz w:val="44"/>
          <w:szCs w:val="44"/>
          <w:highlight w:val="none"/>
        </w:rPr>
      </w:pPr>
      <w:bookmarkStart w:id="401" w:name="_Toc57905909"/>
      <w:bookmarkStart w:id="402" w:name="_Toc17694"/>
      <w:bookmarkStart w:id="403" w:name="_Toc532377320"/>
      <w:bookmarkStart w:id="404" w:name="_Toc532375607"/>
      <w:bookmarkStart w:id="405" w:name="_Toc529388290"/>
      <w:r>
        <w:rPr>
          <w:rFonts w:hint="eastAsia" w:ascii="宋体" w:hAnsi="宋体"/>
          <w:color w:val="auto"/>
          <w:sz w:val="44"/>
          <w:szCs w:val="44"/>
          <w:highlight w:val="none"/>
        </w:rPr>
        <w:t>第三部分 专用合同条款</w:t>
      </w:r>
      <w:bookmarkEnd w:id="401"/>
      <w:bookmarkEnd w:id="402"/>
      <w:bookmarkEnd w:id="403"/>
      <w:bookmarkEnd w:id="404"/>
      <w:bookmarkEnd w:id="405"/>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406" w:name="_Toc532375608"/>
      <w:bookmarkStart w:id="407" w:name="_Toc532377321"/>
      <w:bookmarkStart w:id="408" w:name="_Toc351203633"/>
      <w:bookmarkStart w:id="409" w:name="_Hlk528927191"/>
      <w:r>
        <w:rPr>
          <w:rFonts w:hint="eastAsia"/>
          <w:color w:val="auto"/>
          <w:kern w:val="2"/>
          <w:sz w:val="21"/>
          <w:szCs w:val="21"/>
          <w:highlight w:val="none"/>
        </w:rPr>
        <w:t>1</w:t>
      </w:r>
      <w:bookmarkStart w:id="410" w:name="_Toc292559361"/>
      <w:bookmarkStart w:id="411" w:name="_Toc296944495"/>
      <w:bookmarkStart w:id="412" w:name="_Toc296891196"/>
      <w:bookmarkStart w:id="413" w:name="_Toc296347155"/>
      <w:bookmarkStart w:id="414" w:name="_Toc296890984"/>
      <w:bookmarkStart w:id="415" w:name="_Toc296346657"/>
      <w:bookmarkStart w:id="416" w:name="_Toc292559866"/>
      <w:bookmarkStart w:id="417" w:name="_Toc297120456"/>
      <w:bookmarkStart w:id="418" w:name="_Toc297048342"/>
      <w:bookmarkStart w:id="419" w:name="_Toc296503156"/>
      <w:r>
        <w:rPr>
          <w:rFonts w:hint="eastAsia"/>
          <w:color w:val="auto"/>
          <w:kern w:val="2"/>
          <w:sz w:val="21"/>
          <w:szCs w:val="21"/>
          <w:highlight w:val="none"/>
        </w:rPr>
        <w:t>. 一般约定</w:t>
      </w:r>
      <w:bookmarkEnd w:id="406"/>
      <w:bookmarkEnd w:id="407"/>
      <w:bookmarkEnd w:id="408"/>
    </w:p>
    <w:bookmarkEnd w:id="410"/>
    <w:bookmarkEnd w:id="411"/>
    <w:bookmarkEnd w:id="412"/>
    <w:bookmarkEnd w:id="413"/>
    <w:bookmarkEnd w:id="414"/>
    <w:bookmarkEnd w:id="415"/>
    <w:bookmarkEnd w:id="416"/>
    <w:bookmarkEnd w:id="417"/>
    <w:bookmarkEnd w:id="418"/>
    <w:bookmarkEnd w:id="419"/>
    <w:p>
      <w:pPr>
        <w:pStyle w:val="7"/>
        <w:spacing w:before="0" w:beforeAutospacing="0" w:after="0" w:afterAutospacing="0" w:line="360" w:lineRule="auto"/>
        <w:ind w:firstLine="422" w:firstLineChars="200"/>
        <w:rPr>
          <w:color w:val="auto"/>
          <w:sz w:val="21"/>
          <w:szCs w:val="21"/>
          <w:highlight w:val="none"/>
        </w:rPr>
      </w:pPr>
      <w:bookmarkStart w:id="420" w:name="_Toc532377322"/>
      <w:r>
        <w:rPr>
          <w:rFonts w:hint="eastAsia"/>
          <w:color w:val="auto"/>
          <w:sz w:val="21"/>
          <w:szCs w:val="21"/>
          <w:highlight w:val="none"/>
        </w:rPr>
        <w:t>1.1词语定义与解释</w:t>
      </w:r>
      <w:bookmarkEnd w:id="420"/>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 合同</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1.1.1.6技术标准和要求：</w:t>
      </w:r>
      <w:r>
        <w:rPr>
          <w:rFonts w:hint="eastAsia" w:ascii="宋体" w:hAnsi="宋体"/>
          <w:color w:val="auto"/>
          <w:kern w:val="0"/>
          <w:szCs w:val="21"/>
          <w:highlight w:val="none"/>
          <w:u w:val="single"/>
        </w:rPr>
        <w:t>本目中的技术标准和要求是指技术规范，即合同所约定的技术标准和要求，是合同文件的组成部分。与通用合同条款中“技术标准和要求”一词具有相同含义，包括合同双方当事人约定对其所作的修改或补充</w:t>
      </w:r>
      <w:r>
        <w:rPr>
          <w:rFonts w:hint="eastAsia" w:ascii="宋体" w:hAnsi="宋体"/>
          <w:color w:val="auto"/>
          <w:kern w:val="0"/>
          <w:szCs w:val="21"/>
          <w:highlight w:val="none"/>
        </w:rPr>
        <w:t>。</w:t>
      </w:r>
    </w:p>
    <w:p>
      <w:pPr>
        <w:spacing w:line="360" w:lineRule="auto"/>
        <w:ind w:firstLine="480"/>
        <w:rPr>
          <w:rFonts w:ascii="宋体" w:hAnsi="宋体"/>
          <w:color w:val="auto"/>
          <w:kern w:val="0"/>
          <w:szCs w:val="21"/>
          <w:highlight w:val="none"/>
        </w:rPr>
      </w:pPr>
      <w:r>
        <w:rPr>
          <w:rFonts w:hint="eastAsia" w:ascii="宋体" w:hAnsi="宋体"/>
          <w:color w:val="auto"/>
          <w:kern w:val="0"/>
          <w:szCs w:val="21"/>
          <w:highlight w:val="none"/>
        </w:rPr>
        <w:t xml:space="preserve">1.1.1.8 </w:t>
      </w:r>
      <w:r>
        <w:rPr>
          <w:rFonts w:hint="default" w:ascii="Times New Roman" w:hAnsi="Times New Roman" w:cs="Times New Roman"/>
          <w:color w:val="auto"/>
          <w:highlight w:val="none"/>
        </w:rPr>
        <w:t>价格清单：指构成合同文件组成部分的</w:t>
      </w:r>
      <w:r>
        <w:rPr>
          <w:rFonts w:hint="default" w:ascii="Times New Roman" w:hAnsi="Times New Roman" w:eastAsia="宋体" w:cs="Times New Roman"/>
          <w:color w:val="auto"/>
          <w:highlight w:val="none"/>
        </w:rPr>
        <w:t>由</w:t>
      </w:r>
      <w:r>
        <w:rPr>
          <w:rFonts w:hint="default" w:ascii="Times New Roman" w:hAnsi="Times New Roman" w:cs="Times New Roman"/>
          <w:color w:val="auto"/>
          <w:highlight w:val="none"/>
        </w:rPr>
        <w:t>发承包人共同确定的标明价格的施工图预算清单</w:t>
      </w:r>
      <w:r>
        <w:rPr>
          <w:rFonts w:hint="default" w:ascii="Times New Roman" w:hAnsi="Times New Roman" w:eastAsia="宋体" w:cs="Times New Roman"/>
          <w:color w:val="auto"/>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1.1.1.10 其他合同文件包括：</w:t>
      </w:r>
      <w:r>
        <w:rPr>
          <w:rFonts w:hint="eastAsia" w:ascii="宋体" w:hAnsi="宋体"/>
          <w:color w:val="auto"/>
          <w:szCs w:val="21"/>
          <w:highlight w:val="none"/>
          <w:u w:val="single"/>
        </w:rPr>
        <w:t>按照合同协议书</w:t>
      </w:r>
      <w:r>
        <w:rPr>
          <w:rFonts w:hint="eastAsia" w:ascii="宋体" w:hAnsi="宋体"/>
          <w:bCs/>
          <w:color w:val="auto"/>
          <w:szCs w:val="21"/>
          <w:highlight w:val="none"/>
          <w:u w:val="single"/>
        </w:rPr>
        <w:t>〔</w:t>
      </w:r>
      <w:r>
        <w:rPr>
          <w:rFonts w:hint="eastAsia" w:ascii="宋体" w:hAnsi="宋体"/>
          <w:color w:val="auto"/>
          <w:szCs w:val="21"/>
          <w:highlight w:val="none"/>
          <w:u w:val="single"/>
        </w:rPr>
        <w:t>第六条</w:t>
      </w:r>
      <w:r>
        <w:rPr>
          <w:rFonts w:hint="eastAsia" w:ascii="宋体" w:hAnsi="宋体"/>
          <w:bCs/>
          <w:color w:val="auto"/>
          <w:szCs w:val="21"/>
          <w:highlight w:val="none"/>
          <w:u w:val="single"/>
        </w:rPr>
        <w:t>〕</w:t>
      </w:r>
      <w:r>
        <w:rPr>
          <w:rFonts w:hint="eastAsia" w:ascii="宋体" w:hAnsi="宋体"/>
          <w:color w:val="auto"/>
          <w:szCs w:val="21"/>
          <w:highlight w:val="none"/>
          <w:u w:val="single"/>
        </w:rPr>
        <w:t>约定执行</w:t>
      </w:r>
      <w:r>
        <w:rPr>
          <w:rFonts w:hint="eastAsia" w:ascii="宋体" w:hAnsi="宋体"/>
          <w:color w:val="auto"/>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本项补充1.1.1.11～1.1.1.16目：</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1.1.1.11 招标文件：</w:t>
      </w:r>
      <w:r>
        <w:rPr>
          <w:rFonts w:hint="eastAsia" w:ascii="宋体" w:hAnsi="宋体"/>
          <w:color w:val="auto"/>
          <w:kern w:val="0"/>
          <w:szCs w:val="21"/>
          <w:highlight w:val="none"/>
          <w:u w:val="single"/>
        </w:rPr>
        <w:t>指本工程的招标文件、图纸、其他技术资料及招标人发出的对招标文件所作的澄清、修改等资料</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1.1.1.12 工作：</w:t>
      </w:r>
      <w:r>
        <w:rPr>
          <w:rFonts w:hint="eastAsia" w:ascii="宋体" w:hAnsi="宋体"/>
          <w:color w:val="auto"/>
          <w:kern w:val="0"/>
          <w:szCs w:val="21"/>
          <w:highlight w:val="none"/>
          <w:u w:val="single"/>
        </w:rPr>
        <w:t>指根据合同条款规定，或根据合同合理推及的，为本工程（包括永久工程和临时工程）施工与维护所需要的管理、劳务、材料、施工设备和其他物品的提供</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1.1.1.13 重大设计变更：按照规定需要重新报建设行政主管部门批准的设计变更。</w:t>
      </w:r>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1.1.1.</w:t>
      </w:r>
      <w:r>
        <w:rPr>
          <w:rFonts w:hint="eastAsia" w:ascii="宋体" w:hAnsi="宋体"/>
          <w:color w:val="auto"/>
          <w:szCs w:val="21"/>
          <w:highlight w:val="none"/>
        </w:rPr>
        <w:t>14 公章：专指法定单位名称章</w:t>
      </w:r>
      <w:r>
        <w:rPr>
          <w:rFonts w:ascii="宋体" w:hAnsi="宋体"/>
          <w:color w:val="auto"/>
          <w:szCs w:val="21"/>
          <w:highlight w:val="none"/>
        </w:rPr>
        <w:t>。</w:t>
      </w:r>
    </w:p>
    <w:bookmarkEnd w:id="409"/>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1.1.1.15 到岗：指承包人按照到岗履职承诺安排满足办理施工许可手续相关要求的项目主要管理人员实际到施工现场就职履约的行为。</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1.1.1.16 项目法人：指具有民事权利能力和民事行为能力，依法独立享有民事权利和承担民事义务，以建设项目为目的，从事项目管理的机构、单位或组织。</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1.1.2 合同当事人及其他相关方</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1.1.2.4 </w:t>
      </w:r>
      <w:r>
        <w:rPr>
          <w:rFonts w:hint="eastAsia" w:ascii="宋体" w:hAnsi="宋体"/>
          <w:color w:val="auto"/>
          <w:szCs w:val="21"/>
          <w:highlight w:val="none"/>
          <w:lang w:val="en-US" w:eastAsia="zh-CN"/>
        </w:rPr>
        <w:t>监理单位</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名    称：</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资质类别和等级：</w:t>
      </w:r>
      <w:r>
        <w:rPr>
          <w:rFonts w:ascii="宋体" w:hAnsi="宋体"/>
          <w:color w:val="auto"/>
          <w:szCs w:val="21"/>
          <w:highlight w:val="none"/>
          <w:u w:val="single"/>
        </w:rPr>
        <w:t></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1.1.2.5 设计人：</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名    称：</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资质类别和等级：</w:t>
      </w:r>
      <w:r>
        <w:rPr>
          <w:rFonts w:ascii="宋体" w:hAnsi="宋体"/>
          <w:color w:val="auto"/>
          <w:szCs w:val="21"/>
          <w:highlight w:val="none"/>
          <w:u w:val="single"/>
        </w:rPr>
        <w:t></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1.1.3 工程和设备</w:t>
      </w:r>
    </w:p>
    <w:p>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1.1.3.7 作为施工现场组成部分的其他场所包括：</w:t>
      </w:r>
      <w:r>
        <w:rPr>
          <w:rFonts w:hint="eastAsia" w:ascii="宋体" w:hAnsi="宋体"/>
          <w:color w:val="auto"/>
          <w:kern w:val="0"/>
          <w:szCs w:val="21"/>
          <w:highlight w:val="none"/>
          <w:u w:val="single"/>
        </w:rPr>
        <w:t>永久占地、临时占地以及为修建临时工程而租用、占用的土地</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1.1.3.9 永久占地包括：</w:t>
      </w:r>
      <w:r>
        <w:rPr>
          <w:rFonts w:hint="eastAsia" w:ascii="宋体" w:hAnsi="宋体"/>
          <w:color w:val="auto"/>
          <w:kern w:val="0"/>
          <w:szCs w:val="21"/>
          <w:highlight w:val="none"/>
          <w:u w:val="single"/>
        </w:rPr>
        <w:t>为实施合同工程而需要的一切永久占用的土地，即合同工程</w:t>
      </w:r>
      <w:r>
        <w:rPr>
          <w:rFonts w:hint="eastAsia" w:ascii="宋体" w:hAnsi="宋体"/>
          <w:color w:val="auto"/>
          <w:szCs w:val="21"/>
          <w:highlight w:val="none"/>
          <w:u w:val="single"/>
        </w:rPr>
        <w:t>用地红线范围内的土地</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1.1.3.10 临时占地包括：</w:t>
      </w:r>
      <w:r>
        <w:rPr>
          <w:rFonts w:hint="eastAsia" w:ascii="宋体" w:hAnsi="宋体"/>
          <w:color w:val="auto"/>
          <w:szCs w:val="21"/>
          <w:highlight w:val="none"/>
          <w:u w:val="single"/>
        </w:rPr>
        <w:t>为实施合同工程而需要</w:t>
      </w:r>
      <w:r>
        <w:rPr>
          <w:rFonts w:hint="eastAsia" w:ascii="宋体" w:hAnsi="宋体"/>
          <w:color w:val="auto"/>
          <w:kern w:val="0"/>
          <w:szCs w:val="21"/>
          <w:highlight w:val="none"/>
          <w:u w:val="single"/>
        </w:rPr>
        <w:t>的一切</w:t>
      </w:r>
      <w:r>
        <w:rPr>
          <w:rFonts w:hint="eastAsia" w:ascii="宋体" w:hAnsi="宋体"/>
          <w:color w:val="auto"/>
          <w:szCs w:val="21"/>
          <w:highlight w:val="none"/>
          <w:u w:val="single"/>
        </w:rPr>
        <w:t>临时占用的土地，包括施工所用的临时便道等的临时出入道，以及生产（办公）、生活等临时设施用地</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1.1.6 其他</w:t>
      </w:r>
    </w:p>
    <w:p>
      <w:pPr>
        <w:spacing w:line="360" w:lineRule="auto"/>
        <w:ind w:firstLine="420" w:firstLineChars="200"/>
        <w:jc w:val="left"/>
        <w:rPr>
          <w:rFonts w:ascii="宋体" w:hAnsi="宋体"/>
          <w:color w:val="auto"/>
          <w:szCs w:val="21"/>
          <w:highlight w:val="none"/>
        </w:rPr>
      </w:pPr>
      <w:bookmarkStart w:id="421" w:name="_Hlk528927262"/>
      <w:r>
        <w:rPr>
          <w:rFonts w:hint="eastAsia" w:ascii="宋体" w:hAnsi="宋体"/>
          <w:color w:val="auto"/>
          <w:szCs w:val="21"/>
          <w:highlight w:val="none"/>
        </w:rPr>
        <w:t>本项补充1.1.6.2～1.1.6.3目：</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1.1.6.2 转包、违法分包及挂靠：指符合《住房和城乡建设部关于印发建筑工程施工发包与承包违法行为认定查处管理办法的通知》（建市规〔2019〕1号）规定认定条件的</w:t>
      </w:r>
      <w:r>
        <w:rPr>
          <w:rFonts w:hint="eastAsia" w:ascii="宋体" w:hAnsi="宋体"/>
          <w:color w:val="auto"/>
          <w:kern w:val="0"/>
          <w:szCs w:val="21"/>
          <w:highlight w:val="none"/>
        </w:rPr>
        <w:t>违法行为</w:t>
      </w:r>
      <w:r>
        <w:rPr>
          <w:rFonts w:hint="eastAsia" w:ascii="宋体" w:hAnsi="宋体"/>
          <w:color w:val="auto"/>
          <w:szCs w:val="21"/>
          <w:highlight w:val="none"/>
        </w:rPr>
        <w:t>。</w:t>
      </w:r>
    </w:p>
    <w:bookmarkEnd w:id="421"/>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1.1.6.3 危险性较大的分部分项工程（以下简称“危大工程”）：指住房和城乡建设部令第37号《危险性较大的分部分项工程安全管理规定》规定的房屋建筑和市政基础设施工程在施工过程中，容易导致人员群死群伤或者造成重大经济损失的分部分项工程。危大工程及超过一定规模的危大工程范围以国务院住房城乡建设主管部门制定及重庆市住房和城乡建设委员会补充的范围为准。</w:t>
      </w:r>
    </w:p>
    <w:p>
      <w:pPr>
        <w:pStyle w:val="7"/>
        <w:spacing w:before="0" w:beforeAutospacing="0" w:after="0" w:afterAutospacing="0" w:line="360" w:lineRule="auto"/>
        <w:ind w:firstLine="422" w:firstLineChars="200"/>
        <w:rPr>
          <w:color w:val="auto"/>
          <w:sz w:val="21"/>
          <w:szCs w:val="21"/>
          <w:highlight w:val="none"/>
        </w:rPr>
      </w:pPr>
      <w:bookmarkStart w:id="422" w:name="_Toc532377323"/>
      <w:r>
        <w:rPr>
          <w:rFonts w:hint="eastAsia"/>
          <w:color w:val="auto"/>
          <w:sz w:val="21"/>
          <w:szCs w:val="21"/>
          <w:highlight w:val="none"/>
        </w:rPr>
        <w:t>1.4 标准和规范</w:t>
      </w:r>
      <w:bookmarkEnd w:id="422"/>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1.4.1 适用于工程的标准规范包括：</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（1）施工图所涉及的技术标准、规范、规程、图集等；</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（2）国家、行业或重庆市与本工程有关的标准，以及相应的规范、规程等，当这些标准、规范、规程不一致时，以标准、规范、规程要求最高的为准。</w:t>
      </w:r>
    </w:p>
    <w:p>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1.4.2 发包人提供国外标准、规范的名称：</w:t>
      </w:r>
      <w:r>
        <w:rPr>
          <w:rFonts w:hint="eastAsia" w:ascii="宋体" w:hAnsi="宋体"/>
          <w:color w:val="auto"/>
          <w:kern w:val="0"/>
          <w:szCs w:val="21"/>
          <w:highlight w:val="none"/>
          <w:u w:val="single"/>
        </w:rPr>
        <w:t xml:space="preserve"> / </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发包人提供国外标准、规范的份数：</w:t>
      </w:r>
      <w:r>
        <w:rPr>
          <w:rFonts w:hint="eastAsia" w:ascii="宋体" w:hAnsi="宋体"/>
          <w:color w:val="auto"/>
          <w:kern w:val="0"/>
          <w:szCs w:val="21"/>
          <w:highlight w:val="none"/>
          <w:u w:val="single"/>
        </w:rPr>
        <w:t xml:space="preserve"> / </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发包人提供国外标准、规范的名称：</w:t>
      </w:r>
      <w:r>
        <w:rPr>
          <w:rFonts w:hint="eastAsia" w:ascii="宋体" w:hAnsi="宋体"/>
          <w:color w:val="auto"/>
          <w:kern w:val="0"/>
          <w:szCs w:val="21"/>
          <w:highlight w:val="none"/>
          <w:u w:val="single"/>
        </w:rPr>
        <w:t xml:space="preserve"> / </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1.4.3 发包人对工程的技术标准和功能要求的特殊要求：</w:t>
      </w:r>
      <w:r>
        <w:rPr>
          <w:rFonts w:hint="eastAsia" w:ascii="宋体" w:hAnsi="宋体"/>
          <w:color w:val="auto"/>
          <w:kern w:val="0"/>
          <w:szCs w:val="21"/>
          <w:highlight w:val="none"/>
          <w:u w:val="single"/>
        </w:rPr>
        <w:t xml:space="preserve">/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423" w:name="_Toc532377324"/>
      <w:r>
        <w:rPr>
          <w:rFonts w:hint="eastAsia"/>
          <w:color w:val="auto"/>
          <w:sz w:val="21"/>
          <w:szCs w:val="21"/>
          <w:highlight w:val="none"/>
        </w:rPr>
        <w:t>1.5 合同文件的优先顺序</w:t>
      </w:r>
      <w:bookmarkEnd w:id="423"/>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合同文件组成及优先顺序为：</w:t>
      </w:r>
      <w:r>
        <w:rPr>
          <w:rFonts w:hint="eastAsia" w:ascii="宋体" w:hAnsi="宋体"/>
          <w:color w:val="auto"/>
          <w:szCs w:val="21"/>
          <w:highlight w:val="none"/>
          <w:u w:val="single"/>
        </w:rPr>
        <w:t>按照合同协议书</w:t>
      </w:r>
      <w:r>
        <w:rPr>
          <w:rFonts w:hint="eastAsia" w:ascii="宋体" w:hAnsi="宋体"/>
          <w:bCs/>
          <w:color w:val="auto"/>
          <w:szCs w:val="21"/>
          <w:highlight w:val="none"/>
          <w:u w:val="single"/>
        </w:rPr>
        <w:t>〔</w:t>
      </w:r>
      <w:r>
        <w:rPr>
          <w:rFonts w:hint="eastAsia" w:ascii="宋体" w:hAnsi="宋体"/>
          <w:color w:val="auto"/>
          <w:szCs w:val="21"/>
          <w:highlight w:val="none"/>
          <w:u w:val="single"/>
        </w:rPr>
        <w:t>第六条</w:t>
      </w:r>
      <w:r>
        <w:rPr>
          <w:rFonts w:hint="eastAsia" w:ascii="宋体" w:hAnsi="宋体"/>
          <w:bCs/>
          <w:color w:val="auto"/>
          <w:szCs w:val="21"/>
          <w:highlight w:val="none"/>
          <w:u w:val="single"/>
        </w:rPr>
        <w:t>〕</w:t>
      </w:r>
      <w:r>
        <w:rPr>
          <w:rFonts w:hint="eastAsia" w:ascii="宋体" w:hAnsi="宋体"/>
          <w:color w:val="auto"/>
          <w:szCs w:val="21"/>
          <w:highlight w:val="none"/>
          <w:u w:val="single"/>
        </w:rPr>
        <w:t>约定执行</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424" w:name="_Toc532377325"/>
      <w:r>
        <w:rPr>
          <w:rFonts w:hint="eastAsia"/>
          <w:color w:val="auto"/>
          <w:sz w:val="21"/>
          <w:szCs w:val="21"/>
          <w:highlight w:val="none"/>
        </w:rPr>
        <w:t>1.6 图纸和承包人文件</w:t>
      </w:r>
      <w:bookmarkEnd w:id="424"/>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1.6.1 图纸的提供和交底</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发包人向承包人提供图纸的期限：</w:t>
      </w:r>
      <w:r>
        <w:rPr>
          <w:rFonts w:hint="eastAsia" w:ascii="宋体" w:hAnsi="宋体"/>
          <w:color w:val="auto"/>
          <w:szCs w:val="21"/>
          <w:highlight w:val="none"/>
          <w:u w:val="single"/>
        </w:rPr>
        <w:t>通用合同条款第7.3.2款</w:t>
      </w:r>
      <w:r>
        <w:rPr>
          <w:rFonts w:hint="eastAsia" w:ascii="宋体" w:hAnsi="宋体"/>
          <w:bCs/>
          <w:color w:val="auto"/>
          <w:szCs w:val="21"/>
          <w:highlight w:val="none"/>
          <w:u w:val="single"/>
        </w:rPr>
        <w:t>〔</w:t>
      </w:r>
      <w:r>
        <w:rPr>
          <w:rFonts w:hint="eastAsia" w:ascii="宋体" w:hAnsi="宋体"/>
          <w:color w:val="auto"/>
          <w:szCs w:val="21"/>
          <w:highlight w:val="none"/>
          <w:u w:val="single"/>
        </w:rPr>
        <w:t>开工通知</w:t>
      </w:r>
      <w:r>
        <w:rPr>
          <w:rFonts w:hint="eastAsia" w:ascii="宋体" w:hAnsi="宋体"/>
          <w:bCs/>
          <w:color w:val="auto"/>
          <w:szCs w:val="21"/>
          <w:highlight w:val="none"/>
          <w:u w:val="single"/>
        </w:rPr>
        <w:t>〕</w:t>
      </w:r>
      <w:r>
        <w:rPr>
          <w:rFonts w:hint="eastAsia" w:ascii="宋体" w:hAnsi="宋体"/>
          <w:color w:val="auto"/>
          <w:szCs w:val="21"/>
          <w:highlight w:val="none"/>
          <w:u w:val="single"/>
        </w:rPr>
        <w:t>载明的开工日期前14天</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发包人向承包人提供图纸的数量：</w:t>
      </w:r>
      <w:r>
        <w:rPr>
          <w:rFonts w:hint="eastAsia" w:ascii="宋体" w:hAnsi="宋体"/>
          <w:color w:val="auto"/>
          <w:szCs w:val="21"/>
          <w:highlight w:val="none"/>
          <w:u w:val="single"/>
        </w:rPr>
        <w:t xml:space="preserve">  套</w:t>
      </w:r>
      <w:r>
        <w:rPr>
          <w:rFonts w:hint="eastAsia" w:ascii="宋体" w:hAnsi="宋体"/>
          <w:color w:val="auto"/>
          <w:szCs w:val="21"/>
          <w:highlight w:val="none"/>
        </w:rPr>
        <w:t xml:space="preserve">； </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发包人向承包人提供图纸的内容：</w:t>
      </w:r>
      <w:r>
        <w:rPr>
          <w:rFonts w:hint="eastAsia" w:ascii="宋体" w:hAnsi="宋体"/>
          <w:color w:val="auto"/>
          <w:szCs w:val="21"/>
          <w:highlight w:val="none"/>
          <w:u w:val="single"/>
        </w:rPr>
        <w:t>工程承包范围内工程的施工图设计文件</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发包人组织承包人、监理人和设计人进行图纸会审和设计交底的时间：</w:t>
      </w:r>
      <w:r>
        <w:rPr>
          <w:rFonts w:hint="eastAsia" w:ascii="宋体" w:hAnsi="宋体"/>
          <w:color w:val="auto"/>
          <w:szCs w:val="21"/>
          <w:highlight w:val="none"/>
          <w:u w:val="single"/>
        </w:rPr>
        <w:t>提供施工图后7天内</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承包人可以书面方式通过监理人向发包人申请进行紧急的设计交底，发包人认为确有必要且条件许可时，应尽快组织实施承包人申请的设计交底。</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1.6.2 图纸的错误</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承包人不得利用图纸的差错、遗漏或缺陷，从中获得不正当的利益。</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1.6.4 承包人文件</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需要由承包人提供的书面文件，包括：</w:t>
      </w:r>
      <w:r>
        <w:rPr>
          <w:rFonts w:hint="eastAsia" w:ascii="宋体" w:hAnsi="宋体"/>
          <w:color w:val="auto"/>
          <w:szCs w:val="21"/>
          <w:highlight w:val="none"/>
          <w:u w:val="single"/>
        </w:rPr>
        <w:t>施工组织设计、专项施工方案、</w:t>
      </w:r>
      <w:r>
        <w:rPr>
          <w:rFonts w:ascii="宋体" w:hAnsi="宋体"/>
          <w:color w:val="auto"/>
          <w:szCs w:val="21"/>
          <w:highlight w:val="none"/>
          <w:u w:val="single"/>
        </w:rPr>
        <w:t>危险性较大分部分项工程施工方案</w:t>
      </w:r>
      <w:r>
        <w:rPr>
          <w:rFonts w:hint="eastAsia" w:ascii="宋体" w:hAnsi="宋体"/>
          <w:color w:val="auto"/>
          <w:szCs w:val="21"/>
          <w:highlight w:val="none"/>
          <w:u w:val="single"/>
        </w:rPr>
        <w:t>（如有）、安全应急方案、进度计划、报表及计划、竣工资料及施工过程中因工程变更需要报送的施工方案、施工过程中涉及工程价款变更的相关资料、完整的竣工结算资料等</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承包人提供文件的期限、数量：</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（1）</w:t>
      </w:r>
      <w:r>
        <w:rPr>
          <w:rFonts w:hint="eastAsia" w:ascii="宋体" w:hAnsi="宋体"/>
          <w:color w:val="auto"/>
          <w:szCs w:val="21"/>
          <w:highlight w:val="none"/>
          <w:u w:val="single"/>
        </w:rPr>
        <w:t>图纸会审及设计交底后7天内，向监理人、发包人提交经优化完善的施工组织设计和工程总体进度计划及当年年度施工进度计划。进度计划安排必须符合发包人对本工程总体进度计划的安排。专项施工方案应在专项施工7日前通过审查（含专家论证）。施工组织设计和专项施工方案经监理人审批同意后执行。承包人应接受监理人、发包人对其提交的施工组织设计和专项施工方案中不合理的工期安排及技术措施、方案的修改意见，并修改完善后重新报批，直至获得批准</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u w:val="single"/>
        </w:rPr>
        <w:t>每月</w:t>
      </w:r>
      <w:r>
        <w:rPr>
          <w:rFonts w:hint="eastAsia" w:ascii="宋体" w:hAnsi="宋体"/>
          <w:color w:val="auto"/>
          <w:szCs w:val="21"/>
          <w:highlight w:val="none"/>
          <w:u w:val="single"/>
          <w:lang w:val="en-US" w:eastAsia="zh-CN"/>
        </w:rPr>
        <w:t>25</w:t>
      </w:r>
      <w:r>
        <w:rPr>
          <w:rFonts w:hint="eastAsia" w:ascii="宋体" w:hAnsi="宋体"/>
          <w:color w:val="auto"/>
          <w:szCs w:val="21"/>
          <w:highlight w:val="none"/>
          <w:u w:val="single"/>
        </w:rPr>
        <w:t>日前报送月工程进度完成报表</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（3）合同另有约定的，按照其约定。</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承包人提供的文件的形式：□采用电子招标的，投标文件以电子文档为准，其他文件以书面文件为准；□采用纸质招标的，当书面文件与电子文档不一致的，以书面文件为准。监理人审批承包人文件的期限：</w:t>
      </w:r>
      <w:r>
        <w:rPr>
          <w:rFonts w:hint="eastAsia" w:ascii="宋体" w:hAnsi="宋体"/>
          <w:color w:val="auto"/>
          <w:szCs w:val="21"/>
          <w:highlight w:val="none"/>
          <w:u w:val="single"/>
        </w:rPr>
        <w:t>收到施工组织设计和工程总体进度计划及当年年度施工进度计划后7天内；合同另有约定的，从其约定</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承包人提供的文件的费用：</w:t>
      </w:r>
      <w:r>
        <w:rPr>
          <w:rFonts w:hint="eastAsia" w:ascii="宋体" w:hAnsi="宋体"/>
          <w:color w:val="auto"/>
          <w:szCs w:val="21"/>
          <w:highlight w:val="none"/>
          <w:u w:val="single"/>
        </w:rPr>
        <w:t>由承包人承担</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发包人审批承包人文件的期限：</w:t>
      </w:r>
      <w:r>
        <w:rPr>
          <w:rFonts w:hint="eastAsia" w:ascii="宋体" w:hAnsi="宋体"/>
          <w:color w:val="auto"/>
          <w:szCs w:val="21"/>
          <w:highlight w:val="none"/>
          <w:u w:val="single"/>
        </w:rPr>
        <w:t>收到后14天内；合同另有约定的，从其约定</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监理人、发包人的修改意见和审批，不免除或减轻承包人对该工作、工程、材料、工程设备等应承担的责任和义务</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425" w:name="_Toc532377326"/>
      <w:r>
        <w:rPr>
          <w:rFonts w:hint="eastAsia"/>
          <w:color w:val="auto"/>
          <w:sz w:val="21"/>
          <w:szCs w:val="21"/>
          <w:highlight w:val="none"/>
        </w:rPr>
        <w:t>1.7 联络</w:t>
      </w:r>
      <w:bookmarkEnd w:id="425"/>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1.7.1 发包人和承包人应当在</w:t>
      </w:r>
      <w:r>
        <w:rPr>
          <w:rFonts w:hint="eastAsia" w:ascii="宋体" w:hAnsi="宋体"/>
          <w:color w:val="auto"/>
          <w:szCs w:val="21"/>
          <w:highlight w:val="none"/>
          <w:u w:val="single"/>
        </w:rPr>
        <w:t xml:space="preserve"> 1 </w:t>
      </w:r>
      <w:r>
        <w:rPr>
          <w:rFonts w:hint="eastAsia" w:ascii="宋体" w:hAnsi="宋体"/>
          <w:color w:val="auto"/>
          <w:kern w:val="0"/>
          <w:szCs w:val="21"/>
          <w:highlight w:val="none"/>
        </w:rPr>
        <w:t>天内将与合同有关的通知、批准、证明、证书、指示、指令、要求、请求、同意、意见、确定和决定等书面函件送达对方当事人，并办理书面签收手续。</w:t>
      </w:r>
    </w:p>
    <w:p>
      <w:pPr>
        <w:tabs>
          <w:tab w:val="left" w:pos="7513"/>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1.7.2 发包人接收文件地点：</w:t>
      </w:r>
      <w:r>
        <w:rPr>
          <w:rFonts w:ascii="宋体" w:hAnsi="宋体"/>
          <w:color w:val="auto"/>
          <w:kern w:val="0"/>
          <w:szCs w:val="21"/>
          <w:highlight w:val="none"/>
          <w:u w:val="single"/>
        </w:rPr>
        <w:t xml:space="preserve">  </w:t>
      </w:r>
      <w:r>
        <w:rPr>
          <w:rFonts w:hint="default" w:ascii="Times New Roman" w:hAnsi="Times New Roman" w:cs="Times New Roman"/>
          <w:color w:val="auto"/>
          <w:kern w:val="0"/>
          <w:szCs w:val="21"/>
          <w:highlight w:val="none"/>
          <w:u w:val="single"/>
        </w:rPr>
        <w:t>重庆新汇商实业有限公司</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发包人指定的接收人：</w:t>
      </w:r>
      <w:bookmarkStart w:id="426" w:name="_Hlk528493983"/>
      <w:bookmarkEnd w:id="426"/>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现场代表</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pPr>
        <w:tabs>
          <w:tab w:val="left" w:pos="7513"/>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承包人接收文件地点：</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承包人指定的接收人：</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pPr>
        <w:tabs>
          <w:tab w:val="left" w:pos="737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监理人接收文件地点：</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监理人指定的接收人：</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427" w:name="_Toc532377327"/>
      <w:r>
        <w:rPr>
          <w:rFonts w:hint="eastAsia"/>
          <w:color w:val="auto"/>
          <w:sz w:val="21"/>
          <w:szCs w:val="21"/>
          <w:highlight w:val="none"/>
        </w:rPr>
        <w:t>1.8 严禁贿赂</w:t>
      </w:r>
      <w:bookmarkEnd w:id="427"/>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本款补充以下内容：</w:t>
      </w:r>
    </w:p>
    <w:p>
      <w:pPr>
        <w:spacing w:line="36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在合同执行过程中，合同当事人应严格履行附件8《廉洁从业协议》。</w:t>
      </w:r>
    </w:p>
    <w:p>
      <w:pPr>
        <w:pStyle w:val="7"/>
        <w:spacing w:before="0" w:beforeAutospacing="0" w:after="0" w:afterAutospacing="0" w:line="360" w:lineRule="auto"/>
        <w:ind w:firstLine="422" w:firstLineChars="200"/>
        <w:rPr>
          <w:color w:val="auto"/>
          <w:sz w:val="21"/>
          <w:szCs w:val="21"/>
          <w:highlight w:val="none"/>
        </w:rPr>
      </w:pPr>
      <w:bookmarkStart w:id="428" w:name="_Toc532377328"/>
      <w:r>
        <w:rPr>
          <w:rFonts w:hint="eastAsia"/>
          <w:color w:val="auto"/>
          <w:sz w:val="21"/>
          <w:szCs w:val="21"/>
          <w:highlight w:val="none"/>
        </w:rPr>
        <w:t>1.10 交通运输</w:t>
      </w:r>
      <w:bookmarkEnd w:id="428"/>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bookmarkStart w:id="429" w:name="_Toc318581155"/>
      <w:bookmarkStart w:id="430" w:name="_Toc304295521"/>
      <w:bookmarkStart w:id="431" w:name="_Toc312677986"/>
      <w:bookmarkStart w:id="432" w:name="_Toc300934943"/>
      <w:bookmarkStart w:id="433" w:name="_Toc303539100"/>
      <w:r>
        <w:rPr>
          <w:rFonts w:hint="eastAsia" w:ascii="宋体" w:hAnsi="宋体"/>
          <w:color w:val="auto"/>
          <w:szCs w:val="21"/>
          <w:highlight w:val="none"/>
        </w:rPr>
        <w:t>.10.1 出入现场的权利</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szCs w:val="21"/>
          <w:highlight w:val="none"/>
        </w:rPr>
        <w:t>关于出入现场的权利的约定：</w:t>
      </w:r>
      <w:r>
        <w:rPr>
          <w:rFonts w:hint="eastAsia" w:ascii="宋体" w:hAnsi="宋体"/>
          <w:color w:val="auto"/>
          <w:szCs w:val="21"/>
          <w:highlight w:val="none"/>
          <w:u w:val="single"/>
        </w:rPr>
        <w:t xml:space="preserve">        </w:t>
      </w:r>
      <w:r>
        <w:rPr>
          <w:rFonts w:hint="eastAsia" w:ascii="宋体" w:hAnsi="宋体"/>
          <w:color w:val="auto"/>
          <w:szCs w:val="21"/>
          <w:highlight w:val="none"/>
        </w:rPr>
        <w:t>。</w:t>
      </w:r>
    </w:p>
    <w:bookmarkEnd w:id="429"/>
    <w:bookmarkEnd w:id="430"/>
    <w:bookmarkEnd w:id="431"/>
    <w:bookmarkEnd w:id="432"/>
    <w:bookmarkEnd w:id="433"/>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1.10.2 场外交通</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承包人应遵守有关交通法规，执行有关道路限速、限行、禁止超载的规定，并配合交通管理部门的监督和检查。场外交通以施工场地移交时的现状为准。</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bookmarkStart w:id="434" w:name="_Toc303539101"/>
      <w:bookmarkStart w:id="435" w:name="_Toc312677987"/>
      <w:bookmarkStart w:id="436" w:name="_Toc318581156"/>
      <w:bookmarkStart w:id="437" w:name="_Toc304295522"/>
      <w:bookmarkStart w:id="438" w:name="_Toc300934944"/>
      <w:r>
        <w:rPr>
          <w:rFonts w:hint="eastAsia" w:ascii="宋体" w:hAnsi="宋体"/>
          <w:color w:val="auto"/>
          <w:szCs w:val="21"/>
          <w:highlight w:val="none"/>
        </w:rPr>
        <w:t>.10.3 场内交通</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kern w:val="0"/>
          <w:szCs w:val="21"/>
          <w:highlight w:val="none"/>
        </w:rPr>
        <w:t>关于场外交通和场内交通的边界的约定：</w:t>
      </w:r>
      <w:r>
        <w:rPr>
          <w:rFonts w:hint="eastAsia" w:ascii="宋体" w:hAnsi="宋体"/>
          <w:color w:val="auto"/>
          <w:szCs w:val="21"/>
          <w:highlight w:val="none"/>
          <w:u w:val="single"/>
        </w:rPr>
        <w:t>以合同工程用地红线为界，用地红线外为场外交通，用地红线范围内为场内交通（场外道路穿越场内的除外）</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关于发包人向承包人免费提供满足工程施工需要的场内道路和交通设施的约定：</w:t>
      </w:r>
      <w:r>
        <w:rPr>
          <w:rFonts w:hint="eastAsia" w:ascii="宋体" w:hAnsi="宋体"/>
          <w:color w:val="auto"/>
          <w:kern w:val="0"/>
          <w:szCs w:val="21"/>
          <w:highlight w:val="none"/>
          <w:u w:val="single"/>
        </w:rPr>
        <w:t>以施工场地移交时的现状为准</w:t>
      </w:r>
      <w:r>
        <w:rPr>
          <w:rFonts w:hint="eastAsia" w:ascii="宋体" w:hAnsi="宋体"/>
          <w:color w:val="auto"/>
          <w:szCs w:val="21"/>
          <w:highlight w:val="none"/>
        </w:rPr>
        <w:t>。</w:t>
      </w:r>
    </w:p>
    <w:bookmarkEnd w:id="434"/>
    <w:bookmarkEnd w:id="435"/>
    <w:bookmarkEnd w:id="436"/>
    <w:bookmarkEnd w:id="437"/>
    <w:bookmarkEnd w:id="438"/>
    <w:p>
      <w:pPr>
        <w:spacing w:line="360" w:lineRule="auto"/>
        <w:ind w:firstLine="420" w:firstLineChars="200"/>
        <w:jc w:val="left"/>
        <w:rPr>
          <w:rFonts w:ascii="宋体" w:hAnsi="宋体"/>
          <w:color w:val="auto"/>
          <w:szCs w:val="21"/>
          <w:highlight w:val="none"/>
        </w:rPr>
      </w:pPr>
      <w:bookmarkStart w:id="439" w:name="_Toc318581157"/>
      <w:r>
        <w:rPr>
          <w:rFonts w:hint="eastAsia" w:ascii="宋体" w:hAnsi="宋体"/>
          <w:color w:val="auto"/>
          <w:szCs w:val="21"/>
          <w:highlight w:val="none"/>
        </w:rPr>
        <w:t>1.10.4 超大件和超重件的运输</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运输超大件或超重件所需的道路和桥梁临时加固改造费用和其他有关费用由</w:t>
      </w:r>
      <w:r>
        <w:rPr>
          <w:rFonts w:hint="eastAsia" w:ascii="宋体" w:hAnsi="宋体"/>
          <w:color w:val="auto"/>
          <w:szCs w:val="21"/>
          <w:highlight w:val="none"/>
          <w:u w:val="single"/>
        </w:rPr>
        <w:t>发包人</w:t>
      </w:r>
      <w:r>
        <w:rPr>
          <w:rFonts w:hint="eastAsia" w:ascii="宋体" w:hAnsi="宋体"/>
          <w:color w:val="auto"/>
          <w:szCs w:val="21"/>
          <w:highlight w:val="none"/>
        </w:rPr>
        <w:t>承担。</w:t>
      </w:r>
    </w:p>
    <w:bookmarkEnd w:id="439"/>
    <w:p>
      <w:pPr>
        <w:pStyle w:val="7"/>
        <w:spacing w:before="0" w:beforeAutospacing="0" w:after="0" w:afterAutospacing="0" w:line="360" w:lineRule="auto"/>
        <w:ind w:firstLine="422" w:firstLineChars="200"/>
        <w:rPr>
          <w:color w:val="auto"/>
          <w:sz w:val="21"/>
          <w:szCs w:val="21"/>
          <w:highlight w:val="none"/>
        </w:rPr>
      </w:pPr>
      <w:bookmarkStart w:id="440" w:name="_Toc532377329"/>
      <w:r>
        <w:rPr>
          <w:rFonts w:hint="eastAsia"/>
          <w:color w:val="auto"/>
          <w:sz w:val="21"/>
          <w:szCs w:val="21"/>
          <w:highlight w:val="none"/>
        </w:rPr>
        <w:t>1.11 知识产权</w:t>
      </w:r>
      <w:bookmarkEnd w:id="440"/>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 关于发包人提供给承包人的图纸、发包人为实施工程自行编制或委托编制的技术规范以及反映发包人关于合同要求或其他类似性质的文件的著作权的归属：</w:t>
      </w:r>
      <w:r>
        <w:rPr>
          <w:rFonts w:hint="eastAsia" w:ascii="宋体" w:hAnsi="宋体"/>
          <w:color w:val="auto"/>
          <w:szCs w:val="21"/>
          <w:highlight w:val="none"/>
          <w:u w:val="single"/>
        </w:rPr>
        <w:t>属于发包人</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关于发包人提供的上述文件的使用限制的要求：</w:t>
      </w:r>
      <w:r>
        <w:rPr>
          <w:rFonts w:hint="eastAsia" w:ascii="宋体" w:hAnsi="宋体"/>
          <w:color w:val="auto"/>
          <w:szCs w:val="21"/>
          <w:highlight w:val="none"/>
          <w:u w:val="single"/>
        </w:rPr>
        <w:t>按通用合同条款执行</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1.11.4 承包人在施工过程中所采用的专利、专有技术、技术秘密的使用费的承担方式：</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441" w:name="_Toc532377330"/>
      <w:r>
        <w:rPr>
          <w:rFonts w:hint="eastAsia"/>
          <w:color w:val="auto"/>
          <w:sz w:val="21"/>
          <w:szCs w:val="21"/>
          <w:highlight w:val="none"/>
        </w:rPr>
        <w:t>1.13工程量清单错误的修正</w:t>
      </w:r>
      <w:bookmarkEnd w:id="441"/>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出现工程量清单错误时，责任和权利划分：</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出现工程量清单错误时，是否调整合同价格：</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允许调整合同价格的工程量偏差范围：</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442" w:name="_Toc532375609"/>
      <w:bookmarkStart w:id="443" w:name="_Toc351203634"/>
      <w:bookmarkStart w:id="444" w:name="_Toc532377331"/>
      <w:r>
        <w:rPr>
          <w:rFonts w:hint="eastAsia"/>
          <w:color w:val="auto"/>
          <w:kern w:val="2"/>
          <w:sz w:val="21"/>
          <w:szCs w:val="21"/>
          <w:highlight w:val="none"/>
        </w:rPr>
        <w:t>2</w:t>
      </w:r>
      <w:bookmarkStart w:id="445" w:name="_Toc296347156"/>
      <w:bookmarkStart w:id="446" w:name="_Toc296890985"/>
      <w:bookmarkStart w:id="447" w:name="_Toc296891197"/>
      <w:bookmarkStart w:id="448" w:name="_Toc297120457"/>
      <w:bookmarkStart w:id="449" w:name="_Toc296944496"/>
      <w:bookmarkStart w:id="450" w:name="_Toc296503157"/>
      <w:bookmarkStart w:id="451" w:name="_Toc292559867"/>
      <w:bookmarkStart w:id="452" w:name="_Toc297048343"/>
      <w:bookmarkStart w:id="453" w:name="_Toc292559362"/>
      <w:bookmarkStart w:id="454" w:name="_Toc296346658"/>
      <w:r>
        <w:rPr>
          <w:rFonts w:hint="eastAsia"/>
          <w:color w:val="auto"/>
          <w:kern w:val="2"/>
          <w:sz w:val="21"/>
          <w:szCs w:val="21"/>
          <w:highlight w:val="none"/>
        </w:rPr>
        <w:t>. 发包人</w:t>
      </w:r>
      <w:bookmarkEnd w:id="442"/>
      <w:bookmarkEnd w:id="443"/>
      <w:bookmarkEnd w:id="444"/>
    </w:p>
    <w:bookmarkEnd w:id="445"/>
    <w:bookmarkEnd w:id="446"/>
    <w:bookmarkEnd w:id="447"/>
    <w:bookmarkEnd w:id="448"/>
    <w:bookmarkEnd w:id="449"/>
    <w:bookmarkEnd w:id="450"/>
    <w:bookmarkEnd w:id="451"/>
    <w:bookmarkEnd w:id="452"/>
    <w:bookmarkEnd w:id="453"/>
    <w:bookmarkEnd w:id="454"/>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2.2.1 发包人代表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发包人代表：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r>
        <w:rPr>
          <w:rFonts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身份证号：</w:t>
      </w:r>
      <w:r>
        <w:rPr>
          <w:rFonts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职    务：</w:t>
      </w:r>
      <w:r>
        <w:rPr>
          <w:rFonts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邮    编：</w:t>
      </w:r>
      <w:r>
        <w:rPr>
          <w:rFonts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发包人对发包人代表的授权范围如下：</w:t>
      </w:r>
      <w:r>
        <w:rPr>
          <w:rFonts w:hint="eastAsia" w:ascii="宋体" w:hAnsi="宋体"/>
          <w:color w:val="auto"/>
          <w:szCs w:val="21"/>
          <w:highlight w:val="none"/>
          <w:u w:val="single"/>
        </w:rPr>
        <w:t>代表发包人对项目建设进行协调、管控、审查，确保安全、质量、环保、进度、成本可控，及时处理项目相关问题，向承包人、监理人等下达各类指令。由发包人授权的，以授权书载明的授权范围为准</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455" w:name="_Toc532377332"/>
      <w:r>
        <w:rPr>
          <w:rFonts w:hint="eastAsia"/>
          <w:color w:val="auto"/>
          <w:sz w:val="21"/>
          <w:szCs w:val="21"/>
          <w:highlight w:val="none"/>
        </w:rPr>
        <w:t>2.4 施工现场、施工条件和基础资料的提供</w:t>
      </w:r>
      <w:bookmarkEnd w:id="455"/>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2.4.1 提供施工现场</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2.4.1.1 提供场地：</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施工场地的提供采用以下第</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2）</w:t>
      </w:r>
      <w:r>
        <w:rPr>
          <w:rFonts w:hint="eastAsia" w:ascii="宋体" w:hAnsi="宋体"/>
          <w:color w:val="auto"/>
          <w:szCs w:val="21"/>
          <w:highlight w:val="none"/>
          <w:u w:val="single"/>
        </w:rPr>
        <w:t xml:space="preserve"> </w:t>
      </w:r>
      <w:r>
        <w:rPr>
          <w:rFonts w:hint="eastAsia" w:ascii="宋体" w:hAnsi="宋体"/>
          <w:color w:val="auto"/>
          <w:szCs w:val="21"/>
          <w:highlight w:val="none"/>
        </w:rPr>
        <w:t>种方式：</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（1）一次提供全部施工场地：发包人于</w:t>
      </w:r>
      <w:r>
        <w:rPr>
          <w:rFonts w:hint="eastAsia" w:ascii="宋体" w:hAnsi="宋体"/>
          <w:color w:val="auto"/>
          <w:szCs w:val="21"/>
          <w:highlight w:val="none"/>
          <w:u w:val="single"/>
        </w:rPr>
        <w:t>开工</w:t>
      </w:r>
      <w:r>
        <w:rPr>
          <w:rFonts w:hint="eastAsia" w:ascii="宋体" w:hAnsi="宋体"/>
          <w:color w:val="auto"/>
          <w:szCs w:val="21"/>
          <w:highlight w:val="none"/>
        </w:rPr>
        <w:t>前向承包人提供合同工程用地红线范围内的施工场地。</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（2）分次提供全部施工场地：</w:t>
      </w:r>
      <w:r>
        <w:rPr>
          <w:rFonts w:hint="eastAsia" w:ascii="宋体" w:hAnsi="宋体"/>
          <w:color w:val="auto"/>
          <w:szCs w:val="21"/>
          <w:highlight w:val="none"/>
          <w:u w:val="single"/>
        </w:rPr>
        <w:t>发包人按约定的时间分次向承包人提供合同工程用地红线范围内的施工场地</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承包人编制的施工组织计划已充分考虑了施工场地提供的因素</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施工场地未能按约定提供的，承包人应结合施工场地实际交地情况，优化施工组织计划。施工场地未能按约定提供，影响项目关键线路的，承包人可提交索赔申请，并经监理人、发包人审批后可按约定顺延项目工期，否则工期不予顺延</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2.4.2 提供施工条件</w:t>
      </w:r>
    </w:p>
    <w:p>
      <w:pPr>
        <w:widowControl/>
        <w:adjustRightInd w:val="0"/>
        <w:snapToGrid w:val="0"/>
        <w:spacing w:line="30" w:lineRule="atLeast"/>
        <w:ind w:firstLine="480"/>
        <w:rPr>
          <w:rFonts w:hint="eastAsia" w:ascii="宋体" w:hAnsi="宋体"/>
          <w:color w:val="auto"/>
          <w:szCs w:val="21"/>
          <w:highlight w:val="none"/>
        </w:rPr>
      </w:pPr>
      <w:r>
        <w:rPr>
          <w:rFonts w:hint="eastAsia" w:ascii="宋体" w:hAnsi="宋体"/>
          <w:color w:val="auto"/>
          <w:szCs w:val="21"/>
          <w:highlight w:val="none"/>
        </w:rPr>
        <w:t>关于发包人应负责提供施工所需要的条件：</w:t>
      </w:r>
    </w:p>
    <w:p>
      <w:pPr>
        <w:widowControl/>
        <w:adjustRightInd w:val="0"/>
        <w:snapToGrid w:val="0"/>
        <w:spacing w:line="30" w:lineRule="atLeast"/>
        <w:ind w:firstLine="480"/>
        <w:rPr>
          <w:rFonts w:hint="default" w:ascii="Times New Roman" w:hAnsi="Times New Roman" w:cs="Times New Roman"/>
          <w:color w:val="auto"/>
          <w:highlight w:val="none"/>
        </w:rPr>
      </w:pPr>
      <w:r>
        <w:rPr>
          <w:rFonts w:hint="default" w:ascii="Times New Roman" w:hAnsi="Times New Roman" w:cs="Times New Roman"/>
          <w:color w:val="auto"/>
          <w:kern w:val="0"/>
          <w:szCs w:val="21"/>
          <w:highlight w:val="none"/>
        </w:rPr>
        <w:t>（1）将施工用水、电力、通讯线路等施工所必需的条件接至施工现场内</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由承包人根据本工程实际情况，自行向相关部门申请安装，相关费用由承包人自行承担，发包人不再另行支付。工程完工后，由承包人自行拆除和回收。施工用水接入点及用量应征求发包人意见。</w:t>
      </w:r>
    </w:p>
    <w:p>
      <w:pPr>
        <w:widowControl/>
        <w:adjustRightInd w:val="0"/>
        <w:snapToGrid w:val="0"/>
        <w:spacing w:line="30" w:lineRule="atLeast"/>
        <w:ind w:firstLine="480"/>
        <w:rPr>
          <w:rFonts w:hint="default" w:ascii="Times New Roman" w:hAnsi="Times New Roman" w:cs="Times New Roman"/>
          <w:color w:val="auto"/>
          <w:kern w:val="0"/>
          <w:highlight w:val="none"/>
        </w:rPr>
      </w:pPr>
      <w:r>
        <w:rPr>
          <w:rFonts w:hint="default" w:ascii="Times New Roman" w:hAnsi="Times New Roman" w:cs="Times New Roman"/>
          <w:color w:val="auto"/>
          <w:kern w:val="0"/>
          <w:szCs w:val="21"/>
          <w:highlight w:val="none"/>
        </w:rPr>
        <w:t>（2）承包人自行负责正常施工所需要的进入施工现场的交通条件，相关费用由承包人自行承担，发包人不再另行支付。</w:t>
      </w:r>
    </w:p>
    <w:p>
      <w:pPr>
        <w:widowControl/>
        <w:adjustRightInd w:val="0"/>
        <w:snapToGrid w:val="0"/>
        <w:spacing w:line="30" w:lineRule="atLeast"/>
        <w:ind w:firstLine="480"/>
        <w:rPr>
          <w:rFonts w:ascii="宋体" w:hAnsi="宋体"/>
          <w:color w:val="auto"/>
          <w:szCs w:val="21"/>
          <w:highlight w:val="none"/>
        </w:rPr>
      </w:pPr>
      <w:r>
        <w:rPr>
          <w:rFonts w:hint="default" w:ascii="Times New Roman" w:hAnsi="Times New Roman" w:cs="Times New Roman"/>
          <w:color w:val="auto"/>
          <w:kern w:val="0"/>
          <w:szCs w:val="21"/>
          <w:highlight w:val="none"/>
        </w:rPr>
        <w:t>（3）委托承包人协调处理施工现场周围地下管线和邻近建筑物、构筑物、古树名木、文物、化石及坟墓等的保护工作，并承担相关费用，相关费用由承包人自行承担，发包人不再另行支付。</w:t>
      </w:r>
    </w:p>
    <w:p>
      <w:pPr>
        <w:pStyle w:val="7"/>
        <w:spacing w:before="0" w:beforeAutospacing="0" w:after="0" w:afterAutospacing="0" w:line="360" w:lineRule="auto"/>
        <w:ind w:firstLine="422" w:firstLineChars="200"/>
        <w:rPr>
          <w:color w:val="auto"/>
          <w:sz w:val="21"/>
          <w:szCs w:val="21"/>
          <w:highlight w:val="none"/>
        </w:rPr>
      </w:pPr>
      <w:bookmarkStart w:id="456" w:name="_Toc532377333"/>
      <w:r>
        <w:rPr>
          <w:rFonts w:hint="eastAsia"/>
          <w:color w:val="auto"/>
          <w:sz w:val="21"/>
          <w:szCs w:val="21"/>
          <w:highlight w:val="none"/>
        </w:rPr>
        <w:t>2.5 资金来源证明及支付担保</w:t>
      </w:r>
      <w:bookmarkEnd w:id="456"/>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发包人提供资金来源证明的期限要求：</w:t>
      </w:r>
      <w:r>
        <w:rPr>
          <w:rFonts w:hint="eastAsia" w:ascii="宋体" w:hAnsi="宋体"/>
          <w:color w:val="auto"/>
          <w:szCs w:val="21"/>
          <w:highlight w:val="none"/>
          <w:u w:val="single"/>
        </w:rPr>
        <w:t>不采用</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发包人是否提供支付担保：</w:t>
      </w:r>
      <w:r>
        <w:rPr>
          <w:rFonts w:hint="eastAsia" w:ascii="宋体" w:hAnsi="宋体" w:eastAsia="宋体" w:cs="Times New Roman"/>
          <w:color w:val="auto"/>
          <w:szCs w:val="21"/>
          <w:highlight w:val="none"/>
          <w:u w:val="single"/>
          <w:lang w:val="en-US" w:eastAsia="zh-CN"/>
        </w:rPr>
        <w:t>不</w:t>
      </w:r>
      <w:r>
        <w:rPr>
          <w:rFonts w:hint="eastAsia" w:ascii="宋体" w:hAnsi="宋体" w:eastAsia="宋体" w:cs="Times New Roman"/>
          <w:color w:val="auto"/>
          <w:szCs w:val="21"/>
          <w:highlight w:val="none"/>
          <w:u w:val="single"/>
        </w:rPr>
        <w:t>提</w:t>
      </w:r>
      <w:r>
        <w:rPr>
          <w:rFonts w:hint="eastAsia" w:ascii="宋体" w:hAnsi="宋体"/>
          <w:color w:val="auto"/>
          <w:szCs w:val="21"/>
          <w:highlight w:val="none"/>
          <w:u w:val="single"/>
        </w:rPr>
        <w:t>供</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支付担保的形式：</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支付担保的金额：</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支付担保的时间：</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支付担保的期限：</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支付担保的退还时间：</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457" w:name="_Toc532375610"/>
      <w:bookmarkStart w:id="458" w:name="_Toc532377334"/>
      <w:bookmarkStart w:id="459" w:name="_Toc351203635"/>
      <w:r>
        <w:rPr>
          <w:rFonts w:hint="eastAsia"/>
          <w:color w:val="auto"/>
          <w:kern w:val="2"/>
          <w:sz w:val="21"/>
          <w:szCs w:val="21"/>
          <w:highlight w:val="none"/>
        </w:rPr>
        <w:t>3</w:t>
      </w:r>
      <w:bookmarkStart w:id="460" w:name="_Toc296346659"/>
      <w:bookmarkStart w:id="461" w:name="_Toc297120458"/>
      <w:bookmarkStart w:id="462" w:name="_Toc292559363"/>
      <w:bookmarkStart w:id="463" w:name="_Toc296890986"/>
      <w:bookmarkStart w:id="464" w:name="_Toc297048344"/>
      <w:bookmarkStart w:id="465" w:name="_Toc296944497"/>
      <w:bookmarkStart w:id="466" w:name="_Toc296503158"/>
      <w:bookmarkStart w:id="467" w:name="_Toc292559868"/>
      <w:bookmarkStart w:id="468" w:name="_Toc296891198"/>
      <w:bookmarkStart w:id="469" w:name="_Toc296347157"/>
      <w:r>
        <w:rPr>
          <w:rFonts w:hint="eastAsia"/>
          <w:color w:val="auto"/>
          <w:kern w:val="2"/>
          <w:sz w:val="21"/>
          <w:szCs w:val="21"/>
          <w:highlight w:val="none"/>
        </w:rPr>
        <w:t>. 承包人</w:t>
      </w:r>
      <w:bookmarkEnd w:id="457"/>
      <w:bookmarkEnd w:id="458"/>
      <w:bookmarkEnd w:id="459"/>
    </w:p>
    <w:bookmarkEnd w:id="460"/>
    <w:bookmarkEnd w:id="461"/>
    <w:bookmarkEnd w:id="462"/>
    <w:bookmarkEnd w:id="463"/>
    <w:bookmarkEnd w:id="464"/>
    <w:bookmarkEnd w:id="465"/>
    <w:bookmarkEnd w:id="466"/>
    <w:bookmarkEnd w:id="467"/>
    <w:bookmarkEnd w:id="468"/>
    <w:bookmarkEnd w:id="469"/>
    <w:p>
      <w:pPr>
        <w:pStyle w:val="7"/>
        <w:spacing w:before="0" w:beforeAutospacing="0" w:after="0" w:afterAutospacing="0" w:line="360" w:lineRule="auto"/>
        <w:ind w:firstLine="422" w:firstLineChars="200"/>
        <w:rPr>
          <w:color w:val="auto"/>
          <w:sz w:val="21"/>
          <w:szCs w:val="21"/>
          <w:highlight w:val="none"/>
        </w:rPr>
      </w:pPr>
      <w:bookmarkStart w:id="470" w:name="_Toc532377335"/>
      <w:r>
        <w:rPr>
          <w:rFonts w:hint="eastAsia"/>
          <w:color w:val="auto"/>
          <w:sz w:val="21"/>
          <w:szCs w:val="21"/>
          <w:highlight w:val="none"/>
        </w:rPr>
        <w:t>3.1 承包人的一般义务</w:t>
      </w:r>
      <w:bookmarkEnd w:id="470"/>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本款细化为3.1.1～3.1.10项：</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3.1.1办理法律规定和合同约定应由承包人办理的许可和批准，并将办理结果书面报送发包人留存；协助发包人办理施工所需的工程质量监督、安全监督、施工许可证等相关证件及手续。</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3.1.3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噪声的措施，减小施工噪音及污水等对周边环境的影响包括对居民生活、工作、生产和经营等的影响；对不实施拆迁的建、构筑物应采取保护措施，并保证既有道路的正常通行。</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3.1.4按合同约定的工作内容和施工进度要求，编制施工组织设计和施工措施计划，并对所有施工作业和施工方法的完备性和安全可靠性负责。施工组织设计中的措施保障水平应满足工程按合同进度实施的需要，且不得低于投标时施工组织设计的措施保障水平。</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3.1.6按照第6.3款〔环境保护〕约定负责施工场地及其周边环境与生态的保护工作。</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3.1.7按照第6.1款〔安全文明施工〕约定采取施工安全措施，确保工程及其人员、材料、设备和设施的安全，防止因工程施工造成的人身伤害和财产损失。</w:t>
      </w:r>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3.1.8将发包人按合同约定支付的各项价款专用于合同工程，且应及时支付其雇用人员工资，并及时向分包人支付合同价款。</w:t>
      </w:r>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3.1.9承包人提交的竣工资料的内容：</w:t>
      </w:r>
      <w:r>
        <w:rPr>
          <w:rFonts w:hint="eastAsia" w:ascii="宋体" w:hAnsi="宋体"/>
          <w:color w:val="auto"/>
          <w:szCs w:val="21"/>
          <w:highlight w:val="none"/>
          <w:u w:val="single"/>
        </w:rPr>
        <w:t>工程施工技术资料、工程质量保证资料、工程检验评定资料、竣工图及其他应交资料，应符合《建设工程文件归档整理规范》（GB/T50328-2014）和重庆市有关文件规定</w:t>
      </w:r>
      <w:r>
        <w:rPr>
          <w:rFonts w:hint="eastAsia" w:ascii="宋体" w:hAnsi="宋体"/>
          <w:color w:val="auto"/>
          <w:szCs w:val="21"/>
          <w:highlight w:val="none"/>
        </w:rPr>
        <w:t>。</w:t>
      </w:r>
    </w:p>
    <w:p>
      <w:pPr>
        <w:widowControl/>
        <w:shd w:val="clear" w:color="auto" w:fill="FFFFFF"/>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承包人需要提交的竣工资料套数：</w:t>
      </w:r>
      <w:r>
        <w:rPr>
          <w:rFonts w:hint="default" w:ascii="宋体" w:hAnsi="宋体" w:eastAsia="宋体" w:cs="Times New Roman"/>
          <w:color w:val="auto"/>
          <w:szCs w:val="21"/>
          <w:highlight w:val="none"/>
        </w:rPr>
        <w:t>承包人在工程相关资料归档时，由承包人提交合格的纸质竣工图三套，纸质技术文字材料竣工档案三套及竣工图AutoCAD光盘、电子扫描光盘各二套。同时按《重庆市建设工程档案编制验收标准》DBJ50-129-2011附表A建设工程文件归档内容一览表中应由承包人提供的相关资料原件两份（不装订）、折叠装订好的施工图纸一套以及发包人要求提供的其他资料。</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承包人提交的竣工资料的费用承担：</w:t>
      </w:r>
      <w:r>
        <w:rPr>
          <w:rFonts w:hint="eastAsia" w:ascii="宋体" w:hAnsi="宋体"/>
          <w:color w:val="auto"/>
          <w:szCs w:val="21"/>
          <w:highlight w:val="none"/>
          <w:u w:val="single"/>
        </w:rPr>
        <w:t>由承包人承担</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承包人提交的竣工资料移交时间：</w:t>
      </w:r>
      <w:r>
        <w:rPr>
          <w:rFonts w:hint="eastAsia" w:ascii="宋体" w:hAnsi="宋体"/>
          <w:color w:val="auto"/>
          <w:szCs w:val="21"/>
          <w:highlight w:val="none"/>
          <w:u w:val="single"/>
        </w:rPr>
        <w:t>工程竣工验收合格后</w:t>
      </w:r>
      <w:r>
        <w:rPr>
          <w:rFonts w:hint="eastAsia" w:ascii="宋体" w:hAnsi="宋体"/>
          <w:color w:val="auto"/>
          <w:szCs w:val="21"/>
          <w:highlight w:val="none"/>
          <w:u w:val="single"/>
          <w:lang w:val="en-US" w:eastAsia="zh-CN"/>
        </w:rPr>
        <w:t>一</w:t>
      </w:r>
      <w:r>
        <w:rPr>
          <w:rFonts w:hint="eastAsia" w:ascii="宋体" w:hAnsi="宋体"/>
          <w:color w:val="auto"/>
          <w:szCs w:val="21"/>
          <w:highlight w:val="none"/>
          <w:u w:val="single"/>
        </w:rPr>
        <w:t>个月内移交给发包人</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承包人提交的竣工资料形式要求：</w:t>
      </w:r>
      <w:r>
        <w:rPr>
          <w:rFonts w:hint="default" w:ascii="宋体" w:hAnsi="宋体" w:eastAsia="宋体" w:cs="Times New Roman"/>
          <w:color w:val="auto"/>
          <w:szCs w:val="21"/>
          <w:highlight w:val="none"/>
          <w:u w:val="single"/>
        </w:rPr>
        <w:t>满足重庆市档案馆存档要求</w:t>
      </w:r>
      <w:r>
        <w:rPr>
          <w:rFonts w:hint="eastAsia" w:ascii="宋体" w:hAnsi="宋体" w:eastAsia="宋体" w:cs="Times New Roman"/>
          <w:color w:val="auto"/>
          <w:szCs w:val="21"/>
          <w:highlight w:val="none"/>
          <w:u w:val="single"/>
          <w:lang w:val="en-US" w:eastAsia="zh-CN"/>
        </w:rPr>
        <w:t>的</w:t>
      </w:r>
      <w:r>
        <w:rPr>
          <w:rFonts w:hint="eastAsia" w:ascii="宋体" w:hAnsi="宋体" w:eastAsia="宋体" w:cs="Times New Roman"/>
          <w:color w:val="auto"/>
          <w:szCs w:val="21"/>
          <w:highlight w:val="none"/>
          <w:u w:val="single"/>
        </w:rPr>
        <w:t>完整的</w:t>
      </w:r>
      <w:r>
        <w:rPr>
          <w:rFonts w:hint="eastAsia" w:ascii="宋体" w:hAnsi="宋体"/>
          <w:color w:val="auto"/>
          <w:szCs w:val="21"/>
          <w:highlight w:val="none"/>
          <w:u w:val="single"/>
        </w:rPr>
        <w:t>书面文件及电子文档</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3.1.10承包人应履行的其他义务：</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3.1.10.1在开始施工之前，承包人应核查、复测本工程的各种基准标志。承包人应及时将上述基准标志中存在的错误、不完整或其他缺陷通知发包人，以便发包人核实后重新确认。</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3.1.10.2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3.1.10.3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3.1.10.4承包人应服从发包人要求的管理模式、工作方式和工作要求，同时接受监理人、跟审单位的管理和全程监督，配合项目结、决算的办理。</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3.1.10.5</w:t>
      </w:r>
      <w:r>
        <w:rPr>
          <w:rFonts w:hint="eastAsia" w:ascii="宋体" w:hAnsi="宋体"/>
          <w:color w:val="auto"/>
          <w:szCs w:val="21"/>
          <w:highlight w:val="none"/>
          <w:u w:val="single"/>
        </w:rPr>
        <w:t>承包人应为本工程开立专用账户，接受发包人的监管</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bookmarkStart w:id="471" w:name="_Toc532377336"/>
      <w:r>
        <w:rPr>
          <w:rFonts w:hint="eastAsia" w:ascii="宋体" w:hAnsi="宋体"/>
          <w:color w:val="auto"/>
          <w:szCs w:val="21"/>
          <w:highlight w:val="none"/>
        </w:rPr>
        <w:t>3.1.10.6</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r>
        <w:rPr>
          <w:rFonts w:hint="eastAsia"/>
          <w:color w:val="auto"/>
          <w:sz w:val="21"/>
          <w:szCs w:val="21"/>
          <w:highlight w:val="none"/>
        </w:rPr>
        <w:t>3.2 项目经理</w:t>
      </w:r>
      <w:bookmarkEnd w:id="471"/>
    </w:p>
    <w:p>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 xml:space="preserve">3.2.1 </w:t>
      </w:r>
      <w:r>
        <w:rPr>
          <w:rFonts w:hint="eastAsia" w:ascii="宋体" w:hAnsi="宋体"/>
          <w:color w:val="auto"/>
          <w:szCs w:val="21"/>
          <w:highlight w:val="none"/>
        </w:rPr>
        <w:t>项目经理：</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r>
        <w:rPr>
          <w:rFonts w:ascii="宋体" w:hAnsi="宋体"/>
          <w:color w:val="auto"/>
          <w:szCs w:val="21"/>
          <w:highlight w:val="none"/>
          <w:u w:val="single"/>
        </w:rPr>
        <w:t xml:space="preserve">      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身份证号：</w:t>
      </w:r>
      <w:r>
        <w:rPr>
          <w:rFonts w:ascii="宋体" w:hAnsi="宋体"/>
          <w:color w:val="auto"/>
          <w:szCs w:val="21"/>
          <w:highlight w:val="none"/>
          <w:u w:val="single"/>
        </w:rPr>
        <w:t>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建造师执业资格等级：</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建造师注册证书号：</w:t>
      </w:r>
      <w:r>
        <w:rPr>
          <w:rFonts w:ascii="宋体" w:hAnsi="宋体"/>
          <w:color w:val="auto"/>
          <w:szCs w:val="21"/>
          <w:highlight w:val="none"/>
          <w:u w:val="single"/>
        </w:rPr>
        <w:t>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建造师执业印章号：</w:t>
      </w:r>
      <w:r>
        <w:rPr>
          <w:rFonts w:ascii="宋体" w:hAnsi="宋体"/>
          <w:color w:val="auto"/>
          <w:szCs w:val="21"/>
          <w:highlight w:val="none"/>
          <w:u w:val="single"/>
        </w:rPr>
        <w:t>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安全生产考核合格证书号：</w:t>
      </w:r>
      <w:r>
        <w:rPr>
          <w:rFonts w:ascii="宋体" w:hAnsi="宋体"/>
          <w:color w:val="auto"/>
          <w:szCs w:val="21"/>
          <w:highlight w:val="none"/>
          <w:u w:val="single"/>
        </w:rPr>
        <w:t>  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承包人对项目经理的授权范围如下：</w:t>
      </w:r>
      <w:r>
        <w:rPr>
          <w:rFonts w:hint="eastAsia" w:ascii="宋体" w:hAnsi="宋体"/>
          <w:color w:val="auto"/>
          <w:szCs w:val="21"/>
          <w:highlight w:val="none"/>
          <w:u w:val="single"/>
        </w:rPr>
        <w:t>严格按设计图纸、现行国家施工规范及验收规范组织施工，保证工程质量、进度、安全；及时向监理人、发包人报告现场情况（以承包人书面授权范围为准）</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关于项目经理每月在施工现场的时间要求：</w:t>
      </w:r>
      <w:r>
        <w:rPr>
          <w:rFonts w:hint="eastAsia" w:ascii="宋体" w:hAnsi="宋体"/>
          <w:color w:val="auto"/>
          <w:szCs w:val="21"/>
          <w:highlight w:val="none"/>
          <w:u w:val="single"/>
        </w:rPr>
        <w:t>不少于22天，由监理人负责项目经理的考勤</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承包人应在合同签订后7天内提交与项目经理签订的劳动合同及为项目经理缴纳社会保险的证明，承包人未在限期内提交的，项目经理无权履行职责，发包人有权要求更换项目经理</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3.2.2 技术负责人</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r>
        <w:rPr>
          <w:rFonts w:ascii="宋体" w:hAnsi="宋体"/>
          <w:color w:val="auto"/>
          <w:szCs w:val="21"/>
          <w:highlight w:val="none"/>
          <w:u w:val="single"/>
        </w:rPr>
        <w:t xml:space="preserve">                         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身份证号：</w:t>
      </w:r>
      <w:r>
        <w:rPr>
          <w:rFonts w:ascii="宋体" w:hAnsi="宋体"/>
          <w:color w:val="auto"/>
          <w:szCs w:val="21"/>
          <w:highlight w:val="none"/>
          <w:u w:val="single"/>
        </w:rPr>
        <w:t xml:space="preserve">                         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                   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专     业：</w:t>
      </w:r>
      <w:r>
        <w:rPr>
          <w:rFonts w:ascii="宋体" w:hAnsi="宋体"/>
          <w:color w:val="auto"/>
          <w:szCs w:val="21"/>
          <w:highlight w:val="none"/>
          <w:u w:val="single"/>
        </w:rPr>
        <w:t xml:space="preserve">                         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证书名称及号码：</w:t>
      </w:r>
      <w:r>
        <w:rPr>
          <w:rFonts w:ascii="宋体" w:hAnsi="宋体"/>
          <w:color w:val="auto"/>
          <w:szCs w:val="21"/>
          <w:highlight w:val="none"/>
          <w:u w:val="single"/>
        </w:rPr>
        <w:t xml:space="preserve">                         </w:t>
      </w:r>
      <w:r>
        <w:rPr>
          <w:rFonts w:hint="eastAsia" w:ascii="宋体" w:hAnsi="宋体"/>
          <w:color w:val="auto"/>
          <w:szCs w:val="21"/>
          <w:highlight w:val="none"/>
        </w:rPr>
        <w:t>；</w:t>
      </w:r>
    </w:p>
    <w:p>
      <w:pPr>
        <w:pStyle w:val="2"/>
        <w:spacing w:after="0" w:line="360" w:lineRule="auto"/>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联系方式：</w:t>
      </w:r>
      <w:r>
        <w:rPr>
          <w:rFonts w:ascii="宋体" w:hAnsi="宋体"/>
          <w:color w:val="auto"/>
          <w:szCs w:val="21"/>
          <w:highlight w:val="none"/>
          <w:u w:val="single"/>
        </w:rPr>
        <w:t xml:space="preserve">  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关于技</w:t>
      </w:r>
      <w:r>
        <w:rPr>
          <w:rFonts w:hint="eastAsia" w:ascii="宋体" w:hAnsi="宋体"/>
          <w:color w:val="auto"/>
          <w:szCs w:val="21"/>
          <w:highlight w:val="none"/>
        </w:rPr>
        <w:t>术负责人每月在施工现场的时间要求：</w:t>
      </w:r>
      <w:r>
        <w:rPr>
          <w:rFonts w:hint="eastAsia" w:ascii="宋体" w:hAnsi="宋体"/>
          <w:color w:val="auto"/>
          <w:szCs w:val="21"/>
          <w:highlight w:val="none"/>
          <w:u w:val="single"/>
        </w:rPr>
        <w:t>不少于22天，由监理人负责技术负责人的考勤</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承包人应在合同签订后7天内提交与技术负责人签订的劳动合同及为技术负责人缴纳社会保险的证明，承包人未在限期内提交的，技术负责人无权履行职责，发包人有权要求更换技术负责人</w:t>
      </w:r>
      <w:r>
        <w:rPr>
          <w:rFonts w:hint="eastAsia" w:ascii="宋体" w:hAnsi="宋体"/>
          <w:color w:val="auto"/>
          <w:szCs w:val="21"/>
          <w:highlight w:val="none"/>
        </w:rPr>
        <w:t>。</w:t>
      </w:r>
      <w:bookmarkStart w:id="472" w:name="_Hlk528927599"/>
    </w:p>
    <w:bookmarkEnd w:id="472"/>
    <w:p>
      <w:pPr>
        <w:spacing w:line="360" w:lineRule="auto"/>
        <w:ind w:firstLine="420" w:firstLineChars="200"/>
        <w:jc w:val="left"/>
        <w:rPr>
          <w:rFonts w:ascii="宋体" w:hAnsi="宋体"/>
          <w:color w:val="auto"/>
          <w:szCs w:val="21"/>
          <w:highlight w:val="none"/>
        </w:rPr>
      </w:pPr>
      <w:bookmarkStart w:id="473" w:name="_Hlk528927718"/>
      <w:r>
        <w:rPr>
          <w:rFonts w:hint="eastAsia" w:ascii="宋体" w:hAnsi="宋体"/>
          <w:color w:val="auto"/>
          <w:szCs w:val="21"/>
          <w:highlight w:val="none"/>
        </w:rPr>
        <w:t>3.2.3 发包人有权书面通知承包人更换其认为不称职/不履职的项目经理和（或）技术负责人，通知中应当载明要求更换的理由。承包人应在接到更换通知后7天内向发包人提出书面的改进报告。发包人收到改进报告后仍要求更换的，承包人应在接到第二次更换通知的14天内进行更换，并将新任命的项目经理和（或）技术负责人的注册执业资格、职称证书、管理经验等资料书面报送发包人审核批准。继任项目经理和（或）技术负责人继续履行合同约定的职责。</w:t>
      </w:r>
      <w:bookmarkEnd w:id="473"/>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若项目经理和技术负责人出现下列情形需更换的，承包人按通用条款第3.2.3项的规定向发包人发出通知，经发包人领导班子集体决策同意后予以批准，并将变更信息推送给行业主管部门：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1、死亡；</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2、非承包人原因导致工期延长，而致使项目经理和技术负责人达到法定退休年龄且确需退休；</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3、按《职工非因工伤残或因病丧失劳动能力程度鉴定标准（试行）》规定鉴定为完全丧失劳动能力和大部分丧失劳动能力；</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4、非承包人原因导致中标3个月不能开工；</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5、被公安或者司法机关限制人身自由；</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6、被取消职称或者执业资格，不满足项目管理要求；</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7、非承包人原因导致确需变更的其它情形。</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本款补充3.2.6项</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3.2.6 国有资金投资项目其他主要人员变更参照《重庆市政府投资项目合同变更管理暂行办法》的规定。</w:t>
      </w:r>
    </w:p>
    <w:p>
      <w:pPr>
        <w:pStyle w:val="7"/>
        <w:spacing w:before="0" w:beforeAutospacing="0" w:after="0" w:afterAutospacing="0" w:line="360" w:lineRule="auto"/>
        <w:ind w:firstLine="422" w:firstLineChars="200"/>
        <w:rPr>
          <w:color w:val="auto"/>
          <w:sz w:val="21"/>
          <w:szCs w:val="21"/>
          <w:highlight w:val="none"/>
        </w:rPr>
      </w:pPr>
      <w:bookmarkStart w:id="474" w:name="_Toc532377337"/>
      <w:r>
        <w:rPr>
          <w:rFonts w:hint="eastAsia"/>
          <w:color w:val="auto"/>
          <w:sz w:val="21"/>
          <w:szCs w:val="21"/>
          <w:highlight w:val="none"/>
        </w:rPr>
        <w:t>3.3 承包人人员</w:t>
      </w:r>
      <w:bookmarkEnd w:id="474"/>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3.3.1 承包人应按建设行政主管部门现行规定配备现场施工从业人员，具体要求如下：</w:t>
      </w:r>
      <w:r>
        <w:rPr>
          <w:rFonts w:hint="eastAsia" w:ascii="宋体" w:hAnsi="宋体"/>
          <w:color w:val="auto"/>
          <w:szCs w:val="21"/>
          <w:highlight w:val="none"/>
          <w:u w:val="single"/>
        </w:rPr>
        <w:t xml:space="preserve">        </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3.3.2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3.3.3 发包人有权书面通知承包人更换其认为不称职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审核批准。</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3.3.4 承包人主要施工管理人员离开施工现场，指定的临时人员需满足：</w:t>
      </w:r>
      <w:r>
        <w:rPr>
          <w:rFonts w:hint="eastAsia" w:ascii="宋体" w:hAnsi="宋体"/>
          <w:color w:val="auto"/>
          <w:szCs w:val="21"/>
          <w:highlight w:val="none"/>
          <w:u w:val="single"/>
        </w:rPr>
        <w:t>《重庆市房屋建筑与市政基础设施工程现场施工从业人员配备标准》（DBJ50-157-2013）的相应要求</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475" w:name="_Toc532377338"/>
      <w:r>
        <w:rPr>
          <w:rFonts w:hint="eastAsia"/>
          <w:color w:val="auto"/>
          <w:sz w:val="21"/>
          <w:szCs w:val="21"/>
          <w:highlight w:val="none"/>
        </w:rPr>
        <w:t>3</w:t>
      </w:r>
      <w:bookmarkStart w:id="476" w:name="_Toc297123492"/>
      <w:bookmarkStart w:id="477" w:name="_Toc297120459"/>
      <w:bookmarkStart w:id="478" w:name="_Toc296944498"/>
      <w:bookmarkStart w:id="479" w:name="_Toc296891199"/>
      <w:bookmarkStart w:id="480" w:name="_Toc312677988"/>
      <w:bookmarkStart w:id="481" w:name="_Toc296890987"/>
      <w:bookmarkStart w:id="482" w:name="_Toc297048345"/>
      <w:bookmarkStart w:id="483" w:name="_Toc296503159"/>
      <w:bookmarkStart w:id="484" w:name="_Toc296346660"/>
      <w:bookmarkStart w:id="485" w:name="_Toc292559364"/>
      <w:bookmarkStart w:id="486" w:name="_Toc296347158"/>
      <w:bookmarkStart w:id="487" w:name="_Toc304295523"/>
      <w:bookmarkStart w:id="488" w:name="_Toc297216151"/>
      <w:bookmarkStart w:id="489" w:name="_Toc292559869"/>
      <w:bookmarkStart w:id="490" w:name="_Toc303539102"/>
      <w:bookmarkStart w:id="491" w:name="_Toc300934945"/>
      <w:r>
        <w:rPr>
          <w:rFonts w:hint="eastAsia"/>
          <w:color w:val="auto"/>
          <w:sz w:val="21"/>
          <w:szCs w:val="21"/>
          <w:highlight w:val="none"/>
        </w:rPr>
        <w:t>.5 分包</w:t>
      </w:r>
      <w:bookmarkEnd w:id="475"/>
    </w:p>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bookmarkStart w:id="492" w:name="_Toc297048346"/>
      <w:bookmarkStart w:id="493" w:name="_Toc296346661"/>
      <w:bookmarkStart w:id="494" w:name="_Toc304295524"/>
      <w:bookmarkStart w:id="495" w:name="_Toc292559365"/>
      <w:bookmarkStart w:id="496" w:name="_Toc303539103"/>
      <w:bookmarkStart w:id="497" w:name="_Toc296944499"/>
      <w:bookmarkStart w:id="498" w:name="_Toc297123493"/>
      <w:bookmarkStart w:id="499" w:name="_Toc297120460"/>
      <w:bookmarkStart w:id="500" w:name="_Toc296503160"/>
      <w:bookmarkStart w:id="501" w:name="_Toc292559870"/>
      <w:bookmarkStart w:id="502" w:name="_Toc297216152"/>
      <w:bookmarkStart w:id="503" w:name="_Toc318581158"/>
      <w:bookmarkStart w:id="504" w:name="_Toc296891200"/>
      <w:bookmarkStart w:id="505" w:name="_Toc312677989"/>
      <w:bookmarkStart w:id="506" w:name="_Toc296890988"/>
      <w:bookmarkStart w:id="507" w:name="_Toc296347159"/>
      <w:bookmarkStart w:id="508" w:name="_Toc300934946"/>
      <w:r>
        <w:rPr>
          <w:rFonts w:hint="eastAsia" w:ascii="宋体" w:hAnsi="宋体"/>
          <w:color w:val="auto"/>
          <w:szCs w:val="21"/>
          <w:highlight w:val="none"/>
        </w:rPr>
        <w:t>.5.1 分包的一般约定</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禁止分包的工程包括：主体结构、关键性工作等国家法律、法规禁止分包的工程。</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主体结构、关键性工作的范围：国家法律、法规、规范、标准等所约束的范围。如房建工程主体结构指混凝土工程、砌体工程、钢结构工程（具体有基础、梁、板、柱、砼墙、楼梯工程等）</w:t>
      </w:r>
      <w:bookmarkStart w:id="509" w:name="_Toc300934947"/>
      <w:bookmarkStart w:id="510" w:name="_Toc304295525"/>
      <w:bookmarkStart w:id="511" w:name="_Toc297048347"/>
      <w:bookmarkStart w:id="512" w:name="_Toc303539104"/>
      <w:bookmarkStart w:id="513" w:name="_Toc296944500"/>
      <w:bookmarkStart w:id="514" w:name="_Toc296346662"/>
      <w:bookmarkStart w:id="515" w:name="_Toc297123494"/>
      <w:bookmarkStart w:id="516" w:name="_Toc296503161"/>
      <w:bookmarkStart w:id="517" w:name="_Toc296890989"/>
      <w:bookmarkStart w:id="518" w:name="_Toc296347160"/>
      <w:bookmarkStart w:id="519" w:name="_Toc297216153"/>
      <w:bookmarkStart w:id="520" w:name="_Toc297120461"/>
      <w:bookmarkStart w:id="521" w:name="_Toc296891201"/>
      <w:r>
        <w:rPr>
          <w:rFonts w:hint="eastAsia" w:ascii="宋体" w:hAnsi="宋体"/>
          <w:color w:val="auto"/>
          <w:szCs w:val="21"/>
          <w:highlight w:val="none"/>
        </w:rPr>
        <w:t>；关键性工作指梁、板、柱等部位。</w:t>
      </w:r>
    </w:p>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在合同履行过程中实行项目经理、技术负责人、安全负责人实名制管理，发包人有权核查承包人管理人员的资格证件、工程价款往来银行账户、施工单位的材料构配件、设备的发票等资料，配合相关行政主管部门加大对转包、违法分包行为的查处。</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bookmarkStart w:id="522" w:name="_Toc318581159"/>
      <w:bookmarkStart w:id="523" w:name="_Toc312677990"/>
      <w:r>
        <w:rPr>
          <w:rFonts w:hint="eastAsia" w:ascii="宋体" w:hAnsi="宋体"/>
          <w:color w:val="auto"/>
          <w:szCs w:val="21"/>
          <w:highlight w:val="none"/>
        </w:rPr>
        <w:t>.5.2分包的确定</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允许分包的专业工程包括：</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i/>
          <w:iCs/>
          <w:color w:val="auto"/>
          <w:szCs w:val="21"/>
          <w:highlight w:val="none"/>
        </w:rPr>
        <w:t>[提示：符合《中华人民共和国建筑法》和《中华人民共和国招标投标法》的相关规定。]</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3.5.4 分包合同价款</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关于分包合同价款支付的约定：</w:t>
      </w:r>
      <w:bookmarkEnd w:id="522"/>
      <w:bookmarkEnd w:id="523"/>
      <w:r>
        <w:rPr>
          <w:rFonts w:hint="eastAsia" w:ascii="宋体" w:hAnsi="宋体"/>
          <w:color w:val="auto"/>
          <w:szCs w:val="21"/>
          <w:highlight w:val="none"/>
          <w:u w:val="single"/>
        </w:rPr>
        <w:t>分包合同价款由承包人与分包人结算，未经承包人同意，发包人不得向分包人支付分包工程价款；生效法律文书要求发包人向分包人支付分包合同价款的，发包人有权从应付承包人工程款中扣除该部分款项</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本款补充3.5.6项：</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3.5.6严禁违法分包</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一经查实，承包人的履约担保不予退还，发包人有权终止合同；同时发包人有权向相关行政监管部门举报，根据《住房和城乡建设部关于印发建筑工程施工发包与承包违法行为认定查处管理办法的通知》（建市规〔2019〕1号）相关规定条执行。</w:t>
      </w:r>
    </w:p>
    <w:p>
      <w:pPr>
        <w:pStyle w:val="7"/>
        <w:spacing w:before="0" w:beforeAutospacing="0" w:after="0" w:afterAutospacing="0" w:line="360" w:lineRule="auto"/>
        <w:ind w:firstLine="422" w:firstLineChars="200"/>
        <w:rPr>
          <w:color w:val="auto"/>
          <w:sz w:val="21"/>
          <w:szCs w:val="21"/>
          <w:highlight w:val="none"/>
        </w:rPr>
      </w:pPr>
      <w:bookmarkStart w:id="524" w:name="_Toc532377339"/>
      <w:r>
        <w:rPr>
          <w:rFonts w:hint="eastAsia"/>
          <w:color w:val="auto"/>
          <w:sz w:val="21"/>
          <w:szCs w:val="21"/>
          <w:highlight w:val="none"/>
        </w:rPr>
        <w:t>3.7 履约担保</w:t>
      </w:r>
      <w:bookmarkEnd w:id="524"/>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3.7.1承包人是否提供履约担保：</w:t>
      </w:r>
      <w:r>
        <w:rPr>
          <w:rFonts w:hint="eastAsia" w:ascii="宋体" w:hAnsi="宋体"/>
          <w:color w:val="auto"/>
          <w:szCs w:val="21"/>
          <w:highlight w:val="none"/>
          <w:u w:val="single"/>
        </w:rPr>
        <w:t>提供</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3.7.2承包人提供履约担保的形式、金额及期限：</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（1）履约担保的形式：现金或银行保函或现金+银行保函的组合；采用保函形式的，保函必须为不可撤销且见索即付；</w:t>
      </w:r>
    </w:p>
    <w:p>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（2）履约担保的金额：</w:t>
      </w:r>
      <w:r>
        <w:rPr>
          <w:rFonts w:hint="eastAsia" w:ascii="宋体" w:hAnsi="宋体" w:eastAsia="宋体" w:cs="Times New Roman"/>
          <w:color w:val="auto"/>
          <w:szCs w:val="21"/>
          <w:highlight w:val="none"/>
        </w:rPr>
        <w:t xml:space="preserve"> </w:t>
      </w:r>
      <w:r>
        <w:rPr>
          <w:rFonts w:hint="default" w:ascii="宋体" w:hAnsi="宋体" w:eastAsia="宋体" w:cs="Times New Roman"/>
          <w:color w:val="auto"/>
          <w:szCs w:val="21"/>
          <w:highlight w:val="none"/>
          <w:u w:val="single"/>
        </w:rPr>
        <w:t>中标价的10%</w:t>
      </w:r>
      <w:r>
        <w:rPr>
          <w:rFonts w:hint="eastAsia" w:ascii="仿宋_GB2312" w:hAnsi="宋体" w:eastAsia="仿宋_GB2312" w:cs="宋体"/>
          <w:color w:val="auto"/>
          <w:kern w:val="0"/>
          <w:szCs w:val="21"/>
          <w:highlight w:val="none"/>
        </w:rPr>
        <w:t xml:space="preserve"> </w:t>
      </w:r>
      <w:r>
        <w:rPr>
          <w:rFonts w:hint="eastAsia" w:ascii="宋体" w:hAnsi="宋体"/>
          <w:color w:val="auto"/>
          <w:szCs w:val="21"/>
          <w:highlight w:val="none"/>
        </w:rPr>
        <w:t>；</w:t>
      </w:r>
    </w:p>
    <w:p>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（3）履约担保的提交时间：</w:t>
      </w:r>
      <w:r>
        <w:rPr>
          <w:rFonts w:hint="eastAsia" w:ascii="宋体" w:hAnsi="宋体"/>
          <w:color w:val="auto"/>
          <w:szCs w:val="21"/>
          <w:highlight w:val="none"/>
          <w:u w:val="single"/>
        </w:rPr>
        <w:t>在合同签订前，承包人按担保金额向发包人提交履约担保</w:t>
      </w:r>
      <w:r>
        <w:rPr>
          <w:rFonts w:hint="eastAsia" w:ascii="宋体" w:hAnsi="宋体"/>
          <w:color w:val="auto"/>
          <w:szCs w:val="21"/>
          <w:highlight w:val="none"/>
        </w:rPr>
        <w:t>。</w:t>
      </w:r>
    </w:p>
    <w:p>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（4）履约担保的期限：</w:t>
      </w:r>
      <w:r>
        <w:rPr>
          <w:rFonts w:hint="eastAsia" w:ascii="宋体" w:hAnsi="宋体"/>
          <w:color w:val="auto"/>
          <w:szCs w:val="21"/>
          <w:highlight w:val="none"/>
          <w:u w:val="single"/>
        </w:rPr>
        <w:t>自我方法定代表人（或其委托代理人）签名并加盖公章之日起至你方签发或应签发工程接收证书之日止</w:t>
      </w:r>
      <w:r>
        <w:rPr>
          <w:rFonts w:hint="eastAsia" w:ascii="宋体" w:hAnsi="宋体"/>
          <w:color w:val="auto"/>
          <w:szCs w:val="21"/>
          <w:highlight w:val="none"/>
        </w:rPr>
        <w:t>。</w:t>
      </w:r>
    </w:p>
    <w:p>
      <w:pPr>
        <w:tabs>
          <w:tab w:val="left" w:pos="1134"/>
        </w:tabs>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（5）履约担保的退还时间：</w:t>
      </w:r>
      <w:r>
        <w:rPr>
          <w:rFonts w:hint="eastAsia" w:ascii="宋体" w:hAnsi="宋体"/>
          <w:color w:val="auto"/>
          <w:szCs w:val="21"/>
          <w:highlight w:val="none"/>
          <w:u w:val="single"/>
        </w:rPr>
        <w:t>采用现金担保的，工程竣工验收合格后14天内</w:t>
      </w:r>
      <w:r>
        <w:rPr>
          <w:rFonts w:hint="default" w:ascii="Times New Roman" w:hAnsi="Times New Roman" w:cs="Times New Roman"/>
          <w:color w:val="auto"/>
          <w:kern w:val="0"/>
          <w:highlight w:val="none"/>
          <w:u w:val="single"/>
        </w:rPr>
        <w:t>无息</w:t>
      </w:r>
      <w:r>
        <w:rPr>
          <w:rFonts w:hint="eastAsia" w:ascii="宋体" w:hAnsi="宋体"/>
          <w:color w:val="auto"/>
          <w:szCs w:val="21"/>
          <w:highlight w:val="none"/>
          <w:u w:val="single"/>
        </w:rPr>
        <w:t>退还</w:t>
      </w:r>
      <w:r>
        <w:rPr>
          <w:rFonts w:hint="default" w:ascii="Times New Roman" w:hAnsi="Times New Roman" w:cs="Times New Roman"/>
          <w:color w:val="auto"/>
          <w:kern w:val="0"/>
          <w:highlight w:val="none"/>
          <w:u w:val="single"/>
        </w:rPr>
        <w:t>对应部分</w:t>
      </w:r>
      <w:r>
        <w:rPr>
          <w:rFonts w:hint="eastAsia" w:ascii="宋体" w:hAnsi="宋体"/>
          <w:color w:val="auto"/>
          <w:szCs w:val="21"/>
          <w:highlight w:val="none"/>
          <w:u w:val="single"/>
        </w:rPr>
        <w:t>；采用银行保函的，工程竣工验收合格后14天内退还，或按工程实际情况约定分阶段退还，阶段划分按以下标准执行：</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525" w:name="_Toc532377340"/>
      <w:bookmarkStart w:id="526" w:name="_Toc532375611"/>
      <w:bookmarkStart w:id="527" w:name="_Toc351203636"/>
      <w:r>
        <w:rPr>
          <w:rFonts w:hint="eastAsia"/>
          <w:color w:val="auto"/>
          <w:kern w:val="2"/>
          <w:sz w:val="21"/>
          <w:szCs w:val="21"/>
          <w:highlight w:val="none"/>
        </w:rPr>
        <w:t>4</w:t>
      </w:r>
      <w:bookmarkStart w:id="528" w:name="_Toc296347161"/>
      <w:bookmarkStart w:id="529" w:name="_Toc296890990"/>
      <w:bookmarkStart w:id="530" w:name="_Toc292559871"/>
      <w:bookmarkStart w:id="531" w:name="_Toc297120462"/>
      <w:bookmarkStart w:id="532" w:name="_Toc296346663"/>
      <w:bookmarkStart w:id="533" w:name="_Toc292559366"/>
      <w:bookmarkStart w:id="534" w:name="_Toc296891202"/>
      <w:bookmarkStart w:id="535" w:name="_Toc296503162"/>
      <w:bookmarkStart w:id="536" w:name="_Toc297048348"/>
      <w:bookmarkStart w:id="537" w:name="_Toc267251413"/>
      <w:bookmarkStart w:id="538" w:name="_Toc296944501"/>
      <w:r>
        <w:rPr>
          <w:rFonts w:hint="eastAsia"/>
          <w:color w:val="auto"/>
          <w:kern w:val="2"/>
          <w:sz w:val="21"/>
          <w:szCs w:val="21"/>
          <w:highlight w:val="none"/>
        </w:rPr>
        <w:t>. 监</w:t>
      </w:r>
      <w:bookmarkEnd w:id="528"/>
      <w:bookmarkEnd w:id="529"/>
      <w:bookmarkEnd w:id="530"/>
      <w:bookmarkEnd w:id="531"/>
      <w:bookmarkEnd w:id="532"/>
      <w:bookmarkEnd w:id="533"/>
      <w:bookmarkEnd w:id="534"/>
      <w:bookmarkEnd w:id="535"/>
      <w:bookmarkEnd w:id="536"/>
      <w:bookmarkEnd w:id="537"/>
      <w:bookmarkEnd w:id="538"/>
      <w:r>
        <w:rPr>
          <w:rFonts w:hint="eastAsia"/>
          <w:color w:val="auto"/>
          <w:kern w:val="2"/>
          <w:sz w:val="21"/>
          <w:szCs w:val="21"/>
          <w:highlight w:val="none"/>
        </w:rPr>
        <w:t>理人</w:t>
      </w:r>
      <w:bookmarkEnd w:id="525"/>
      <w:bookmarkEnd w:id="526"/>
      <w:bookmarkEnd w:id="527"/>
    </w:p>
    <w:p>
      <w:pPr>
        <w:pStyle w:val="7"/>
        <w:spacing w:before="0" w:beforeAutospacing="0" w:after="0" w:afterAutospacing="0" w:line="360" w:lineRule="auto"/>
        <w:ind w:firstLine="422" w:firstLineChars="200"/>
        <w:rPr>
          <w:color w:val="auto"/>
          <w:sz w:val="21"/>
          <w:szCs w:val="21"/>
          <w:highlight w:val="none"/>
        </w:rPr>
      </w:pPr>
      <w:bookmarkStart w:id="539" w:name="_Toc532377341"/>
      <w:r>
        <w:rPr>
          <w:rFonts w:hint="eastAsia"/>
          <w:color w:val="auto"/>
          <w:sz w:val="21"/>
          <w:szCs w:val="21"/>
          <w:highlight w:val="none"/>
        </w:rPr>
        <w:t>4.1 监理人的一般规定</w:t>
      </w:r>
      <w:bookmarkEnd w:id="539"/>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关于监理人的监理内容：</w:t>
      </w:r>
      <w:r>
        <w:rPr>
          <w:rFonts w:hint="eastAsia" w:ascii="宋体" w:hAnsi="宋体"/>
          <w:color w:val="auto"/>
          <w:szCs w:val="21"/>
          <w:highlight w:val="none"/>
          <w:u w:val="single"/>
        </w:rPr>
        <w:t>见发包人与监理人就本工程签订的监理合同</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关于监理人的监理权限：</w:t>
      </w:r>
      <w:r>
        <w:rPr>
          <w:rFonts w:hint="eastAsia" w:ascii="宋体" w:hAnsi="宋体"/>
          <w:color w:val="auto"/>
          <w:szCs w:val="21"/>
          <w:highlight w:val="none"/>
          <w:u w:val="single"/>
        </w:rPr>
        <w:t>见发包人与监理人就本工程签订的监理合同；任何涉及费用确定和（或）工期调整，或者设计变更，或者变更估价，或者涉及经济责任的事项，监理工程师在发出指令或通知前，须征得发包人书面同意</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关于监理人在施工现场的办公场所、生活场所的提供和费用承担的约定：</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自行负责承担</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540" w:name="_Toc532377342"/>
      <w:r>
        <w:rPr>
          <w:rFonts w:hint="eastAsia"/>
          <w:color w:val="auto"/>
          <w:sz w:val="21"/>
          <w:szCs w:val="21"/>
          <w:highlight w:val="none"/>
        </w:rPr>
        <w:t>4.2 监理人员</w:t>
      </w:r>
      <w:bookmarkEnd w:id="540"/>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总监理工程师：</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r>
        <w:rPr>
          <w:rFonts w:ascii="宋体" w:hAnsi="宋体"/>
          <w:color w:val="auto"/>
          <w:szCs w:val="21"/>
          <w:highlight w:val="none"/>
          <w:u w:val="single"/>
        </w:rPr>
        <w:t xml:space="preserve">      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职    务：</w:t>
      </w:r>
      <w:r>
        <w:rPr>
          <w:rFonts w:ascii="宋体" w:hAnsi="宋体"/>
          <w:color w:val="auto"/>
          <w:szCs w:val="21"/>
          <w:highlight w:val="none"/>
          <w:u w:val="single"/>
        </w:rPr>
        <w:t xml:space="preserve">      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监理工程师执业资格证书号：</w:t>
      </w:r>
      <w:r>
        <w:rPr>
          <w:rFonts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关于监理人的其他约定：</w:t>
      </w:r>
      <w:r>
        <w:rPr>
          <w:rFonts w:hint="eastAsia" w:ascii="宋体" w:hAnsi="宋体"/>
          <w:color w:val="auto"/>
          <w:szCs w:val="21"/>
          <w:highlight w:val="none"/>
          <w:u w:val="single"/>
        </w:rPr>
        <w:t>见发包人与监理人就本工程签订的监理合同</w:t>
      </w:r>
      <w:r>
        <w:rPr>
          <w:rFonts w:hint="eastAsia" w:ascii="宋体" w:hAnsi="宋体"/>
          <w:color w:val="auto"/>
          <w:szCs w:val="21"/>
          <w:highlight w:val="none"/>
        </w:rPr>
        <w:t>。</w:t>
      </w:r>
    </w:p>
    <w:p>
      <w:pPr>
        <w:pStyle w:val="7"/>
        <w:spacing w:before="0" w:beforeAutospacing="0" w:after="0" w:afterAutospacing="0" w:line="360" w:lineRule="auto"/>
        <w:ind w:firstLine="420" w:firstLineChars="200"/>
        <w:rPr>
          <w:b w:val="0"/>
          <w:color w:val="auto"/>
          <w:sz w:val="21"/>
          <w:szCs w:val="21"/>
          <w:highlight w:val="none"/>
        </w:rPr>
      </w:pPr>
      <w:bookmarkStart w:id="541" w:name="_Toc532377343"/>
      <w:r>
        <w:rPr>
          <w:rFonts w:hint="eastAsia"/>
          <w:b w:val="0"/>
          <w:color w:val="auto"/>
          <w:sz w:val="21"/>
          <w:szCs w:val="21"/>
          <w:highlight w:val="none"/>
        </w:rPr>
        <w:t>4.4 商定或确定</w:t>
      </w:r>
      <w:bookmarkEnd w:id="541"/>
    </w:p>
    <w:p>
      <w:pPr>
        <w:spacing w:line="360" w:lineRule="auto"/>
        <w:ind w:firstLine="420" w:firstLineChars="200"/>
        <w:jc w:val="left"/>
        <w:rPr>
          <w:rFonts w:ascii="宋体" w:hAnsi="宋体"/>
          <w:color w:val="auto"/>
          <w:szCs w:val="21"/>
          <w:highlight w:val="none"/>
        </w:rPr>
      </w:pPr>
      <w:bookmarkStart w:id="542" w:name="_Toc267251418"/>
      <w:r>
        <w:rPr>
          <w:rFonts w:hint="eastAsia" w:ascii="宋体" w:hAnsi="宋体"/>
          <w:color w:val="auto"/>
          <w:szCs w:val="21"/>
          <w:highlight w:val="none"/>
        </w:rPr>
        <w:t>在发包人和承包人不能通过协商达成一致意见时，发包人授权监理人对以下事项进行确定：</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 xml:space="preserve">                          </w:t>
      </w:r>
      <w:r>
        <w:rPr>
          <w:rFonts w:hint="eastAsia" w:ascii="宋体" w:hAnsi="宋体"/>
          <w:color w:val="auto"/>
          <w:szCs w:val="21"/>
          <w:highlight w:val="none"/>
        </w:rPr>
        <w:t>。</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543" w:name="_Toc532375612"/>
      <w:bookmarkStart w:id="544" w:name="_Toc532377344"/>
      <w:bookmarkStart w:id="545" w:name="_Toc351203637"/>
      <w:r>
        <w:rPr>
          <w:rFonts w:hint="eastAsia"/>
          <w:color w:val="auto"/>
          <w:kern w:val="2"/>
          <w:sz w:val="21"/>
          <w:szCs w:val="21"/>
          <w:highlight w:val="none"/>
        </w:rPr>
        <w:t>5</w:t>
      </w:r>
      <w:bookmarkEnd w:id="542"/>
      <w:bookmarkStart w:id="546" w:name="_Toc296347162"/>
      <w:bookmarkStart w:id="547" w:name="_Toc297048349"/>
      <w:bookmarkStart w:id="548" w:name="_Toc297120463"/>
      <w:bookmarkStart w:id="549" w:name="_Toc296891203"/>
      <w:bookmarkStart w:id="550" w:name="_Toc292559872"/>
      <w:bookmarkStart w:id="551" w:name="_Toc292559367"/>
      <w:bookmarkStart w:id="552" w:name="_Toc296346664"/>
      <w:bookmarkStart w:id="553" w:name="_Toc296944502"/>
      <w:bookmarkStart w:id="554" w:name="_Toc296503163"/>
      <w:bookmarkStart w:id="555" w:name="_Toc296890991"/>
      <w:r>
        <w:rPr>
          <w:rFonts w:hint="eastAsia"/>
          <w:color w:val="auto"/>
          <w:kern w:val="2"/>
          <w:sz w:val="21"/>
          <w:szCs w:val="21"/>
          <w:highlight w:val="none"/>
        </w:rPr>
        <w:t>. 工程质量</w:t>
      </w:r>
      <w:bookmarkEnd w:id="543"/>
      <w:bookmarkEnd w:id="544"/>
      <w:bookmarkEnd w:id="545"/>
    </w:p>
    <w:p>
      <w:pPr>
        <w:pStyle w:val="7"/>
        <w:spacing w:before="0" w:beforeAutospacing="0" w:after="0" w:afterAutospacing="0" w:line="360" w:lineRule="auto"/>
        <w:ind w:firstLine="422" w:firstLineChars="200"/>
        <w:rPr>
          <w:color w:val="auto"/>
          <w:sz w:val="21"/>
          <w:szCs w:val="21"/>
          <w:highlight w:val="none"/>
        </w:rPr>
      </w:pPr>
      <w:bookmarkStart w:id="556" w:name="_Toc532377345"/>
      <w:r>
        <w:rPr>
          <w:rFonts w:hint="eastAsia"/>
          <w:color w:val="auto"/>
          <w:sz w:val="21"/>
          <w:szCs w:val="21"/>
          <w:highlight w:val="none"/>
        </w:rPr>
        <w:t>5.1 质量要求</w:t>
      </w:r>
      <w:bookmarkEnd w:id="556"/>
      <w:bookmarkStart w:id="557" w:name="_Hlk528909888"/>
      <w:bookmarkStart w:id="558" w:name="_Toc303539106"/>
      <w:bookmarkStart w:id="559" w:name="_Toc297216155"/>
      <w:bookmarkStart w:id="560" w:name="_Toc297123496"/>
      <w:bookmarkStart w:id="561" w:name="_Toc304295527"/>
      <w:bookmarkStart w:id="562" w:name="_Toc312677997"/>
      <w:bookmarkStart w:id="563" w:name="_Toc300934949"/>
      <w:bookmarkStart w:id="564" w:name="_Toc318581164"/>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工程质量符合强制性质量标准，符合国家和重庆市现行有关施工质量验收规范要求，并达到合格标准</w:t>
      </w:r>
      <w:r>
        <w:rPr>
          <w:rFonts w:hint="eastAsia" w:ascii="宋体" w:hAnsi="宋体"/>
          <w:color w:val="auto"/>
          <w:szCs w:val="21"/>
          <w:highlight w:val="none"/>
        </w:rPr>
        <w:t>。强制性安全质量标准有（包括但不限于）：</w:t>
      </w:r>
      <w:r>
        <w:rPr>
          <w:rFonts w:hint="eastAsia" w:ascii="宋体" w:hAnsi="宋体"/>
          <w:color w:val="auto"/>
          <w:szCs w:val="21"/>
          <w:highlight w:val="none"/>
          <w:u w:val="single"/>
        </w:rPr>
        <w:t xml:space="preserve">            </w:t>
      </w:r>
      <w:r>
        <w:rPr>
          <w:rFonts w:hint="eastAsia" w:ascii="宋体" w:hAnsi="宋体"/>
          <w:color w:val="auto"/>
          <w:szCs w:val="21"/>
          <w:highlight w:val="none"/>
        </w:rPr>
        <w:t>。</w:t>
      </w:r>
    </w:p>
    <w:bookmarkEnd w:id="557"/>
    <w:p>
      <w:pPr>
        <w:pStyle w:val="7"/>
        <w:spacing w:before="0" w:beforeAutospacing="0" w:after="0" w:afterAutospacing="0" w:line="360" w:lineRule="auto"/>
        <w:ind w:firstLine="422" w:firstLineChars="200"/>
        <w:rPr>
          <w:color w:val="auto"/>
          <w:sz w:val="21"/>
          <w:szCs w:val="21"/>
          <w:highlight w:val="none"/>
        </w:rPr>
      </w:pPr>
      <w:bookmarkStart w:id="565" w:name="_Toc532377346"/>
      <w:r>
        <w:rPr>
          <w:rFonts w:hint="eastAsia"/>
          <w:color w:val="auto"/>
          <w:sz w:val="21"/>
          <w:szCs w:val="21"/>
          <w:highlight w:val="none"/>
        </w:rPr>
        <w:t>5.2 质量保证措施</w:t>
      </w:r>
      <w:bookmarkEnd w:id="565"/>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本款补充5.2.4项：</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5.2.4 在工程建设中，参建各方应严格执行以下规定（包括但不限于）：</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u w:val="single"/>
        </w:rPr>
        <w:t>《建筑工程施工质量验收统一标准》（GB50300-2013）</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u w:val="single"/>
        </w:rPr>
        <w:t>《住房城乡建设部关于印发工程质量安全提升行动方案的通知》（建质〔2017〕57号）</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u w:val="single"/>
        </w:rPr>
        <w:t>《房屋建筑和市政基础设施工程竣工验收规定》（建质〔2013〕171号）</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u w:val="single"/>
        </w:rPr>
        <w:t>《建设部关于贯彻执行建筑工程勘察设计及施工质量验收规范若干问题的通知》（建标〔2002〕212号）</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u w:val="single"/>
        </w:rPr>
        <w:t>《重庆市住房和城乡建设委员会关于印发&lt;重庆市房屋建筑和市政基础设施工程质量常见问题防治要点（2019年版）&gt;的通知》（渝建〔2019〕198号）</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u w:val="single"/>
        </w:rPr>
        <w:t>《关于印发&lt;重庆市房屋建筑和市政基础设施工程预拌商品砂浆应用推进工作方案&gt;的通知》（渝建〔2018〕375号）</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w:t>
      </w:r>
      <w:r>
        <w:rPr>
          <w:rFonts w:hint="eastAsia" w:ascii="宋体" w:hAnsi="宋体"/>
          <w:color w:val="auto"/>
          <w:szCs w:val="21"/>
          <w:highlight w:val="none"/>
          <w:u w:val="single"/>
        </w:rPr>
        <w:t>《重庆市城乡建设委员会关于印发2018年房屋建筑和市政基础设施工程质量要点的通知》（渝建〔2018〕94号）</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w:t>
      </w:r>
      <w:r>
        <w:rPr>
          <w:rFonts w:hint="eastAsia" w:ascii="宋体" w:hAnsi="宋体"/>
          <w:color w:val="auto"/>
          <w:szCs w:val="21"/>
          <w:highlight w:val="none"/>
          <w:u w:val="single"/>
        </w:rPr>
        <w:t>《重庆市城乡建设委员会关于进一步推广应用预拌商品砂浆的通知》（渝建〔2016〕318号）</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w:t>
      </w:r>
      <w:r>
        <w:rPr>
          <w:rFonts w:hint="eastAsia" w:ascii="宋体" w:hAnsi="宋体"/>
          <w:color w:val="auto"/>
          <w:szCs w:val="21"/>
          <w:highlight w:val="none"/>
          <w:u w:val="single"/>
        </w:rPr>
        <w:t>《重庆市建设委员会关于发布&lt;建筑工程施工质量验收规范用表（建筑节能分部工程）&gt;和&lt;建设工程技术用表（建筑节能工程）&gt;的通知》（渝建发〔2008〕76号）</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w:t>
      </w:r>
      <w:r>
        <w:rPr>
          <w:rFonts w:hint="eastAsia" w:ascii="宋体" w:hAnsi="宋体"/>
          <w:color w:val="auto"/>
          <w:szCs w:val="21"/>
          <w:highlight w:val="none"/>
          <w:u w:val="single"/>
        </w:rPr>
        <w:t>国家和本市现行有关建设工程质量验收标准、规范和要求</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承包人、监理人和发包人在工程建设中，应严格执行国家及重庆市现行标准，如上述标准及规范要求有出入则以较严格者为准。</w:t>
      </w:r>
    </w:p>
    <w:p>
      <w:pPr>
        <w:pStyle w:val="7"/>
        <w:spacing w:before="0" w:beforeAutospacing="0" w:after="0" w:afterAutospacing="0" w:line="360" w:lineRule="auto"/>
        <w:ind w:firstLine="422" w:firstLineChars="200"/>
        <w:rPr>
          <w:color w:val="auto"/>
          <w:sz w:val="21"/>
          <w:szCs w:val="21"/>
          <w:highlight w:val="none"/>
        </w:rPr>
      </w:pPr>
      <w:bookmarkStart w:id="566" w:name="_Toc351203536"/>
      <w:bookmarkStart w:id="567" w:name="_Toc532377347"/>
      <w:bookmarkStart w:id="568" w:name="_Hlk528927873"/>
      <w:r>
        <w:rPr>
          <w:rFonts w:hint="eastAsia"/>
          <w:color w:val="auto"/>
          <w:sz w:val="21"/>
          <w:szCs w:val="21"/>
          <w:highlight w:val="none"/>
        </w:rPr>
        <w:t>5.3隐蔽工程检查</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5.3.2检查程序</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工程隐蔽部位经承包人自检确认具备覆盖条件的，承包人应在共同检查前</w:t>
      </w:r>
      <w:r>
        <w:rPr>
          <w:rFonts w:hint="eastAsia" w:ascii="宋体" w:hAnsi="宋体"/>
          <w:color w:val="auto"/>
          <w:szCs w:val="21"/>
          <w:highlight w:val="none"/>
          <w:u w:val="single"/>
        </w:rPr>
        <w:t xml:space="preserve">    </w:t>
      </w:r>
      <w:r>
        <w:rPr>
          <w:rFonts w:hint="eastAsia" w:ascii="宋体" w:hAnsi="宋体"/>
          <w:color w:val="auto"/>
          <w:szCs w:val="21"/>
          <w:highlight w:val="none"/>
        </w:rPr>
        <w:t>小时书面通知监理人检查，通知中应载明隐蔽检查的内容、时间和地点，并应附有自检记录和必要的检查资料。</w:t>
      </w:r>
    </w:p>
    <w:p>
      <w:pPr>
        <w:pStyle w:val="7"/>
        <w:spacing w:before="0" w:beforeAutospacing="0" w:after="0" w:afterAutospacing="0" w:line="360" w:lineRule="auto"/>
        <w:ind w:firstLine="422" w:firstLineChars="200"/>
        <w:rPr>
          <w:color w:val="auto"/>
          <w:sz w:val="21"/>
          <w:szCs w:val="21"/>
          <w:highlight w:val="none"/>
        </w:rPr>
      </w:pPr>
      <w:r>
        <w:rPr>
          <w:rFonts w:hint="eastAsia"/>
          <w:color w:val="auto"/>
          <w:sz w:val="21"/>
          <w:szCs w:val="21"/>
          <w:highlight w:val="none"/>
        </w:rPr>
        <w:t>5</w:t>
      </w:r>
      <w:bookmarkStart w:id="569" w:name="_Toc337558762"/>
      <w:r>
        <w:rPr>
          <w:rFonts w:hint="eastAsia"/>
          <w:color w:val="auto"/>
          <w:sz w:val="21"/>
          <w:szCs w:val="21"/>
          <w:highlight w:val="none"/>
        </w:rPr>
        <w:t>.4 不合格工程的处理</w:t>
      </w:r>
      <w:bookmarkEnd w:id="566"/>
      <w:bookmarkEnd w:id="567"/>
    </w:p>
    <w:bookmarkEnd w:id="569"/>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本款补充5.4.3项：</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5.4.3 承包人在收到监理人发出的《不合格分项报告》或监理通知单后，必须在监理人规定时间内按要求完成整改，未能在限定时间内完成整改的，须承担相应违约责任。</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本条补充5.6款：</w:t>
      </w:r>
    </w:p>
    <w:bookmarkEnd w:id="568"/>
    <w:p>
      <w:pPr>
        <w:pStyle w:val="7"/>
        <w:spacing w:before="0" w:beforeAutospacing="0" w:after="0" w:afterAutospacing="0" w:line="360" w:lineRule="auto"/>
        <w:ind w:firstLine="422" w:firstLineChars="200"/>
        <w:rPr>
          <w:color w:val="auto"/>
          <w:sz w:val="21"/>
          <w:szCs w:val="21"/>
          <w:highlight w:val="none"/>
        </w:rPr>
      </w:pPr>
      <w:bookmarkStart w:id="570" w:name="_Toc532377348"/>
      <w:r>
        <w:rPr>
          <w:rFonts w:hint="eastAsia"/>
          <w:color w:val="auto"/>
          <w:sz w:val="21"/>
          <w:szCs w:val="21"/>
          <w:highlight w:val="none"/>
        </w:rPr>
        <w:t>5.6 质量事故的处理</w:t>
      </w:r>
      <w:bookmarkEnd w:id="570"/>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5.6.1 合同履行过程中，发生工程质量事故的调查处理按照国家及重庆市现行规定处理。</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5.6.2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bookmarkEnd w:id="546"/>
    <w:bookmarkEnd w:id="547"/>
    <w:bookmarkEnd w:id="548"/>
    <w:bookmarkEnd w:id="549"/>
    <w:bookmarkEnd w:id="550"/>
    <w:bookmarkEnd w:id="551"/>
    <w:bookmarkEnd w:id="552"/>
    <w:bookmarkEnd w:id="553"/>
    <w:bookmarkEnd w:id="554"/>
    <w:bookmarkEnd w:id="555"/>
    <w:bookmarkEnd w:id="558"/>
    <w:bookmarkEnd w:id="559"/>
    <w:bookmarkEnd w:id="560"/>
    <w:bookmarkEnd w:id="561"/>
    <w:bookmarkEnd w:id="562"/>
    <w:bookmarkEnd w:id="563"/>
    <w:bookmarkEnd w:id="564"/>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571" w:name="_Toc532377349"/>
      <w:bookmarkStart w:id="572" w:name="_Toc532375613"/>
      <w:bookmarkStart w:id="573" w:name="_Toc351203638"/>
      <w:bookmarkStart w:id="574" w:name="_Toc292559378"/>
      <w:bookmarkStart w:id="575" w:name="_Toc297120473"/>
      <w:bookmarkStart w:id="576" w:name="_Toc296503173"/>
      <w:bookmarkStart w:id="577" w:name="_Toc296891001"/>
      <w:bookmarkStart w:id="578" w:name="_Toc267251427"/>
      <w:bookmarkStart w:id="579" w:name="_Toc351203642"/>
      <w:bookmarkStart w:id="580" w:name="_Toc296891213"/>
      <w:bookmarkStart w:id="581" w:name="_Toc267251428"/>
      <w:bookmarkStart w:id="582" w:name="_Toc292559883"/>
      <w:bookmarkStart w:id="583" w:name="_Toc297048359"/>
      <w:bookmarkStart w:id="584" w:name="_Toc296346674"/>
      <w:bookmarkStart w:id="585" w:name="_Toc296944512"/>
      <w:bookmarkStart w:id="586" w:name="_Toc296347172"/>
      <w:r>
        <w:rPr>
          <w:rFonts w:hint="eastAsia"/>
          <w:color w:val="auto"/>
          <w:kern w:val="2"/>
          <w:sz w:val="21"/>
          <w:szCs w:val="21"/>
          <w:highlight w:val="none"/>
        </w:rPr>
        <w:t>6. 安全文明施工与环境保护</w:t>
      </w:r>
      <w:bookmarkEnd w:id="571"/>
      <w:bookmarkEnd w:id="572"/>
      <w:bookmarkEnd w:id="573"/>
    </w:p>
    <w:p>
      <w:pPr>
        <w:pStyle w:val="7"/>
        <w:spacing w:before="0" w:beforeAutospacing="0" w:after="0" w:afterAutospacing="0" w:line="360" w:lineRule="auto"/>
        <w:ind w:firstLine="422" w:firstLineChars="200"/>
        <w:rPr>
          <w:color w:val="auto"/>
          <w:sz w:val="21"/>
          <w:szCs w:val="21"/>
          <w:highlight w:val="none"/>
        </w:rPr>
      </w:pPr>
      <w:bookmarkStart w:id="587" w:name="_Toc532377350"/>
      <w:bookmarkStart w:id="588" w:name="_Toc532375614"/>
      <w:r>
        <w:rPr>
          <w:rFonts w:hint="eastAsia"/>
          <w:color w:val="auto"/>
          <w:sz w:val="21"/>
          <w:szCs w:val="21"/>
          <w:highlight w:val="none"/>
        </w:rPr>
        <w:t>6.1 安全文明施工</w:t>
      </w:r>
      <w:bookmarkEnd w:id="587"/>
      <w:bookmarkEnd w:id="588"/>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承包人必须认真贯彻执行国家安全生产法律、法规、规章和强制性安全标准，按照重庆市现行的质量、安全文明施工有关规定和发包人安全管理的有关规定，建立完善的质量、安全、文明施工管理制度。</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监理人的批准。</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6.1.1 项目安全生产的达标目标及相应事项的约定：</w:t>
      </w:r>
      <w:r>
        <w:rPr>
          <w:rFonts w:hint="eastAsia" w:ascii="宋体" w:hAnsi="宋体"/>
          <w:color w:val="auto"/>
          <w:szCs w:val="21"/>
          <w:highlight w:val="none"/>
          <w:u w:val="single"/>
        </w:rPr>
        <w:t>达到《建筑施工安全检查标准》（JGJ59-2011）的要求</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（1）按现行安全文明施工费计取及使用管理的政策文件规定及发包人制订的安全管理制度执行</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（2）承包人的原因造成事故，由此产生的法律责任和事故责任及费用由承包人全部承担</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（3）承包人向发包人做出安全承诺，并签订《安全生产目标责任书》和《安全承诺书》</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（4）承包人在施工过程中，必须严格执行安全生产法的相关规定，制定切实可靠的安全技术措施</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（5）接受发包人安全监督和管理，在施工中违反安全管理规定和操作规程、违章作业的，承担违约责任</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6.1.4 关于治安保卫的特别约定：</w:t>
      </w:r>
      <w:r>
        <w:rPr>
          <w:rFonts w:hint="eastAsia" w:ascii="宋体" w:hAnsi="宋体"/>
          <w:color w:val="auto"/>
          <w:szCs w:val="21"/>
          <w:highlight w:val="none"/>
          <w:u w:val="single"/>
        </w:rPr>
        <w:t>承包人负责组建施工现场治安管理机构或联防组织；承包人负责编制施工场地治安管理计划和突发治安事件紧急预案</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关于编制施工场地治安管理计划的约定：</w:t>
      </w:r>
      <w:r>
        <w:rPr>
          <w:rFonts w:hint="eastAsia" w:ascii="宋体" w:hAnsi="宋体"/>
          <w:color w:val="auto"/>
          <w:szCs w:val="21"/>
          <w:highlight w:val="none"/>
          <w:u w:val="single"/>
        </w:rPr>
        <w:t>由承包人负责</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6.1.5 文明施工</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合同当事人对文明施工的要求：</w:t>
      </w:r>
      <w:r>
        <w:rPr>
          <w:rFonts w:hint="eastAsia" w:ascii="宋体" w:hAnsi="宋体"/>
          <w:color w:val="auto"/>
          <w:szCs w:val="21"/>
          <w:highlight w:val="none"/>
          <w:u w:val="single"/>
        </w:rPr>
        <w:t>承包人应按照《房屋建筑和市政基础设施工程施工扬尘控制工作方案》（渝建发〔2009〕13号）、《重庆市建设委员会关于印发&lt;重庆市房屋建筑和市政基础设施工程现场文明施工标准&gt;的通知》（渝建发〔2008〕169号）等相关规定履行好施工扬尘控制、文明施工等责任</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承包人应按规定设置施工现场围挡，承包人采用的围挡主体形式应从重庆市城乡建委发布的标准图集（DJBT-062、DJBT-063）中选用，做好施工围挡，围挡应整齐美观，承包人按相关要求做好日常维护和保洁，围挡高度满足规范要求，相关费用已包含在签约合同价中</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6.1.6 关于安全文明施工费支付比例和支付期限的约定：按照行业主管部门相关规定</w:t>
      </w:r>
      <w:r>
        <w:rPr>
          <w:rFonts w:hint="eastAsia" w:ascii="宋体" w:hAnsi="宋体"/>
          <w:color w:val="auto"/>
          <w:szCs w:val="21"/>
          <w:highlight w:val="none"/>
          <w:u w:val="single"/>
        </w:rPr>
        <w:t xml:space="preserve">                 </w:t>
      </w:r>
      <w:r>
        <w:rPr>
          <w:rFonts w:hint="eastAsia" w:ascii="宋体" w:hAnsi="宋体"/>
          <w:color w:val="auto"/>
          <w:szCs w:val="21"/>
          <w:highlight w:val="none"/>
        </w:rPr>
        <w:t>执行。</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安全文明施工费的要求与内容、提取支付方法以及违反约定造成损失的赔偿等条款，按照现行规范要求执行，做到专款专用</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589" w:name="_Toc532377351"/>
      <w:bookmarkStart w:id="590" w:name="_Toc532375615"/>
      <w:r>
        <w:rPr>
          <w:rFonts w:hint="eastAsia"/>
          <w:color w:val="auto"/>
          <w:sz w:val="21"/>
          <w:szCs w:val="21"/>
          <w:highlight w:val="none"/>
        </w:rPr>
        <w:t>6.3 环境保护</w:t>
      </w:r>
      <w:bookmarkEnd w:id="589"/>
      <w:bookmarkEnd w:id="590"/>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本款补充6.3.1～6.3.8项：</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6.3.1 承包人应严格按照项目环境影响评价文件批准书结合发包人报送的环境影响报告书的要求进行环境保护的相关工作。如行政主管部门有新标准，则按最新标准执行，执行新标准增加的费用由发包人承担。</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6.3.2 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6.3.3 承包人应加强生态环境保护工作。施工期间，采取边坡防护，挡渣坝、排水沟、沉淀池、表土剥离和绿化恢复等水土保持措施减少水土流失量，绿化恢复宜采用适于当地生长的植物。</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6.3.4 承包人应认真落实水污染防治措施。施工期间，加强机械设备维护，减少跑冒滴漏等现象；做好含油废水处理措施；施工场地生活污水经生化处理后达到《污水综合排放标准》（GB8978-1996）一级标准后排放。</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6.3.5 承包人应重视大气污染物污染防治措施。施工期间，严格执行市政府“蓝天行动”方案等有关规定，通过洒水防尘，严格控制施工场地扬尘和运输扬尘污染。</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6.3.6 承包人应落实固体废物污染防治措施。施工期间，项目产生的弃方不可合理</w:t>
      </w:r>
      <w:r>
        <w:rPr>
          <w:rFonts w:ascii="宋体" w:hAnsi="宋体"/>
          <w:color w:val="auto"/>
          <w:szCs w:val="21"/>
          <w:highlight w:val="none"/>
        </w:rPr>
        <w:t>利用的</w:t>
      </w:r>
      <w:r>
        <w:rPr>
          <w:rFonts w:hint="eastAsia" w:ascii="宋体" w:hAnsi="宋体"/>
          <w:color w:val="auto"/>
          <w:szCs w:val="21"/>
          <w:highlight w:val="none"/>
        </w:rPr>
        <w:t>，应运往指定的弃渣场内堆存；建筑垃圾运至指定的建筑垃圾消纳场处置；生活垃圾由当地环卫部门统一处置。</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6.3.7 承包人应认真落实噪声污染防治措施。施工期间，优选低噪声设备，合理安排施工时间，严格控制夜间施工，昼、夜施工场界需满足《建筑施工场界环境噪声排放标准》（GB12523-2011）。</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6.3.8 承包人自行负责办理有关施工场地交通、环卫和施工噪音管理等手续，并应按要求结合自身实际和重庆市相关规定，考虑不低于以上标准的此类工作。</w:t>
      </w:r>
    </w:p>
    <w:p>
      <w:pPr>
        <w:spacing w:line="360" w:lineRule="auto"/>
        <w:ind w:firstLine="420" w:firstLineChars="200"/>
        <w:jc w:val="left"/>
        <w:rPr>
          <w:rFonts w:ascii="宋体" w:hAnsi="宋体"/>
          <w:color w:val="auto"/>
          <w:szCs w:val="21"/>
          <w:highlight w:val="none"/>
        </w:rPr>
      </w:pPr>
      <w:bookmarkStart w:id="591" w:name="_Toc351203639"/>
      <w:bookmarkStart w:id="592" w:name="_Toc532377352"/>
      <w:bookmarkStart w:id="593" w:name="_Toc532375616"/>
      <w:r>
        <w:rPr>
          <w:rFonts w:hint="eastAsia" w:ascii="宋体" w:hAnsi="宋体"/>
          <w:color w:val="auto"/>
          <w:szCs w:val="21"/>
          <w:highlight w:val="none"/>
        </w:rPr>
        <w:t xml:space="preserve">6.3.9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r>
        <w:rPr>
          <w:rFonts w:hint="eastAsia"/>
          <w:color w:val="auto"/>
          <w:kern w:val="2"/>
          <w:sz w:val="21"/>
          <w:szCs w:val="21"/>
          <w:highlight w:val="none"/>
        </w:rPr>
        <w:t>7. 工期和进度</w:t>
      </w:r>
      <w:bookmarkEnd w:id="591"/>
      <w:bookmarkEnd w:id="592"/>
      <w:bookmarkEnd w:id="593"/>
    </w:p>
    <w:p>
      <w:pPr>
        <w:pStyle w:val="7"/>
        <w:spacing w:before="0" w:beforeAutospacing="0" w:after="0" w:afterAutospacing="0" w:line="360" w:lineRule="auto"/>
        <w:ind w:firstLine="422" w:firstLineChars="200"/>
        <w:rPr>
          <w:color w:val="auto"/>
          <w:sz w:val="21"/>
          <w:szCs w:val="21"/>
          <w:highlight w:val="none"/>
        </w:rPr>
      </w:pPr>
      <w:bookmarkStart w:id="594" w:name="_Toc532377353"/>
      <w:bookmarkStart w:id="595" w:name="_Toc532375617"/>
      <w:r>
        <w:rPr>
          <w:rFonts w:hint="eastAsia"/>
          <w:color w:val="auto"/>
          <w:sz w:val="21"/>
          <w:szCs w:val="21"/>
          <w:highlight w:val="none"/>
        </w:rPr>
        <w:t>7.1 施工组织设计</w:t>
      </w:r>
      <w:bookmarkEnd w:id="594"/>
      <w:bookmarkEnd w:id="595"/>
    </w:p>
    <w:p>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7.1.1 合同当事人约定的施工组织设计应包括的其他内容：</w:t>
      </w:r>
      <w:r>
        <w:rPr>
          <w:rFonts w:hint="eastAsia" w:ascii="宋体" w:hAnsi="宋体"/>
          <w:color w:val="auto"/>
          <w:szCs w:val="21"/>
          <w:highlight w:val="none"/>
          <w:u w:val="single"/>
        </w:rPr>
        <w:t>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r>
        <w:rPr>
          <w:rFonts w:hint="eastAsia" w:ascii="宋体" w:hAnsi="宋体"/>
          <w:color w:val="auto"/>
          <w:szCs w:val="21"/>
          <w:highlight w:val="none"/>
        </w:rPr>
        <w:t>。</w:t>
      </w:r>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7.1.2 施工组织设计的提交和修改</w:t>
      </w:r>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承包人提交详细施工组织设计的期限的约定：</w:t>
      </w:r>
      <w:r>
        <w:rPr>
          <w:rFonts w:hint="eastAsia" w:ascii="宋体" w:hAnsi="宋体"/>
          <w:color w:val="auto"/>
          <w:szCs w:val="21"/>
          <w:highlight w:val="none"/>
          <w:u w:val="single"/>
        </w:rPr>
        <w:t>合同签订后  天内，但最迟不得晚于开工通知载明的开工日期前7天</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发包人和监理人在收到详细的施工组织设计后确认或提出修改意见的期限：</w:t>
      </w:r>
      <w:r>
        <w:rPr>
          <w:rFonts w:hint="eastAsia" w:ascii="宋体" w:hAnsi="宋体"/>
          <w:color w:val="auto"/>
          <w:szCs w:val="21"/>
          <w:highlight w:val="none"/>
          <w:u w:val="single"/>
        </w:rPr>
        <w:t>收到施工组织设计后  天内</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596" w:name="_Toc532377354"/>
      <w:bookmarkStart w:id="597" w:name="_Toc532375618"/>
      <w:r>
        <w:rPr>
          <w:rFonts w:hint="eastAsia"/>
          <w:color w:val="auto"/>
          <w:sz w:val="21"/>
          <w:szCs w:val="21"/>
          <w:highlight w:val="none"/>
        </w:rPr>
        <w:t>7.2 施工进度计划</w:t>
      </w:r>
      <w:bookmarkEnd w:id="596"/>
      <w:bookmarkEnd w:id="597"/>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7.2.2 施工进度计划的修订</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发包人和监理人在收到修订的施工进度计划后确认或提出修改意见的期限：</w:t>
      </w:r>
      <w:r>
        <w:rPr>
          <w:rFonts w:hint="eastAsia" w:ascii="宋体" w:hAnsi="宋体"/>
          <w:color w:val="auto"/>
          <w:szCs w:val="21"/>
          <w:highlight w:val="none"/>
          <w:u w:val="single"/>
        </w:rPr>
        <w:t>收到修订的施工进度计划后  天内</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598" w:name="_Toc532377355"/>
      <w:bookmarkStart w:id="599" w:name="_Toc532375619"/>
      <w:bookmarkStart w:id="600" w:name="_Toc297216173"/>
      <w:bookmarkStart w:id="601" w:name="_Toc297123514"/>
      <w:bookmarkStart w:id="602" w:name="_Toc300934966"/>
      <w:bookmarkStart w:id="603" w:name="_Toc304295541"/>
      <w:bookmarkStart w:id="604" w:name="_Toc312677479"/>
      <w:bookmarkStart w:id="605" w:name="_Toc312678005"/>
      <w:bookmarkStart w:id="606" w:name="_Toc303539123"/>
      <w:r>
        <w:rPr>
          <w:rFonts w:hint="eastAsia"/>
          <w:color w:val="auto"/>
          <w:sz w:val="21"/>
          <w:szCs w:val="21"/>
          <w:highlight w:val="none"/>
        </w:rPr>
        <w:t>7.3 开工</w:t>
      </w:r>
      <w:bookmarkEnd w:id="598"/>
      <w:bookmarkEnd w:id="599"/>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7.3.1 开工准备</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关于承包人提交工程开工报审表的期限：</w:t>
      </w:r>
      <w:r>
        <w:rPr>
          <w:rFonts w:hint="eastAsia" w:ascii="宋体" w:hAnsi="宋体"/>
          <w:color w:val="auto"/>
          <w:szCs w:val="21"/>
          <w:highlight w:val="none"/>
          <w:u w:val="single"/>
        </w:rPr>
        <w:t>不晚于开工前  天</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关于发包人应完成的其他开工准备工作及期限：</w:t>
      </w:r>
      <w:r>
        <w:rPr>
          <w:rFonts w:hint="eastAsia" w:ascii="宋体" w:hAnsi="宋体"/>
          <w:color w:val="auto"/>
          <w:szCs w:val="21"/>
          <w:highlight w:val="none"/>
          <w:u w:val="single"/>
        </w:rPr>
        <w:t>不晚于开工前  天</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关于承包人应完成的其他开工准备工作及期限：</w:t>
      </w:r>
      <w:r>
        <w:rPr>
          <w:rFonts w:hint="eastAsia" w:ascii="宋体" w:hAnsi="宋体"/>
          <w:color w:val="auto"/>
          <w:szCs w:val="21"/>
          <w:highlight w:val="none"/>
          <w:u w:val="single"/>
        </w:rPr>
        <w:t>不晚于开工前  天</w:t>
      </w:r>
      <w:r>
        <w:rPr>
          <w:rFonts w:hint="eastAsia" w:ascii="宋体" w:hAnsi="宋体"/>
          <w:color w:val="auto"/>
          <w:szCs w:val="21"/>
          <w:highlight w:val="none"/>
        </w:rPr>
        <w:t>。</w:t>
      </w:r>
    </w:p>
    <w:bookmarkEnd w:id="600"/>
    <w:bookmarkEnd w:id="601"/>
    <w:bookmarkEnd w:id="602"/>
    <w:bookmarkEnd w:id="603"/>
    <w:bookmarkEnd w:id="604"/>
    <w:bookmarkEnd w:id="605"/>
    <w:bookmarkEnd w:id="606"/>
    <w:p>
      <w:pPr>
        <w:pStyle w:val="7"/>
        <w:spacing w:before="0" w:beforeAutospacing="0" w:after="0" w:afterAutospacing="0" w:line="360" w:lineRule="auto"/>
        <w:ind w:firstLine="422" w:firstLineChars="200"/>
        <w:rPr>
          <w:color w:val="auto"/>
          <w:sz w:val="21"/>
          <w:szCs w:val="21"/>
          <w:highlight w:val="none"/>
        </w:rPr>
      </w:pPr>
      <w:bookmarkStart w:id="607" w:name="_Toc532377356"/>
      <w:bookmarkStart w:id="608" w:name="_Toc532375620"/>
      <w:r>
        <w:rPr>
          <w:rFonts w:hint="eastAsia"/>
          <w:color w:val="auto"/>
          <w:sz w:val="21"/>
          <w:szCs w:val="21"/>
          <w:highlight w:val="none"/>
        </w:rPr>
        <w:t>7.4 测量放线</w:t>
      </w:r>
      <w:bookmarkEnd w:id="607"/>
      <w:bookmarkEnd w:id="608"/>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7.4.1 发包人通过监理人向承包人提供测量基准点、基准线和水准点及其书面资料的期限：</w:t>
      </w:r>
      <w:r>
        <w:rPr>
          <w:rFonts w:hint="eastAsia" w:ascii="宋体" w:hAnsi="宋体"/>
          <w:color w:val="auto"/>
          <w:szCs w:val="21"/>
          <w:highlight w:val="none"/>
          <w:u w:val="single"/>
        </w:rPr>
        <w:t>不晚于开工前</w:t>
      </w:r>
      <w:r>
        <w:rPr>
          <w:rFonts w:hint="eastAsia" w:ascii="宋体" w:hAnsi="宋体"/>
          <w:color w:val="auto"/>
          <w:szCs w:val="21"/>
          <w:highlight w:val="none"/>
          <w:u w:val="single"/>
          <w:lang w:val="en-US" w:eastAsia="zh-CN"/>
        </w:rPr>
        <w:t>7</w:t>
      </w:r>
      <w:r>
        <w:rPr>
          <w:rFonts w:hint="eastAsia" w:ascii="宋体" w:hAnsi="宋体"/>
          <w:color w:val="auto"/>
          <w:szCs w:val="21"/>
          <w:highlight w:val="none"/>
          <w:u w:val="single"/>
        </w:rPr>
        <w:t>天</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承包人报监理人审批施工控制网资料的期限：</w:t>
      </w:r>
      <w:r>
        <w:rPr>
          <w:rFonts w:hint="eastAsia" w:ascii="宋体" w:hAnsi="宋体"/>
          <w:color w:val="auto"/>
          <w:szCs w:val="21"/>
          <w:highlight w:val="none"/>
          <w:u w:val="single"/>
        </w:rPr>
        <w:t>发出开工通知后</w:t>
      </w:r>
      <w:r>
        <w:rPr>
          <w:rFonts w:hint="eastAsia" w:ascii="宋体" w:hAnsi="宋体"/>
          <w:color w:val="auto"/>
          <w:szCs w:val="21"/>
          <w:highlight w:val="none"/>
          <w:u w:val="single"/>
          <w:lang w:val="en-US" w:eastAsia="zh-CN"/>
        </w:rPr>
        <w:t>7</w:t>
      </w:r>
      <w:r>
        <w:rPr>
          <w:rFonts w:hint="eastAsia" w:ascii="宋体" w:hAnsi="宋体"/>
          <w:color w:val="auto"/>
          <w:szCs w:val="21"/>
          <w:highlight w:val="none"/>
          <w:u w:val="single"/>
        </w:rPr>
        <w:t>天。承包人发现发包人提供的测量基准点、基准线和水准点及其书面资料存在错误或疏漏的，应及时通知监理人并报告发包人，承包人应会同监理人、发包人核实，发包人就如何处理和是否继续施工作出决定，并通过监理人通知承包人</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609" w:name="_Toc532377357"/>
      <w:bookmarkStart w:id="610" w:name="_Toc532375621"/>
      <w:r>
        <w:rPr>
          <w:rFonts w:hint="eastAsia"/>
          <w:color w:val="auto"/>
          <w:sz w:val="21"/>
          <w:szCs w:val="21"/>
          <w:highlight w:val="none"/>
        </w:rPr>
        <w:t>7</w:t>
      </w:r>
      <w:bookmarkStart w:id="611" w:name="_Toc303539125"/>
      <w:bookmarkStart w:id="612" w:name="_Toc312678010"/>
      <w:bookmarkStart w:id="613" w:name="_Toc312677484"/>
      <w:bookmarkStart w:id="614" w:name="_Toc297123516"/>
      <w:bookmarkStart w:id="615" w:name="_Toc304295546"/>
      <w:bookmarkStart w:id="616" w:name="_Toc300934968"/>
      <w:bookmarkStart w:id="617" w:name="_Toc297216175"/>
      <w:r>
        <w:rPr>
          <w:rFonts w:hint="eastAsia"/>
          <w:color w:val="auto"/>
          <w:sz w:val="21"/>
          <w:szCs w:val="21"/>
          <w:highlight w:val="none"/>
        </w:rPr>
        <w:t>.5 工期延误</w:t>
      </w:r>
      <w:bookmarkEnd w:id="609"/>
      <w:bookmarkEnd w:id="610"/>
    </w:p>
    <w:bookmarkEnd w:id="611"/>
    <w:bookmarkEnd w:id="612"/>
    <w:bookmarkEnd w:id="613"/>
    <w:bookmarkEnd w:id="614"/>
    <w:bookmarkEnd w:id="615"/>
    <w:bookmarkEnd w:id="616"/>
    <w:bookmarkEnd w:id="617"/>
    <w:p>
      <w:pPr>
        <w:spacing w:line="360" w:lineRule="auto"/>
        <w:ind w:firstLine="420" w:firstLineChars="200"/>
        <w:jc w:val="left"/>
        <w:rPr>
          <w:rFonts w:ascii="宋体" w:hAnsi="宋体"/>
          <w:color w:val="auto"/>
          <w:szCs w:val="21"/>
          <w:highlight w:val="none"/>
        </w:rPr>
      </w:pPr>
      <w:bookmarkStart w:id="618" w:name="_Hlk528927940"/>
      <w:r>
        <w:rPr>
          <w:rFonts w:hint="eastAsia" w:ascii="宋体" w:hAnsi="宋体"/>
          <w:color w:val="auto"/>
          <w:szCs w:val="21"/>
          <w:highlight w:val="none"/>
        </w:rPr>
        <w:t>7.5.1 因发包人原因导致工期延误：</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在合同履行过程中，除通用条款约定外，因下列情况导致工期延误和（或）费用增加的，由发包人承担由此延误的工期和（或）增加的费用：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（1）发包人未能按合同约定提供施工场地，且该未提供开工条件直接影响项目关键线路的；</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（2）发包人提供的测量基准点、基准线和水准点及其书面资料存在错误或疏漏，且该错误或疏漏直接影响项目关键线路的；</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（3）监理人未按合同约定发出指示、批准等文件，且该未按合同约定发出指示、批准直接影响项目关键线路的；</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（4）变更未及时审批，直接影响项目关键线路的；</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（5）实施变更直接影响项目关键线路的；</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（6）因发包人原因导致工程暂停施工、停建、缓建的；</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（7）因征地拆迁、当地群众阻工等情形的；</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（8）</w:t>
      </w:r>
      <w:r>
        <w:rPr>
          <w:rFonts w:hint="eastAsia" w:ascii="宋体" w:hAnsi="宋体"/>
          <w:color w:val="auto"/>
          <w:szCs w:val="21"/>
          <w:highlight w:val="none"/>
          <w:u w:val="single"/>
        </w:rPr>
        <w:t>合同约定的其他情形</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因发包人原因未按计划开工日期开工的，发包人应按实际开工日期顺延竣工日期。因发包人原因导致工期延误需要修订施工进度计划的，按照第7.2.2项〔施工进度计划的修订〕执行</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7.5.2 因承包人原因导致工期延误</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因承包人原因造成工期延误，逾期竣工按16.2.2（6）目执行。</w:t>
      </w:r>
    </w:p>
    <w:bookmarkEnd w:id="618"/>
    <w:p>
      <w:pPr>
        <w:pStyle w:val="7"/>
        <w:spacing w:before="0" w:beforeAutospacing="0" w:after="0" w:afterAutospacing="0" w:line="360" w:lineRule="auto"/>
        <w:ind w:firstLine="422" w:firstLineChars="200"/>
        <w:rPr>
          <w:color w:val="auto"/>
          <w:sz w:val="21"/>
          <w:szCs w:val="21"/>
          <w:highlight w:val="none"/>
        </w:rPr>
      </w:pPr>
      <w:bookmarkStart w:id="619" w:name="_Toc532375622"/>
      <w:bookmarkStart w:id="620" w:name="_Toc532377358"/>
      <w:bookmarkStart w:id="621" w:name="_Hlk528927997"/>
      <w:r>
        <w:rPr>
          <w:rFonts w:hint="eastAsia"/>
          <w:color w:val="auto"/>
          <w:sz w:val="21"/>
          <w:szCs w:val="21"/>
          <w:highlight w:val="none"/>
        </w:rPr>
        <w:t>7</w:t>
      </w:r>
      <w:bookmarkStart w:id="622" w:name="_Toc297216178"/>
      <w:bookmarkStart w:id="623" w:name="_Toc300934971"/>
      <w:bookmarkStart w:id="624" w:name="_Toc304295549"/>
      <w:bookmarkStart w:id="625" w:name="_Toc312678015"/>
      <w:bookmarkStart w:id="626" w:name="_Toc297123519"/>
      <w:bookmarkStart w:id="627" w:name="_Toc303539128"/>
      <w:r>
        <w:rPr>
          <w:rFonts w:hint="eastAsia"/>
          <w:color w:val="auto"/>
          <w:sz w:val="21"/>
          <w:szCs w:val="21"/>
          <w:highlight w:val="none"/>
        </w:rPr>
        <w:t>.6 不</w:t>
      </w:r>
      <w:bookmarkEnd w:id="622"/>
      <w:bookmarkEnd w:id="623"/>
      <w:bookmarkEnd w:id="624"/>
      <w:bookmarkEnd w:id="625"/>
      <w:bookmarkEnd w:id="626"/>
      <w:bookmarkEnd w:id="627"/>
      <w:r>
        <w:rPr>
          <w:rFonts w:hint="eastAsia"/>
          <w:color w:val="auto"/>
          <w:sz w:val="21"/>
          <w:szCs w:val="21"/>
          <w:highlight w:val="none"/>
        </w:rPr>
        <w:t>利物质条件</w:t>
      </w:r>
      <w:bookmarkEnd w:id="619"/>
      <w:bookmarkEnd w:id="620"/>
    </w:p>
    <w:bookmarkEnd w:id="621"/>
    <w:p>
      <w:pPr>
        <w:spacing w:line="360" w:lineRule="auto"/>
        <w:ind w:firstLine="420" w:firstLineChars="200"/>
        <w:jc w:val="left"/>
        <w:rPr>
          <w:rFonts w:ascii="宋体" w:hAnsi="宋体"/>
          <w:bCs/>
          <w:color w:val="auto"/>
          <w:szCs w:val="21"/>
          <w:highlight w:val="none"/>
        </w:rPr>
      </w:pPr>
      <w:bookmarkStart w:id="628" w:name="_Toc297216179"/>
      <w:bookmarkStart w:id="629" w:name="_Toc312678016"/>
      <w:bookmarkStart w:id="630" w:name="_Toc300934972"/>
      <w:bookmarkStart w:id="631" w:name="_Toc304295550"/>
      <w:bookmarkStart w:id="632" w:name="_Toc297123520"/>
      <w:bookmarkStart w:id="633" w:name="_Toc318581172"/>
      <w:bookmarkStart w:id="634" w:name="_Toc303539129"/>
      <w:r>
        <w:rPr>
          <w:rFonts w:hint="eastAsia" w:ascii="宋体" w:hAnsi="宋体"/>
          <w:color w:val="auto"/>
          <w:szCs w:val="21"/>
          <w:highlight w:val="none"/>
        </w:rPr>
        <w:t>不利物质条件的其他情形和有关约定：</w:t>
      </w:r>
      <w:bookmarkStart w:id="635" w:name="_Hlk528910274"/>
      <w:r>
        <w:rPr>
          <w:rFonts w:hint="eastAsia" w:ascii="宋体" w:hAnsi="宋体"/>
          <w:color w:val="auto"/>
          <w:szCs w:val="21"/>
          <w:highlight w:val="none"/>
          <w:u w:val="single"/>
        </w:rPr>
        <w:t xml:space="preserve">    </w:t>
      </w:r>
      <w:r>
        <w:rPr>
          <w:rFonts w:hint="eastAsia" w:ascii="宋体" w:hAnsi="宋体"/>
          <w:color w:val="auto"/>
          <w:szCs w:val="21"/>
          <w:highlight w:val="none"/>
        </w:rPr>
        <w:t>。</w:t>
      </w:r>
    </w:p>
    <w:bookmarkEnd w:id="628"/>
    <w:bookmarkEnd w:id="629"/>
    <w:bookmarkEnd w:id="630"/>
    <w:bookmarkEnd w:id="631"/>
    <w:bookmarkEnd w:id="632"/>
    <w:bookmarkEnd w:id="633"/>
    <w:bookmarkEnd w:id="634"/>
    <w:bookmarkEnd w:id="635"/>
    <w:p>
      <w:pPr>
        <w:pStyle w:val="7"/>
        <w:spacing w:before="0" w:beforeAutospacing="0" w:after="0" w:afterAutospacing="0" w:line="360" w:lineRule="auto"/>
        <w:ind w:firstLine="422" w:firstLineChars="200"/>
        <w:rPr>
          <w:color w:val="auto"/>
          <w:sz w:val="21"/>
          <w:szCs w:val="21"/>
          <w:highlight w:val="none"/>
        </w:rPr>
      </w:pPr>
      <w:bookmarkStart w:id="636" w:name="_Toc532377359"/>
      <w:bookmarkStart w:id="637" w:name="_Toc532375623"/>
      <w:r>
        <w:rPr>
          <w:rFonts w:hint="eastAsia"/>
          <w:color w:val="auto"/>
          <w:sz w:val="21"/>
          <w:szCs w:val="21"/>
          <w:highlight w:val="none"/>
        </w:rPr>
        <w:t>7</w:t>
      </w:r>
      <w:bookmarkStart w:id="638" w:name="_Toc297216180"/>
      <w:bookmarkStart w:id="639" w:name="_Toc303539130"/>
      <w:bookmarkStart w:id="640" w:name="_Toc304295551"/>
      <w:bookmarkStart w:id="641" w:name="_Toc297123521"/>
      <w:bookmarkStart w:id="642" w:name="_Toc300934973"/>
      <w:bookmarkStart w:id="643" w:name="_Toc312678017"/>
      <w:r>
        <w:rPr>
          <w:rFonts w:hint="eastAsia"/>
          <w:color w:val="auto"/>
          <w:sz w:val="21"/>
          <w:szCs w:val="21"/>
          <w:highlight w:val="none"/>
        </w:rPr>
        <w:t>.7异常恶劣的气候条件</w:t>
      </w:r>
      <w:bookmarkEnd w:id="636"/>
      <w:bookmarkEnd w:id="637"/>
    </w:p>
    <w:bookmarkEnd w:id="638"/>
    <w:bookmarkEnd w:id="639"/>
    <w:bookmarkEnd w:id="640"/>
    <w:bookmarkEnd w:id="641"/>
    <w:bookmarkEnd w:id="642"/>
    <w:bookmarkEnd w:id="643"/>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发包人和承包人同意以下情形视为异常恶劣的气候条件：</w:t>
      </w:r>
      <w:r>
        <w:rPr>
          <w:rFonts w:hint="eastAsia" w:ascii="宋体" w:hAnsi="宋体"/>
          <w:color w:val="auto"/>
          <w:szCs w:val="21"/>
          <w:highlight w:val="none"/>
          <w:u w:val="single"/>
        </w:rPr>
        <w:t xml:space="preserve">    （异常气候是指项目所在地50年以上一遇的罕见气候现象）</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644" w:name="_Toc532377360"/>
      <w:bookmarkStart w:id="645" w:name="_Toc532375624"/>
      <w:r>
        <w:rPr>
          <w:rFonts w:hint="eastAsia"/>
          <w:color w:val="auto"/>
          <w:sz w:val="21"/>
          <w:szCs w:val="21"/>
          <w:highlight w:val="none"/>
        </w:rPr>
        <w:t>7.9 提前竣工</w:t>
      </w:r>
      <w:bookmarkEnd w:id="644"/>
      <w:bookmarkEnd w:id="645"/>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7.9.1项细化为：</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当项目需要提前竣工或项目工期按照第7.5款〔工期延误〕约定顺延后需要提前竣工的，发包人应通过监理人向承包人下达提前竣工指示。承包人同意提前竣工的，应向发包人和监理人提交提前竣工方案，提前竣工方案经监理人和发包人审批后生效。由此增加的费用按照第10.4.1项〔变更估价原则〕约定执行。</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（2）发包人不得随意要求承包人提前竣工，承包人也不得随意提出提前竣工的建议。如遇特殊情况，确需将工期提前的，发包人和承包人必须采取有效措施，确保工程质量。</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（3）如果承包人提前竣工，发包人支付奖金的计算方法在合同条款中约定，时间自竣工验收证书中写明的实际竣工日期起至预定的竣工日期止，按天计算。但奖金最高限额不超过项目7.9.2项的限额。</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7.9.2 提前竣工的奖励：</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不采用</w:t>
      </w:r>
      <w:r>
        <w:rPr>
          <w:rFonts w:hint="eastAsia" w:ascii="宋体" w:hAnsi="宋体"/>
          <w:color w:val="auto"/>
          <w:szCs w:val="21"/>
          <w:highlight w:val="none"/>
        </w:rPr>
        <w:t>。</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646" w:name="_Toc532377361"/>
      <w:bookmarkStart w:id="647" w:name="_Toc351203640"/>
      <w:bookmarkStart w:id="648" w:name="_Toc532375625"/>
      <w:r>
        <w:rPr>
          <w:rFonts w:hint="eastAsia"/>
          <w:color w:val="auto"/>
          <w:kern w:val="2"/>
          <w:sz w:val="21"/>
          <w:szCs w:val="21"/>
          <w:highlight w:val="none"/>
        </w:rPr>
        <w:t>8. 材料与设备</w:t>
      </w:r>
      <w:bookmarkEnd w:id="646"/>
      <w:bookmarkEnd w:id="647"/>
      <w:bookmarkEnd w:id="648"/>
    </w:p>
    <w:p>
      <w:pPr>
        <w:pStyle w:val="7"/>
        <w:spacing w:before="0" w:beforeAutospacing="0" w:after="0" w:afterAutospacing="0" w:line="360" w:lineRule="auto"/>
        <w:ind w:firstLine="422" w:firstLineChars="200"/>
        <w:rPr>
          <w:color w:val="auto"/>
          <w:sz w:val="21"/>
          <w:szCs w:val="21"/>
          <w:highlight w:val="none"/>
        </w:rPr>
      </w:pPr>
      <w:bookmarkStart w:id="649" w:name="_Toc532375626"/>
      <w:bookmarkStart w:id="650" w:name="_Toc532377362"/>
      <w:r>
        <w:rPr>
          <w:rFonts w:hint="eastAsia"/>
          <w:color w:val="auto"/>
          <w:sz w:val="21"/>
          <w:szCs w:val="21"/>
          <w:highlight w:val="none"/>
        </w:rPr>
        <w:t>8.1发包人供应材料与工程设备</w:t>
      </w:r>
      <w:bookmarkEnd w:id="649"/>
      <w:bookmarkEnd w:id="650"/>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材料的名称、规格、数量和价格：</w:t>
      </w:r>
      <w:r>
        <w:rPr>
          <w:rFonts w:hint="eastAsia" w:ascii="宋体" w:hAnsi="宋体"/>
          <w:color w:val="auto"/>
          <w:szCs w:val="21"/>
          <w:highlight w:val="none"/>
          <w:u w:val="single"/>
        </w:rPr>
        <w:t>发包人应提供甲供材料的明细表，结算时按经监理人、承包人共同确认的供应数量乘以招标时甲供材料暂定价格，在支付工程款时扣除</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发包人按约定的内容提供材料设备并对提供的材料设备质量负责，承包人按施工规范和检测规范对一切进场材料进行质量检验，承包人有权退回检验不合格的材料；承包人对投入使用的材料质量负责</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651" w:name="_Toc532375627"/>
      <w:bookmarkStart w:id="652" w:name="_Toc351203554"/>
      <w:bookmarkStart w:id="653" w:name="_Toc532377363"/>
      <w:r>
        <w:rPr>
          <w:rFonts w:hint="eastAsia"/>
          <w:color w:val="auto"/>
          <w:sz w:val="21"/>
          <w:szCs w:val="21"/>
          <w:highlight w:val="none"/>
        </w:rPr>
        <w:t>8</w:t>
      </w:r>
      <w:bookmarkStart w:id="654" w:name="_Toc296346561"/>
      <w:bookmarkStart w:id="655" w:name="_Toc296503060"/>
      <w:bookmarkStart w:id="656" w:name="_Toc337558778"/>
      <w:r>
        <w:rPr>
          <w:rFonts w:hint="eastAsia"/>
          <w:color w:val="auto"/>
          <w:sz w:val="21"/>
          <w:szCs w:val="21"/>
          <w:highlight w:val="none"/>
        </w:rPr>
        <w:t>.2 承包人采购材料与工程设备</w:t>
      </w:r>
      <w:bookmarkEnd w:id="651"/>
      <w:bookmarkEnd w:id="652"/>
      <w:bookmarkEnd w:id="653"/>
    </w:p>
    <w:bookmarkEnd w:id="654"/>
    <w:bookmarkEnd w:id="655"/>
    <w:bookmarkEnd w:id="656"/>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8.2.1承包人负责采购、运输和保管的材料、工程设备：</w:t>
      </w:r>
      <w:r>
        <w:rPr>
          <w:rFonts w:hint="eastAsia" w:ascii="宋体" w:hAnsi="宋体"/>
          <w:color w:val="auto"/>
          <w:szCs w:val="21"/>
          <w:highlight w:val="none"/>
          <w:u w:val="single"/>
        </w:rPr>
        <w:t>由承包人自行采购。承包人采购材料设备必须经监理人和发包人批准，结算时由监理人和发包人按招标文件规定审核的数量和合同约定</w:t>
      </w:r>
      <w:r>
        <w:rPr>
          <w:rFonts w:ascii="宋体" w:hAnsi="宋体"/>
          <w:color w:val="auto"/>
          <w:szCs w:val="21"/>
          <w:highlight w:val="none"/>
          <w:u w:val="single"/>
        </w:rPr>
        <w:t>价格</w:t>
      </w:r>
      <w:r>
        <w:rPr>
          <w:rFonts w:hint="eastAsia" w:ascii="宋体" w:hAnsi="宋体"/>
          <w:color w:val="auto"/>
          <w:szCs w:val="21"/>
          <w:highlight w:val="none"/>
          <w:u w:val="single"/>
        </w:rPr>
        <w:t>计算</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8.2.2承包人报送监理人审批的时间：</w:t>
      </w:r>
      <w:r>
        <w:rPr>
          <w:rFonts w:hint="eastAsia" w:ascii="宋体" w:hAnsi="宋体"/>
          <w:color w:val="auto"/>
          <w:szCs w:val="21"/>
          <w:highlight w:val="none"/>
          <w:u w:val="single"/>
        </w:rPr>
        <w:t>按发包人及监理单位的相关规定执行</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8.2.3承包人选择的生产厂家或供应商满足下列条件：</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A.承包人选择的混凝土供应商应满足下列条件：</w:t>
      </w:r>
      <w:r>
        <w:rPr>
          <w:rFonts w:hint="eastAsia" w:ascii="宋体" w:hAnsi="宋体"/>
          <w:color w:val="auto"/>
          <w:szCs w:val="21"/>
          <w:highlight w:val="none"/>
          <w:u w:val="single"/>
        </w:rPr>
        <w:t xml:space="preserve"> </w:t>
      </w:r>
      <w:r>
        <w:rPr>
          <w:rFonts w:hint="default" w:ascii="Times New Roman" w:hAnsi="Times New Roman" w:cs="Times New Roman"/>
          <w:color w:val="auto"/>
          <w:kern w:val="0"/>
          <w:szCs w:val="21"/>
          <w:highlight w:val="none"/>
          <w:u w:val="single"/>
        </w:rPr>
        <w:t>符合设计图纸及有关标准、规范的要求</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B.承包人选择的钢材供应商应满足下列条件：</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default" w:ascii="Times New Roman" w:hAnsi="Times New Roman" w:cs="Times New Roman"/>
          <w:color w:val="auto"/>
          <w:kern w:val="0"/>
          <w:szCs w:val="21"/>
          <w:highlight w:val="none"/>
          <w:u w:val="single"/>
        </w:rPr>
        <w:t>符合设计图纸及有关标准、规范的要求</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C.承包人选择的水泥供应商应满足下列条件：</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default" w:ascii="Times New Roman" w:hAnsi="Times New Roman" w:cs="Times New Roman"/>
          <w:color w:val="auto"/>
          <w:kern w:val="0"/>
          <w:szCs w:val="21"/>
          <w:highlight w:val="none"/>
          <w:u w:val="single"/>
        </w:rPr>
        <w:t>符合设计图纸及有关标准、规范的要求</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D.承包人采购的材料与设计或标准要求不符时，承包人应按发包人和监理人要求的时间运出施工场地，并重新采购符合要求的产品，并承担由此发生的费用，因此延误的工期不予顺延。</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E.承包人采购的材料在使用前，应按发包人和监理人的要求进行检验或试验，不合格的不得使用。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F.</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657" w:name="_Toc532377364"/>
      <w:bookmarkStart w:id="658" w:name="_Toc532375628"/>
      <w:r>
        <w:rPr>
          <w:rFonts w:hint="eastAsia"/>
          <w:color w:val="auto"/>
          <w:sz w:val="21"/>
          <w:szCs w:val="21"/>
          <w:highlight w:val="none"/>
        </w:rPr>
        <w:t>8</w:t>
      </w:r>
      <w:bookmarkStart w:id="659" w:name="_Toc297216186"/>
      <w:bookmarkStart w:id="660" w:name="_Toc297120467"/>
      <w:bookmarkStart w:id="661" w:name="_Toc296346668"/>
      <w:bookmarkStart w:id="662" w:name="_Toc297123527"/>
      <w:bookmarkStart w:id="663" w:name="_Toc296503167"/>
      <w:bookmarkStart w:id="664" w:name="_Toc304295556"/>
      <w:bookmarkStart w:id="665" w:name="_Toc296347166"/>
      <w:bookmarkStart w:id="666" w:name="_Toc297048353"/>
      <w:bookmarkStart w:id="667" w:name="_Toc292559372"/>
      <w:bookmarkStart w:id="668" w:name="_Toc296891207"/>
      <w:bookmarkStart w:id="669" w:name="_Toc292559877"/>
      <w:bookmarkStart w:id="670" w:name="_Toc303539136"/>
      <w:bookmarkStart w:id="671" w:name="_Toc312677493"/>
      <w:bookmarkStart w:id="672" w:name="_Toc296944506"/>
      <w:bookmarkStart w:id="673" w:name="_Toc300934979"/>
      <w:bookmarkStart w:id="674" w:name="_Toc312678019"/>
      <w:bookmarkStart w:id="675" w:name="_Toc280868654"/>
      <w:bookmarkStart w:id="676" w:name="_Toc296890995"/>
      <w:bookmarkStart w:id="677" w:name="_Toc280868656"/>
      <w:bookmarkStart w:id="678" w:name="_Toc267251424"/>
      <w:bookmarkStart w:id="679" w:name="_Toc280868655"/>
      <w:r>
        <w:rPr>
          <w:rFonts w:hint="eastAsia"/>
          <w:color w:val="auto"/>
          <w:sz w:val="21"/>
          <w:szCs w:val="21"/>
          <w:highlight w:val="none"/>
        </w:rPr>
        <w:t>.4 材料与工程设备的保管与使用</w:t>
      </w:r>
      <w:bookmarkEnd w:id="657"/>
      <w:bookmarkEnd w:id="658"/>
    </w:p>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w:t>
      </w:r>
      <w:bookmarkStart w:id="680" w:name="_Toc292559373"/>
      <w:bookmarkStart w:id="681" w:name="_Toc292559878"/>
      <w:bookmarkStart w:id="682" w:name="_Toc296891208"/>
      <w:bookmarkStart w:id="683" w:name="_Toc296503168"/>
      <w:bookmarkStart w:id="684" w:name="_Toc297048354"/>
      <w:bookmarkStart w:id="685" w:name="_Toc303539137"/>
      <w:bookmarkStart w:id="686" w:name="_Toc297216187"/>
      <w:bookmarkStart w:id="687" w:name="_Toc296890996"/>
      <w:bookmarkStart w:id="688" w:name="_Toc297120468"/>
      <w:bookmarkStart w:id="689" w:name="_Toc296944507"/>
      <w:bookmarkStart w:id="690" w:name="_Toc297123528"/>
      <w:bookmarkStart w:id="691" w:name="_Toc296347167"/>
      <w:bookmarkStart w:id="692" w:name="_Toc296346669"/>
      <w:bookmarkStart w:id="693" w:name="_Toc312678020"/>
      <w:bookmarkStart w:id="694" w:name="_Toc304295557"/>
      <w:bookmarkStart w:id="695" w:name="_Toc312677494"/>
      <w:bookmarkStart w:id="696" w:name="_Toc318581173"/>
      <w:bookmarkStart w:id="697" w:name="_Toc300934980"/>
      <w:r>
        <w:rPr>
          <w:rFonts w:hint="eastAsia" w:ascii="宋体" w:hAnsi="宋体"/>
          <w:color w:val="auto"/>
          <w:szCs w:val="21"/>
          <w:highlight w:val="none"/>
        </w:rPr>
        <w:t>.4.1 发包人供应的材料设备的保管费用的承担：</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bookmarkEnd w:id="680"/>
      <w:bookmarkEnd w:id="681"/>
    </w:p>
    <w:p>
      <w:pPr>
        <w:pStyle w:val="7"/>
        <w:spacing w:before="0" w:beforeAutospacing="0" w:after="0" w:afterAutospacing="0" w:line="360" w:lineRule="auto"/>
        <w:ind w:firstLine="422" w:firstLineChars="200"/>
        <w:rPr>
          <w:color w:val="auto"/>
          <w:sz w:val="21"/>
          <w:szCs w:val="21"/>
          <w:highlight w:val="none"/>
        </w:rPr>
      </w:pPr>
      <w:bookmarkStart w:id="698" w:name="_Toc532377365"/>
      <w:bookmarkStart w:id="699" w:name="_Toc532375629"/>
      <w:r>
        <w:rPr>
          <w:rFonts w:hint="eastAsia"/>
          <w:color w:val="auto"/>
          <w:sz w:val="21"/>
          <w:szCs w:val="21"/>
          <w:highlight w:val="none"/>
        </w:rPr>
        <w:t>8.6 样品</w:t>
      </w:r>
      <w:bookmarkEnd w:id="698"/>
      <w:bookmarkEnd w:id="699"/>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8.6.1 样品的报送与封存</w:t>
      </w:r>
    </w:p>
    <w:p>
      <w:pPr>
        <w:snapToGrid w:val="0"/>
        <w:spacing w:line="360" w:lineRule="auto"/>
        <w:ind w:firstLine="525" w:firstLineChars="250"/>
        <w:rPr>
          <w:rFonts w:hint="default" w:ascii="Times New Roman" w:hAnsi="Times New Roman" w:cs="Times New Roman"/>
          <w:color w:val="auto"/>
          <w:kern w:val="0"/>
          <w:szCs w:val="21"/>
          <w:highlight w:val="none"/>
          <w:u w:val="single"/>
        </w:rPr>
      </w:pPr>
      <w:r>
        <w:rPr>
          <w:rFonts w:hint="eastAsia" w:ascii="宋体" w:hAnsi="宋体"/>
          <w:color w:val="auto"/>
          <w:szCs w:val="21"/>
          <w:highlight w:val="none"/>
        </w:rPr>
        <w:t>需要承包人报送样品的材料或工程设备，样品的种类、名称、规格、数量要求：</w:t>
      </w:r>
      <w:r>
        <w:rPr>
          <w:rFonts w:hint="default" w:ascii="Times New Roman" w:hAnsi="Times New Roman" w:cs="Times New Roman"/>
          <w:color w:val="auto"/>
          <w:kern w:val="0"/>
          <w:szCs w:val="21"/>
          <w:highlight w:val="none"/>
          <w:u w:val="single"/>
        </w:rPr>
        <w:t>本项目的材料、设备在采购前承包人应将列为</w:t>
      </w:r>
      <w:r>
        <w:rPr>
          <w:rFonts w:hint="default" w:ascii="Times New Roman" w:hAnsi="Times New Roman" w:eastAsia="Arial Unicode MS" w:cs="Times New Roman"/>
          <w:color w:val="auto"/>
          <w:kern w:val="0"/>
          <w:sz w:val="21"/>
          <w:szCs w:val="21"/>
          <w:highlight w:val="none"/>
          <w:lang w:val="en-US" w:eastAsia="zh-CN"/>
        </w:rPr>
        <w:t>需要认质</w:t>
      </w:r>
      <w:r>
        <w:rPr>
          <w:rFonts w:hint="default" w:ascii="Times New Roman" w:hAnsi="Times New Roman" w:cs="Times New Roman"/>
          <w:color w:val="auto"/>
          <w:kern w:val="0"/>
          <w:szCs w:val="21"/>
          <w:highlight w:val="none"/>
          <w:u w:val="single"/>
        </w:rPr>
        <w:t>的材料、设备的厂家、技术参数、品牌、质量等级等指标以书面形式通知发包人，发包人收到承包人的书面报告后予以认质、封样后，承包人方可采购进场；对需要认价的材料、设备若承包人在发包人核价后5个工作日内，承包人拒绝签字确认发包人核定的价格或拒绝按发包人核定的价格采购的，则该种材料或设备改为第三方供货，发包人收取承包人该类材料或设备费的20%作为违约金，并按发包人实际支付的货款从承包人的进度款中扣除，同时并不解除承包人对工程质量保修责任。</w:t>
      </w:r>
    </w:p>
    <w:p>
      <w:pPr>
        <w:pStyle w:val="7"/>
        <w:spacing w:before="0" w:beforeAutospacing="0" w:after="0" w:afterAutospacing="0" w:line="360" w:lineRule="auto"/>
        <w:ind w:firstLine="422" w:firstLineChars="200"/>
        <w:rPr>
          <w:color w:val="auto"/>
          <w:sz w:val="21"/>
          <w:szCs w:val="21"/>
          <w:highlight w:val="none"/>
        </w:rPr>
      </w:pPr>
      <w:bookmarkStart w:id="700" w:name="_Toc532375630"/>
      <w:bookmarkStart w:id="701" w:name="_Toc532377366"/>
      <w:r>
        <w:rPr>
          <w:rFonts w:hint="eastAsia"/>
          <w:color w:val="auto"/>
          <w:sz w:val="21"/>
          <w:szCs w:val="21"/>
          <w:highlight w:val="none"/>
        </w:rPr>
        <w:t>8.8 施工设备和临时设施</w:t>
      </w:r>
      <w:bookmarkEnd w:id="700"/>
      <w:bookmarkEnd w:id="701"/>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8.8.1 承包人提供的施工设备和临时设施</w:t>
      </w:r>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关于修建临时设施费用承担的约定：</w:t>
      </w:r>
      <w:r>
        <w:rPr>
          <w:rFonts w:hint="eastAsia" w:ascii="宋体" w:hAnsi="宋体"/>
          <w:color w:val="auto"/>
          <w:szCs w:val="21"/>
          <w:highlight w:val="none"/>
          <w:u w:val="single"/>
        </w:rPr>
        <w:t>由承包人承担</w:t>
      </w:r>
      <w:r>
        <w:rPr>
          <w:rFonts w:hint="eastAsia" w:ascii="宋体" w:hAnsi="宋体"/>
          <w:color w:val="auto"/>
          <w:szCs w:val="21"/>
          <w:highlight w:val="none"/>
        </w:rPr>
        <w:t>。</w:t>
      </w:r>
    </w:p>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702" w:name="_Toc351203641"/>
      <w:bookmarkStart w:id="703" w:name="_Toc532377367"/>
      <w:bookmarkStart w:id="704" w:name="_Toc532375631"/>
      <w:r>
        <w:rPr>
          <w:rFonts w:hint="eastAsia"/>
          <w:color w:val="auto"/>
          <w:kern w:val="2"/>
          <w:sz w:val="21"/>
          <w:szCs w:val="21"/>
          <w:highlight w:val="none"/>
        </w:rPr>
        <w:t>9</w:t>
      </w:r>
      <w:bookmarkEnd w:id="677"/>
      <w:bookmarkEnd w:id="678"/>
      <w:bookmarkEnd w:id="679"/>
      <w:bookmarkStart w:id="705" w:name="_Toc297216192"/>
      <w:bookmarkStart w:id="706" w:name="_Toc312677495"/>
      <w:bookmarkStart w:id="707" w:name="_Toc300934982"/>
      <w:bookmarkStart w:id="708" w:name="_Toc312678021"/>
      <w:bookmarkStart w:id="709" w:name="_Toc304295559"/>
      <w:bookmarkStart w:id="710" w:name="_Toc297123533"/>
      <w:bookmarkStart w:id="711" w:name="_Toc303539139"/>
      <w:r>
        <w:rPr>
          <w:rFonts w:hint="eastAsia"/>
          <w:color w:val="auto"/>
          <w:kern w:val="2"/>
          <w:sz w:val="21"/>
          <w:szCs w:val="21"/>
          <w:highlight w:val="none"/>
        </w:rPr>
        <w:t>. 试验与检验</w:t>
      </w:r>
      <w:bookmarkEnd w:id="702"/>
      <w:bookmarkEnd w:id="703"/>
      <w:bookmarkEnd w:id="704"/>
    </w:p>
    <w:bookmarkEnd w:id="705"/>
    <w:bookmarkEnd w:id="706"/>
    <w:bookmarkEnd w:id="707"/>
    <w:bookmarkEnd w:id="708"/>
    <w:bookmarkEnd w:id="709"/>
    <w:bookmarkEnd w:id="710"/>
    <w:bookmarkEnd w:id="711"/>
    <w:p>
      <w:pPr>
        <w:pStyle w:val="7"/>
        <w:spacing w:before="0" w:beforeAutospacing="0" w:after="0" w:afterAutospacing="0" w:line="360" w:lineRule="auto"/>
        <w:ind w:firstLine="422" w:firstLineChars="200"/>
        <w:rPr>
          <w:color w:val="auto"/>
          <w:sz w:val="21"/>
          <w:szCs w:val="21"/>
          <w:highlight w:val="none"/>
        </w:rPr>
      </w:pPr>
      <w:bookmarkStart w:id="712" w:name="_Toc532377368"/>
      <w:bookmarkStart w:id="713" w:name="_Toc532375632"/>
      <w:r>
        <w:rPr>
          <w:rFonts w:hint="eastAsia"/>
          <w:color w:val="auto"/>
          <w:sz w:val="21"/>
          <w:szCs w:val="21"/>
          <w:highlight w:val="none"/>
        </w:rPr>
        <w:t>9</w:t>
      </w:r>
      <w:bookmarkStart w:id="714" w:name="_Toc297123534"/>
      <w:bookmarkStart w:id="715" w:name="_Toc300934983"/>
      <w:bookmarkStart w:id="716" w:name="_Toc304295560"/>
      <w:bookmarkStart w:id="717" w:name="_Toc297216193"/>
      <w:bookmarkStart w:id="718" w:name="_Toc312677496"/>
      <w:bookmarkStart w:id="719" w:name="_Toc312678022"/>
      <w:bookmarkStart w:id="720" w:name="_Toc303539140"/>
      <w:r>
        <w:rPr>
          <w:rFonts w:hint="eastAsia"/>
          <w:color w:val="auto"/>
          <w:sz w:val="21"/>
          <w:szCs w:val="21"/>
          <w:highlight w:val="none"/>
        </w:rPr>
        <w:t>.1 试验设备与试验人员</w:t>
      </w:r>
      <w:bookmarkEnd w:id="712"/>
      <w:bookmarkEnd w:id="713"/>
    </w:p>
    <w:bookmarkEnd w:id="714"/>
    <w:bookmarkEnd w:id="715"/>
    <w:bookmarkEnd w:id="716"/>
    <w:bookmarkEnd w:id="717"/>
    <w:bookmarkEnd w:id="718"/>
    <w:bookmarkEnd w:id="719"/>
    <w:bookmarkEnd w:id="720"/>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w:t>
      </w:r>
      <w:bookmarkStart w:id="721" w:name="_Toc297216194"/>
      <w:bookmarkStart w:id="722" w:name="_Toc312677497"/>
      <w:bookmarkStart w:id="723" w:name="_Toc297123535"/>
      <w:bookmarkStart w:id="724" w:name="_Toc303539141"/>
      <w:bookmarkStart w:id="725" w:name="_Toc312678023"/>
      <w:bookmarkStart w:id="726" w:name="_Toc304295561"/>
      <w:bookmarkStart w:id="727" w:name="_Toc300934984"/>
      <w:bookmarkStart w:id="728" w:name="_Toc318581174"/>
      <w:r>
        <w:rPr>
          <w:rFonts w:hint="eastAsia" w:ascii="宋体" w:hAnsi="宋体"/>
          <w:color w:val="auto"/>
          <w:szCs w:val="21"/>
          <w:highlight w:val="none"/>
        </w:rPr>
        <w:t>.1.2 试验设备</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施工现场需要配置的试验场所：</w:t>
      </w:r>
      <w:bookmarkEnd w:id="721"/>
      <w:bookmarkEnd w:id="722"/>
      <w:bookmarkEnd w:id="723"/>
      <w:bookmarkEnd w:id="724"/>
      <w:bookmarkEnd w:id="725"/>
      <w:bookmarkEnd w:id="726"/>
      <w:bookmarkEnd w:id="727"/>
      <w:bookmarkStart w:id="729" w:name="_Toc312677498"/>
      <w:bookmarkStart w:id="730" w:name="_Toc297216195"/>
      <w:bookmarkStart w:id="731" w:name="_Toc300934985"/>
      <w:bookmarkStart w:id="732" w:name="_Toc312678024"/>
      <w:bookmarkStart w:id="733" w:name="_Toc303539142"/>
      <w:bookmarkStart w:id="734" w:name="_Toc304295562"/>
      <w:bookmarkStart w:id="735" w:name="_Toc297123536"/>
      <w:r>
        <w:rPr>
          <w:rFonts w:hint="eastAsia" w:ascii="宋体" w:hAnsi="宋体"/>
          <w:color w:val="auto"/>
          <w:szCs w:val="21"/>
          <w:highlight w:val="none"/>
          <w:u w:val="single"/>
        </w:rPr>
        <w:t>满足工程施工的需要</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施工现场需要配备的试验设备：</w:t>
      </w:r>
      <w:r>
        <w:rPr>
          <w:rFonts w:hint="eastAsia" w:ascii="宋体" w:hAnsi="宋体"/>
          <w:color w:val="auto"/>
          <w:szCs w:val="21"/>
          <w:highlight w:val="none"/>
          <w:u w:val="single"/>
        </w:rPr>
        <w:t>满足工程施工的需要</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施工现场需要具备的其他试验条件：</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736" w:name="_Toc532375633"/>
      <w:bookmarkStart w:id="737" w:name="_Toc532377369"/>
      <w:r>
        <w:rPr>
          <w:rFonts w:hint="eastAsia"/>
          <w:color w:val="auto"/>
          <w:sz w:val="21"/>
          <w:szCs w:val="21"/>
          <w:highlight w:val="none"/>
        </w:rPr>
        <w:t>9.4 现场工艺试验</w:t>
      </w:r>
      <w:bookmarkEnd w:id="736"/>
      <w:bookmarkEnd w:id="737"/>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本款补充9.4.1～9.4.</w:t>
      </w:r>
      <w:r>
        <w:rPr>
          <w:rFonts w:hint="eastAsia" w:ascii="宋体" w:hAnsi="宋体"/>
          <w:color w:val="auto"/>
          <w:szCs w:val="21"/>
          <w:highlight w:val="none"/>
          <w:lang w:val="en-US" w:eastAsia="zh-CN"/>
        </w:rPr>
        <w:t>6</w:t>
      </w:r>
      <w:r>
        <w:rPr>
          <w:rFonts w:hint="eastAsia" w:ascii="宋体" w:hAnsi="宋体"/>
          <w:color w:val="auto"/>
          <w:szCs w:val="21"/>
          <w:highlight w:val="none"/>
        </w:rPr>
        <w:t>项：</w:t>
      </w:r>
    </w:p>
    <w:bookmarkEnd w:id="728"/>
    <w:bookmarkEnd w:id="729"/>
    <w:bookmarkEnd w:id="730"/>
    <w:bookmarkEnd w:id="731"/>
    <w:bookmarkEnd w:id="732"/>
    <w:bookmarkEnd w:id="733"/>
    <w:bookmarkEnd w:id="734"/>
    <w:bookmarkEnd w:id="735"/>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9.4.1一般检验试验：</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根据《建设工程质量检测管理办法》（建设部令第141号）、关于实施《建设工程质量检测管理办法》有关问题的通知（建质〔2009〕25号）、《重庆市建设工程质量检测管理规定》（渝建发〔2009〕123号）、《关于加强我市建设工程质量检测委托管理的通知》（渝建〔2015〕420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格中。</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实施前，由发包人、承包人和第三方检测试验机构签订三方合同，第三方检测试验机构分别向承包人和发包人出具相应的检测试验报告。根据渝建〔2015〕420号文和有关施工规范、验收标准及施工图的规定或要求，所做的上述检测试验所需的试件取样、制作、送检，试件制作需要提供的材料以及检测、试验的配合工作由承包人负责完成并承担由此产生的所有相关费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9.4.2特殊检验试验：</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（1）除“施工措施的检测、试验”外，包括但不限于路基弯沉值试验、路面承载力试验、桥梁荷载试验、锚固试验、桩基检测、锚杆抗拔检验、锚索预应力检测、外墙面砖抗粘接试验、室内有害物质检测、门窗 （幕墙）三性检测、石材放射性检测、石膏板阻燃检测、挡土墙抗渗试验、保温层隔热检测等（根据项目实际情况增减）设计施工规范及其他法律法规规范规定的特殊检验试验项目，根据渝建〔2015〕420号文的规定，均由发包人委托相应的第三方检测试验机构进行检测，所发生的特殊检验试验费由发包人承担，不包含在合同价格中。</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发包人委托的第三方检测试验机构检测试验的试件所需的材料、取样、送检及相关配合工作由承包人负责完成并承担由此产生的所有相关费用。</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（2）施工措施的检测、试验：因施工措施需要而做的相关检测、试验由承包人负责实施，其费用由承包人承担。</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9.4.3专项检测：</w:t>
      </w:r>
      <w:r>
        <w:rPr>
          <w:rFonts w:hint="default" w:ascii="Times New Roman" w:hAnsi="Times New Roman" w:cs="Times New Roman"/>
          <w:color w:val="auto"/>
          <w:kern w:val="0"/>
          <w:szCs w:val="21"/>
          <w:highlight w:val="none"/>
          <w:u w:val="single"/>
        </w:rPr>
        <w:t>按工程实际需要发生时由承包人负责实施，其费用由承包人承担或由发包人支付给检测单位并在承包人工程款中扣除</w:t>
      </w:r>
      <w:r>
        <w:rPr>
          <w:rFonts w:hint="eastAsia" w:ascii="宋体" w:hAnsi="宋体"/>
          <w:color w:val="auto"/>
          <w:szCs w:val="21"/>
          <w:highlight w:val="none"/>
        </w:rPr>
        <w:t>。</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9.4.4若因承包人取样、制样、送检及相关配合不及时而导致工程的工期和费用增加，影响的工期不予延长，增加费用由承包人承担。</w:t>
      </w:r>
    </w:p>
    <w:p>
      <w:pPr>
        <w:tabs>
          <w:tab w:val="left" w:pos="711"/>
          <w:tab w:val="left" w:pos="2580"/>
        </w:tabs>
        <w:spacing w:line="360" w:lineRule="auto"/>
        <w:ind w:firstLine="420" w:firstLineChars="200"/>
        <w:jc w:val="left"/>
        <w:textAlignment w:val="baseline"/>
        <w:rPr>
          <w:rFonts w:hint="eastAsia" w:ascii="宋体" w:hAnsi="宋体"/>
          <w:color w:val="auto"/>
          <w:szCs w:val="21"/>
          <w:highlight w:val="none"/>
        </w:rPr>
      </w:pPr>
      <w:r>
        <w:rPr>
          <w:rFonts w:hint="eastAsia" w:ascii="宋体" w:hAnsi="宋体"/>
          <w:color w:val="auto"/>
          <w:szCs w:val="21"/>
          <w:highlight w:val="none"/>
        </w:rPr>
        <w:t>9.4.5检测试验不合格的项目，其缺陷处理和复测费用由承包人承担，工期不予延长。</w:t>
      </w:r>
    </w:p>
    <w:p>
      <w:pPr>
        <w:pStyle w:val="45"/>
        <w:ind w:left="0" w:leftChars="0" w:firstLine="420" w:firstLineChars="200"/>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9.4.6</w:t>
      </w:r>
      <w:r>
        <w:rPr>
          <w:rFonts w:hint="default" w:ascii="宋体" w:hAnsi="宋体" w:eastAsia="宋体" w:cs="Times New Roman"/>
          <w:color w:val="auto"/>
          <w:kern w:val="2"/>
          <w:sz w:val="21"/>
          <w:szCs w:val="21"/>
          <w:highlight w:val="none"/>
          <w:lang w:val="en-US" w:eastAsia="zh-CN" w:bidi="ar-SA"/>
        </w:rPr>
        <w:t>监测费</w:t>
      </w:r>
    </w:p>
    <w:p>
      <w:pPr>
        <w:tabs>
          <w:tab w:val="left" w:pos="711"/>
          <w:tab w:val="left" w:pos="2580"/>
        </w:tabs>
        <w:spacing w:line="360" w:lineRule="auto"/>
        <w:ind w:firstLine="420" w:firstLineChars="200"/>
        <w:jc w:val="left"/>
        <w:textAlignment w:val="baseline"/>
        <w:rPr>
          <w:rFonts w:hint="default" w:ascii="宋体" w:hAnsi="宋体"/>
          <w:color w:val="auto"/>
          <w:szCs w:val="21"/>
          <w:highlight w:val="none"/>
        </w:rPr>
      </w:pPr>
      <w:r>
        <w:rPr>
          <w:rFonts w:hint="eastAsia" w:ascii="宋体" w:hAnsi="宋体"/>
          <w:color w:val="auto"/>
          <w:szCs w:val="21"/>
          <w:highlight w:val="none"/>
          <w:lang w:val="en-US" w:eastAsia="zh-CN"/>
        </w:rPr>
        <w:t>承包人</w:t>
      </w:r>
      <w:r>
        <w:rPr>
          <w:rFonts w:hint="default" w:ascii="宋体" w:hAnsi="宋体"/>
          <w:color w:val="auto"/>
          <w:szCs w:val="21"/>
          <w:highlight w:val="none"/>
        </w:rPr>
        <w:t>应按照设计及相关规范、规定，做好危大项目、高边坡、深基坑、轨道和附近构筑物等的监测工作。相关费用由</w:t>
      </w:r>
      <w:r>
        <w:rPr>
          <w:rFonts w:hint="eastAsia" w:ascii="宋体" w:hAnsi="宋体"/>
          <w:color w:val="auto"/>
          <w:szCs w:val="21"/>
          <w:highlight w:val="none"/>
          <w:lang w:val="en-US" w:eastAsia="zh-CN"/>
        </w:rPr>
        <w:t>承包人</w:t>
      </w:r>
      <w:r>
        <w:rPr>
          <w:rFonts w:hint="default" w:ascii="宋体" w:hAnsi="宋体"/>
          <w:color w:val="auto"/>
          <w:szCs w:val="21"/>
          <w:highlight w:val="none"/>
        </w:rPr>
        <w:t>自行测算，其费用纳入投标报价中，不再另行计价。</w:t>
      </w:r>
    </w:p>
    <w:p>
      <w:pPr>
        <w:tabs>
          <w:tab w:val="left" w:pos="711"/>
          <w:tab w:val="left" w:pos="2580"/>
        </w:tabs>
        <w:spacing w:line="360" w:lineRule="auto"/>
        <w:ind w:firstLine="420" w:firstLineChars="200"/>
        <w:jc w:val="left"/>
        <w:textAlignment w:val="baseline"/>
        <w:rPr>
          <w:rFonts w:hint="default" w:ascii="宋体" w:hAnsi="宋体"/>
          <w:color w:val="auto"/>
          <w:szCs w:val="21"/>
          <w:highlight w:val="none"/>
        </w:rPr>
      </w:pPr>
      <w:r>
        <w:rPr>
          <w:rFonts w:hint="eastAsia" w:ascii="宋体" w:hAnsi="宋体"/>
          <w:color w:val="auto"/>
          <w:szCs w:val="21"/>
          <w:highlight w:val="none"/>
          <w:lang w:val="en-US" w:eastAsia="zh-CN"/>
        </w:rPr>
        <w:t>承包人</w:t>
      </w:r>
      <w:r>
        <w:rPr>
          <w:rFonts w:hint="default" w:ascii="宋体" w:hAnsi="宋体"/>
          <w:color w:val="auto"/>
          <w:szCs w:val="21"/>
          <w:highlight w:val="none"/>
        </w:rPr>
        <w:t>应根据招标资料及现场情况做施工方案，施工时</w:t>
      </w:r>
      <w:r>
        <w:rPr>
          <w:rFonts w:hint="eastAsia" w:ascii="宋体" w:hAnsi="宋体"/>
          <w:color w:val="auto"/>
          <w:szCs w:val="21"/>
          <w:highlight w:val="none"/>
          <w:lang w:val="en-US" w:eastAsia="zh-CN"/>
        </w:rPr>
        <w:t>承包人</w:t>
      </w:r>
      <w:r>
        <w:rPr>
          <w:rFonts w:hint="default" w:ascii="宋体" w:hAnsi="宋体"/>
          <w:color w:val="auto"/>
          <w:szCs w:val="21"/>
          <w:highlight w:val="none"/>
        </w:rPr>
        <w:t>委托有资质的第三方单位开展监测，应符合国家、重庆市、住建部的相关规定，并确保周边建筑及人员、本工程施工人员、机械等安全，其费用纳入投标报价中，不再另行计价。</w:t>
      </w:r>
    </w:p>
    <w:p>
      <w:pPr>
        <w:pStyle w:val="45"/>
        <w:ind w:left="0" w:leftChars="0" w:firstLine="420" w:firstLineChars="200"/>
        <w:rPr>
          <w:rFonts w:hint="default" w:ascii="Times New Roman" w:hAnsi="Times New Roman"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9.4.7</w:t>
      </w:r>
      <w:r>
        <w:rPr>
          <w:rFonts w:hint="default" w:ascii="Times New Roman" w:hAnsi="Times New Roman" w:eastAsia="宋体" w:cs="Times New Roman"/>
          <w:color w:val="auto"/>
          <w:kern w:val="2"/>
          <w:sz w:val="21"/>
          <w:szCs w:val="21"/>
          <w:highlight w:val="none"/>
          <w:lang w:val="en-US" w:eastAsia="zh-CN" w:bidi="ar-SA"/>
        </w:rPr>
        <w:t>按政策和合同约定的由承包人缴纳的各种保险费由</w:t>
      </w:r>
      <w:r>
        <w:rPr>
          <w:rFonts w:hint="eastAsia" w:ascii="Times New Roman" w:hAnsi="Times New Roman" w:eastAsia="宋体" w:cs="Times New Roman"/>
          <w:color w:val="auto"/>
          <w:kern w:val="2"/>
          <w:sz w:val="21"/>
          <w:szCs w:val="21"/>
          <w:highlight w:val="none"/>
          <w:lang w:val="en-US" w:eastAsia="zh-CN" w:bidi="ar-SA"/>
        </w:rPr>
        <w:t>承包</w:t>
      </w:r>
      <w:r>
        <w:rPr>
          <w:rFonts w:hint="default" w:ascii="Times New Roman" w:hAnsi="Times New Roman" w:eastAsia="宋体" w:cs="Times New Roman"/>
          <w:color w:val="auto"/>
          <w:kern w:val="2"/>
          <w:sz w:val="21"/>
          <w:szCs w:val="21"/>
          <w:highlight w:val="none"/>
          <w:lang w:val="en-US" w:eastAsia="zh-CN" w:bidi="ar-SA"/>
        </w:rPr>
        <w:t>人自行投保，保险费由承包人承担并支付，并根据自身实力和本工程情况，综合考虑在投标报价中，不再另行计价。</w:t>
      </w:r>
    </w:p>
    <w:p>
      <w:pPr>
        <w:pStyle w:val="45"/>
        <w:ind w:left="0" w:leftChars="0" w:firstLine="420" w:firstLineChars="200"/>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9.4.8</w:t>
      </w:r>
      <w:r>
        <w:rPr>
          <w:rFonts w:hint="default" w:ascii="Times New Roman" w:hAnsi="Times New Roman" w:eastAsia="宋体" w:cs="Times New Roman"/>
          <w:color w:val="auto"/>
          <w:kern w:val="2"/>
          <w:sz w:val="21"/>
          <w:szCs w:val="21"/>
          <w:highlight w:val="none"/>
          <w:lang w:val="en-US" w:eastAsia="zh-CN" w:bidi="ar-SA"/>
        </w:rPr>
        <w:t>本项目移交发包人前的永久通水、电、气、通讯等的表后线部分工作，由承包人实施。实施方案图纸须经监理人、发包人（或发包人委托的咨询机构）、以及水电气通讯的运营商审定，其费用纳入投标报价中，不再另行计价。</w:t>
      </w:r>
    </w:p>
    <w:bookmarkEnd w:id="574"/>
    <w:bookmarkEnd w:id="575"/>
    <w:bookmarkEnd w:id="576"/>
    <w:bookmarkEnd w:id="577"/>
    <w:bookmarkEnd w:id="578"/>
    <w:bookmarkEnd w:id="579"/>
    <w:bookmarkEnd w:id="580"/>
    <w:bookmarkEnd w:id="581"/>
    <w:bookmarkEnd w:id="582"/>
    <w:bookmarkEnd w:id="583"/>
    <w:bookmarkEnd w:id="584"/>
    <w:bookmarkEnd w:id="585"/>
    <w:bookmarkEnd w:id="586"/>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738" w:name="_Toc532375634"/>
      <w:bookmarkStart w:id="739" w:name="_Toc532377370"/>
      <w:bookmarkStart w:id="740" w:name="_Toc267251490"/>
      <w:bookmarkStart w:id="741" w:name="_Hlk524298112"/>
      <w:bookmarkStart w:id="742" w:name="_Toc267251482"/>
      <w:bookmarkStart w:id="743" w:name="_Toc267251488"/>
      <w:bookmarkStart w:id="744" w:name="_Toc267251485"/>
      <w:bookmarkStart w:id="745" w:name="_Toc267251489"/>
      <w:bookmarkStart w:id="746" w:name="_Toc267251484"/>
      <w:bookmarkStart w:id="747" w:name="_Toc267251486"/>
      <w:bookmarkStart w:id="748" w:name="_Toc267251497"/>
      <w:bookmarkStart w:id="749" w:name="_Toc267251498"/>
      <w:bookmarkStart w:id="750" w:name="_Toc267251506"/>
      <w:bookmarkStart w:id="751" w:name="_Toc267251495"/>
      <w:bookmarkStart w:id="752" w:name="_Toc267251499"/>
      <w:bookmarkStart w:id="753" w:name="_Toc267251493"/>
      <w:bookmarkStart w:id="754" w:name="_Toc267251496"/>
      <w:bookmarkStart w:id="755" w:name="_Toc267251503"/>
      <w:bookmarkStart w:id="756" w:name="_Toc267251492"/>
      <w:bookmarkStart w:id="757" w:name="_Toc267251504"/>
      <w:bookmarkStart w:id="758" w:name="_Toc267251508"/>
      <w:bookmarkStart w:id="759" w:name="_Toc267251494"/>
      <w:bookmarkStart w:id="760" w:name="_Toc267251501"/>
      <w:bookmarkStart w:id="761" w:name="_Toc267251511"/>
      <w:bookmarkStart w:id="762" w:name="_Toc267251515"/>
      <w:bookmarkStart w:id="763" w:name="_Toc267251513"/>
      <w:bookmarkStart w:id="764" w:name="_Toc267251514"/>
      <w:bookmarkStart w:id="765" w:name="_Toc267251502"/>
      <w:bookmarkStart w:id="766" w:name="_Toc267251509"/>
      <w:bookmarkStart w:id="767" w:name="_Toc267251491"/>
      <w:bookmarkStart w:id="768" w:name="_Toc267251510"/>
      <w:bookmarkStart w:id="769" w:name="_Toc267251507"/>
      <w:r>
        <w:rPr>
          <w:rFonts w:hint="eastAsia"/>
          <w:color w:val="auto"/>
          <w:kern w:val="2"/>
          <w:sz w:val="21"/>
          <w:szCs w:val="21"/>
          <w:highlight w:val="none"/>
        </w:rPr>
        <w:t>1</w:t>
      </w:r>
      <w:bookmarkStart w:id="770" w:name="_Toc292559398"/>
      <w:bookmarkStart w:id="771" w:name="_Toc297216199"/>
      <w:bookmarkStart w:id="772" w:name="_Toc296891021"/>
      <w:bookmarkStart w:id="773" w:name="_Toc296503193"/>
      <w:bookmarkStart w:id="774" w:name="_Toc296944532"/>
      <w:bookmarkStart w:id="775" w:name="_Toc297120493"/>
      <w:bookmarkStart w:id="776" w:name="_Toc297123540"/>
      <w:bookmarkStart w:id="777" w:name="_Toc297048379"/>
      <w:bookmarkStart w:id="778" w:name="_Toc303539146"/>
      <w:bookmarkStart w:id="779" w:name="_Toc296891233"/>
      <w:bookmarkStart w:id="780" w:name="_Toc304295566"/>
      <w:bookmarkStart w:id="781" w:name="_Toc300934989"/>
      <w:bookmarkStart w:id="782" w:name="_Toc292559903"/>
      <w:bookmarkStart w:id="783" w:name="_Toc296347192"/>
      <w:bookmarkStart w:id="784" w:name="_Toc296346694"/>
      <w:bookmarkStart w:id="785" w:name="_Toc312677499"/>
      <w:bookmarkStart w:id="786" w:name="_Toc312678025"/>
      <w:bookmarkStart w:id="787" w:name="_Toc267251433"/>
      <w:bookmarkStart w:id="788" w:name="_Toc267251439"/>
      <w:bookmarkStart w:id="789" w:name="_Toc267251437"/>
      <w:bookmarkStart w:id="790" w:name="_Toc267251440"/>
      <w:bookmarkStart w:id="791" w:name="_Toc267251441"/>
      <w:bookmarkStart w:id="792" w:name="_Toc267251435"/>
      <w:r>
        <w:rPr>
          <w:rFonts w:hint="eastAsia"/>
          <w:color w:val="auto"/>
          <w:kern w:val="2"/>
          <w:sz w:val="21"/>
          <w:szCs w:val="21"/>
          <w:highlight w:val="none"/>
        </w:rPr>
        <w:t>0. 变更</w:t>
      </w:r>
      <w:bookmarkEnd w:id="738"/>
      <w:bookmarkEnd w:id="73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bookmarkEnd w:id="785"/>
    <w:bookmarkEnd w:id="786"/>
    <w:p>
      <w:pPr>
        <w:pStyle w:val="7"/>
        <w:spacing w:before="0" w:beforeAutospacing="0" w:after="0" w:afterAutospacing="0" w:line="360" w:lineRule="auto"/>
        <w:ind w:firstLine="422" w:firstLineChars="200"/>
        <w:rPr>
          <w:color w:val="auto"/>
          <w:sz w:val="21"/>
          <w:szCs w:val="21"/>
          <w:highlight w:val="none"/>
        </w:rPr>
      </w:pPr>
      <w:bookmarkStart w:id="793" w:name="_Toc532377372"/>
      <w:bookmarkStart w:id="794" w:name="_Toc351203569"/>
      <w:bookmarkStart w:id="795" w:name="_Toc532375636"/>
      <w:bookmarkStart w:id="796" w:name="_Toc312677500"/>
      <w:bookmarkStart w:id="797" w:name="_Toc296503194"/>
      <w:bookmarkStart w:id="798" w:name="_Toc296891022"/>
      <w:bookmarkStart w:id="799" w:name="_Toc292559904"/>
      <w:bookmarkStart w:id="800" w:name="_Toc296347193"/>
      <w:bookmarkStart w:id="801" w:name="_Toc312678026"/>
      <w:bookmarkStart w:id="802" w:name="_Toc296346695"/>
      <w:bookmarkStart w:id="803" w:name="_Toc304295567"/>
      <w:bookmarkStart w:id="804" w:name="_Toc303539147"/>
      <w:bookmarkStart w:id="805" w:name="_Toc297216200"/>
      <w:bookmarkStart w:id="806" w:name="_Toc300934990"/>
      <w:bookmarkStart w:id="807" w:name="_Toc292559399"/>
      <w:bookmarkStart w:id="808" w:name="_Toc297048380"/>
      <w:bookmarkStart w:id="809" w:name="_Toc296944533"/>
      <w:bookmarkStart w:id="810" w:name="_Toc296891234"/>
      <w:bookmarkStart w:id="811" w:name="_Toc297120494"/>
      <w:bookmarkStart w:id="812" w:name="_Toc297123541"/>
      <w:r>
        <w:rPr>
          <w:rFonts w:hint="eastAsia"/>
          <w:color w:val="auto"/>
          <w:sz w:val="21"/>
          <w:szCs w:val="21"/>
          <w:highlight w:val="none"/>
        </w:rPr>
        <w:t>1</w:t>
      </w:r>
      <w:bookmarkStart w:id="813" w:name="_Toc296503085"/>
      <w:bookmarkStart w:id="814" w:name="_Toc337558789"/>
      <w:bookmarkStart w:id="815" w:name="_Toc296346586"/>
      <w:r>
        <w:rPr>
          <w:rFonts w:hint="eastAsia"/>
          <w:color w:val="auto"/>
          <w:sz w:val="21"/>
          <w:szCs w:val="21"/>
          <w:highlight w:val="none"/>
        </w:rPr>
        <w:t>0.2</w:t>
      </w:r>
      <w:bookmarkEnd w:id="793"/>
      <w:bookmarkEnd w:id="794"/>
      <w:bookmarkEnd w:id="795"/>
      <w:r>
        <w:rPr>
          <w:rFonts w:hint="default" w:ascii="Times New Roman" w:hAnsi="Times New Roman" w:cs="Times New Roman"/>
          <w:color w:val="auto"/>
          <w:kern w:val="0"/>
          <w:highlight w:val="none"/>
        </w:rPr>
        <w:t>承包人的合理化建议</w:t>
      </w:r>
    </w:p>
    <w:bookmarkEnd w:id="813"/>
    <w:bookmarkEnd w:id="814"/>
    <w:bookmarkEnd w:id="815"/>
    <w:p>
      <w:pPr>
        <w:widowControl/>
        <w:adjustRightInd w:val="0"/>
        <w:snapToGrid w:val="0"/>
        <w:spacing w:line="360" w:lineRule="auto"/>
        <w:ind w:firstLine="482"/>
        <w:rPr>
          <w:rFonts w:hint="default" w:ascii="Times New Roman" w:hAnsi="Times New Roman" w:cs="Times New Roman"/>
          <w:color w:val="auto"/>
          <w:kern w:val="0"/>
          <w:highlight w:val="none"/>
        </w:rPr>
      </w:pPr>
      <w:bookmarkStart w:id="816" w:name="_Toc532377373"/>
      <w:bookmarkStart w:id="817" w:name="_Toc532375637"/>
      <w:bookmarkStart w:id="818" w:name="_Toc351203570"/>
      <w:bookmarkStart w:id="819" w:name="_Hlk528928195"/>
      <w:r>
        <w:rPr>
          <w:rFonts w:hint="default" w:ascii="Times New Roman" w:hAnsi="Times New Roman" w:cs="Times New Roman"/>
          <w:color w:val="auto"/>
          <w:kern w:val="0"/>
          <w:highlight w:val="none"/>
        </w:rPr>
        <w:t>1</w:t>
      </w:r>
      <w:r>
        <w:rPr>
          <w:rFonts w:hint="eastAsia" w:ascii="Times New Roman" w:hAnsi="Times New Roman" w:cs="Times New Roman"/>
          <w:color w:val="auto"/>
          <w:kern w:val="0"/>
          <w:highlight w:val="none"/>
          <w:lang w:val="en-US" w:eastAsia="zh-CN"/>
        </w:rPr>
        <w:t>0</w:t>
      </w:r>
      <w:r>
        <w:rPr>
          <w:rFonts w:hint="default" w:ascii="Times New Roman" w:hAnsi="Times New Roman" w:cs="Times New Roman"/>
          <w:color w:val="auto"/>
          <w:kern w:val="0"/>
          <w:highlight w:val="none"/>
        </w:rPr>
        <w:t>.2.1承包人可以以单位名义向发包人提交书面合理化建议，详细说明建议的内容、理由，以及该建议对项目的工期、投资、质量、安全、运营管理、生态环境等的影响，客观反映项目合同变更的必要性和可行性，包括：</w:t>
      </w:r>
      <w:r>
        <w:rPr>
          <w:rFonts w:hint="default" w:ascii="Times New Roman" w:hAnsi="Times New Roman" w:cs="Times New Roman"/>
          <w:color w:val="auto"/>
          <w:kern w:val="0"/>
          <w:highlight w:val="none"/>
          <w:u w:val="single"/>
        </w:rPr>
        <w:t>缩短工期，降低发包人的工程、施工、维护、营运的费用，提高竣工工程的效率或价值，给发包人带来的长远利益和其他利益。发包人接到此类建议后，可以选择：不采纳/采纳/要求补充进一步资料的书面通知</w:t>
      </w:r>
      <w:r>
        <w:rPr>
          <w:rFonts w:hint="default" w:ascii="Times New Roman" w:hAnsi="Times New Roman" w:cs="Times New Roman"/>
          <w:color w:val="auto"/>
          <w:kern w:val="0"/>
          <w:highlight w:val="none"/>
        </w:rPr>
        <w:t>。</w:t>
      </w:r>
    </w:p>
    <w:p>
      <w:pPr>
        <w:widowControl/>
        <w:autoSpaceDE w:val="0"/>
        <w:adjustRightInd w:val="0"/>
        <w:snapToGrid w:val="0"/>
        <w:spacing w:line="360" w:lineRule="auto"/>
        <w:ind w:firstLine="482"/>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如果发包人对承包人已实施的项目在发出重大设计变更之前要求承包人提出一份建议，则承包人应尽快提出包括但不限于以下内容：</w:t>
      </w:r>
    </w:p>
    <w:p>
      <w:pPr>
        <w:widowControl/>
        <w:autoSpaceDE w:val="0"/>
        <w:adjustRightInd w:val="0"/>
        <w:snapToGrid w:val="0"/>
        <w:spacing w:line="360" w:lineRule="auto"/>
        <w:ind w:firstLine="482"/>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（1）对所提方案和（或）待做工作及其实施计划的说明；</w:t>
      </w:r>
    </w:p>
    <w:p>
      <w:pPr>
        <w:widowControl/>
        <w:autoSpaceDE w:val="0"/>
        <w:adjustRightInd w:val="0"/>
        <w:snapToGrid w:val="0"/>
        <w:spacing w:line="360" w:lineRule="auto"/>
        <w:ind w:firstLine="482"/>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（2）承包人按照对工程进度计划进行必要修改的建议；</w:t>
      </w:r>
    </w:p>
    <w:p>
      <w:pPr>
        <w:widowControl/>
        <w:autoSpaceDE w:val="0"/>
        <w:adjustRightInd w:val="0"/>
        <w:snapToGrid w:val="0"/>
        <w:spacing w:line="360" w:lineRule="auto"/>
        <w:ind w:firstLine="482"/>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（3）承包人发生较大返工损失增加费用的建议。</w:t>
      </w:r>
    </w:p>
    <w:p>
      <w:pPr>
        <w:widowControl/>
        <w:adjustRightInd w:val="0"/>
        <w:snapToGrid w:val="0"/>
        <w:spacing w:line="360" w:lineRule="auto"/>
        <w:ind w:firstLine="482"/>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发包人在收到上述建议书后，应尽快给予批准、否决或提出意见。</w:t>
      </w:r>
    </w:p>
    <w:p>
      <w:pPr>
        <w:widowControl/>
        <w:adjustRightInd w:val="0"/>
        <w:snapToGrid w:val="0"/>
        <w:spacing w:line="360" w:lineRule="auto"/>
        <w:ind w:firstLine="482"/>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1</w:t>
      </w:r>
      <w:r>
        <w:rPr>
          <w:rFonts w:hint="eastAsia" w:ascii="Times New Roman" w:hAnsi="Times New Roman" w:cs="Times New Roman"/>
          <w:color w:val="auto"/>
          <w:kern w:val="0"/>
          <w:highlight w:val="none"/>
          <w:lang w:val="en-US" w:eastAsia="zh-CN"/>
        </w:rPr>
        <w:t>0</w:t>
      </w:r>
      <w:r>
        <w:rPr>
          <w:rFonts w:hint="default" w:ascii="Times New Roman" w:hAnsi="Times New Roman" w:cs="Times New Roman"/>
          <w:color w:val="auto"/>
          <w:kern w:val="0"/>
          <w:highlight w:val="none"/>
        </w:rPr>
        <w:t>2.2监理人应在收到承包人提交的合理化建议后</w:t>
      </w:r>
      <w:r>
        <w:rPr>
          <w:rFonts w:hint="default" w:ascii="Times New Roman" w:hAnsi="Times New Roman" w:cs="Times New Roman"/>
          <w:color w:val="auto"/>
          <w:kern w:val="0"/>
          <w:highlight w:val="none"/>
          <w:u w:val="single"/>
        </w:rPr>
        <w:t>7</w:t>
      </w:r>
      <w:r>
        <w:rPr>
          <w:rFonts w:hint="default" w:ascii="Times New Roman" w:hAnsi="Times New Roman" w:cs="Times New Roman"/>
          <w:color w:val="auto"/>
          <w:kern w:val="0"/>
          <w:highlight w:val="none"/>
        </w:rPr>
        <w:t>日内审查完毕并报送发包人，发现其中存在技术上的缺陷，应通知承包人修改。发包人应在收到监理人报送的合理化建议后</w:t>
      </w:r>
      <w:r>
        <w:rPr>
          <w:rFonts w:hint="default" w:ascii="Times New Roman" w:hAnsi="Times New Roman" w:cs="Times New Roman"/>
          <w:color w:val="auto"/>
          <w:kern w:val="0"/>
          <w:highlight w:val="none"/>
          <w:u w:val="single"/>
        </w:rPr>
        <w:t>7</w:t>
      </w:r>
      <w:r>
        <w:rPr>
          <w:rFonts w:hint="default" w:ascii="Times New Roman" w:hAnsi="Times New Roman" w:cs="Times New Roman"/>
          <w:color w:val="auto"/>
          <w:kern w:val="0"/>
          <w:highlight w:val="none"/>
        </w:rPr>
        <w:t>日内审批完毕。合理化建议经发包人批准的，监理人应及时发出变更指示，由此引起的合同价格调整按照执行。发包人不同意变更的，监理人应书面通知承包人。</w:t>
      </w:r>
    </w:p>
    <w:p>
      <w:pPr>
        <w:widowControl/>
        <w:adjustRightInd w:val="0"/>
        <w:snapToGrid w:val="0"/>
        <w:spacing w:line="360" w:lineRule="auto"/>
        <w:ind w:firstLine="482"/>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1</w:t>
      </w:r>
      <w:r>
        <w:rPr>
          <w:rFonts w:hint="eastAsia" w:ascii="Times New Roman" w:hAnsi="Times New Roman" w:cs="Times New Roman"/>
          <w:color w:val="auto"/>
          <w:kern w:val="0"/>
          <w:highlight w:val="none"/>
          <w:lang w:val="en-US" w:eastAsia="zh-CN"/>
        </w:rPr>
        <w:t>0</w:t>
      </w:r>
      <w:r>
        <w:rPr>
          <w:rFonts w:hint="default" w:ascii="Times New Roman" w:hAnsi="Times New Roman" w:cs="Times New Roman"/>
          <w:color w:val="auto"/>
          <w:kern w:val="0"/>
          <w:highlight w:val="none"/>
        </w:rPr>
        <w:t>.2.3承包人提出的合理化变更建议的利益分享约定：</w:t>
      </w:r>
      <w:r>
        <w:rPr>
          <w:rFonts w:hint="default" w:ascii="Times New Roman" w:hAnsi="Times New Roman" w:cs="Times New Roman"/>
          <w:color w:val="auto"/>
          <w:kern w:val="0"/>
          <w:highlight w:val="none"/>
          <w:u w:val="single"/>
        </w:rPr>
        <w:t>发包人分享合理化变更建议带来的合同价格降低、工期缩短、工程经济效益提高等实惠，经济效益奖励不采用</w:t>
      </w:r>
      <w:r>
        <w:rPr>
          <w:rFonts w:hint="default" w:ascii="Times New Roman" w:hAnsi="Times New Roman" w:cs="Times New Roman"/>
          <w:color w:val="auto"/>
          <w:kern w:val="0"/>
          <w:highlight w:val="none"/>
        </w:rPr>
        <w:t>。</w:t>
      </w:r>
    </w:p>
    <w:p>
      <w:pPr>
        <w:pStyle w:val="7"/>
        <w:spacing w:before="0" w:beforeAutospacing="0" w:after="0" w:afterAutospacing="0" w:line="360" w:lineRule="auto"/>
        <w:ind w:firstLine="422" w:firstLineChars="200"/>
        <w:rPr>
          <w:color w:val="auto"/>
          <w:sz w:val="21"/>
          <w:szCs w:val="21"/>
          <w:highlight w:val="none"/>
        </w:rPr>
      </w:pPr>
      <w:r>
        <w:rPr>
          <w:rFonts w:hint="eastAsia"/>
          <w:color w:val="auto"/>
          <w:sz w:val="21"/>
          <w:szCs w:val="21"/>
          <w:highlight w:val="none"/>
        </w:rPr>
        <w:t>1</w:t>
      </w:r>
      <w:bookmarkStart w:id="820" w:name="_Toc337558790"/>
      <w:bookmarkStart w:id="821" w:name="_Toc296503086"/>
      <w:bookmarkStart w:id="822" w:name="_Toc296346587"/>
      <w:r>
        <w:rPr>
          <w:rFonts w:hint="eastAsia"/>
          <w:color w:val="auto"/>
          <w:sz w:val="21"/>
          <w:szCs w:val="21"/>
          <w:highlight w:val="none"/>
        </w:rPr>
        <w:t>0.3变更程序</w:t>
      </w:r>
      <w:bookmarkEnd w:id="816"/>
      <w:bookmarkEnd w:id="817"/>
    </w:p>
    <w:bookmarkEnd w:id="820"/>
    <w:bookmarkEnd w:id="821"/>
    <w:bookmarkEnd w:id="822"/>
    <w:p>
      <w:pPr>
        <w:autoSpaceDE w:val="0"/>
        <w:autoSpaceDN w:val="0"/>
        <w:spacing w:line="360" w:lineRule="auto"/>
        <w:ind w:firstLine="420" w:firstLineChars="200"/>
        <w:jc w:val="left"/>
        <w:rPr>
          <w:rFonts w:hint="eastAsia"/>
          <w:color w:val="auto"/>
          <w:highlight w:val="none"/>
          <w:lang w:eastAsia="zh-CN"/>
        </w:rPr>
      </w:pPr>
      <w:bookmarkStart w:id="823" w:name="_Hlk524353972"/>
      <w:r>
        <w:rPr>
          <w:rFonts w:hint="eastAsia" w:ascii="宋体" w:hAnsi="宋体"/>
          <w:color w:val="auto"/>
          <w:szCs w:val="21"/>
          <w:highlight w:val="none"/>
        </w:rPr>
        <w:t>10.3.3 变更执行</w:t>
      </w:r>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一般设计变更：承包人收到监理人下达的变更指示后，应按照监理人下达的变更指示执行，并书面说明实施该变更指示对合同价格和工期的影响，按照第10.4.1项〔变更估价原则〕约定执行。</w:t>
      </w:r>
    </w:p>
    <w:p>
      <w:pPr>
        <w:autoSpaceDE w:val="0"/>
        <w:autoSpaceDN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重大设计变更：需经设计人、监理人和发包人三方签名认可并报相关行业部门审查同意后实施。</w:t>
      </w:r>
    </w:p>
    <w:p>
      <w:pPr>
        <w:autoSpaceDE w:val="0"/>
        <w:autoSpaceDN w:val="0"/>
        <w:spacing w:line="360" w:lineRule="auto"/>
        <w:ind w:firstLine="420" w:firstLineChars="200"/>
        <w:jc w:val="left"/>
        <w:rPr>
          <w:rFonts w:hint="default" w:ascii="Times New Roman" w:hAnsi="Times New Roman" w:cs="Times New Roman"/>
          <w:color w:val="auto"/>
          <w:szCs w:val="21"/>
          <w:highlight w:val="none"/>
        </w:rPr>
      </w:pPr>
      <w:r>
        <w:rPr>
          <w:rFonts w:hint="default" w:ascii="宋体" w:hAnsi="宋体" w:eastAsia="宋体" w:cs="Times New Roman"/>
          <w:color w:val="auto"/>
          <w:szCs w:val="21"/>
          <w:highlight w:val="none"/>
        </w:rPr>
        <w:t>其它变更</w:t>
      </w:r>
      <w:r>
        <w:rPr>
          <w:rFonts w:hint="eastAsia" w:ascii="宋体" w:hAnsi="宋体" w:eastAsia="宋体" w:cs="Times New Roman"/>
          <w:color w:val="auto"/>
          <w:szCs w:val="21"/>
          <w:highlight w:val="none"/>
          <w:lang w:eastAsia="zh-CN"/>
        </w:rPr>
        <w:t>：</w:t>
      </w:r>
      <w:r>
        <w:rPr>
          <w:rFonts w:hint="default" w:ascii="Times New Roman" w:hAnsi="Times New Roman" w:cs="Times New Roman"/>
          <w:color w:val="auto"/>
          <w:szCs w:val="21"/>
          <w:highlight w:val="none"/>
        </w:rPr>
        <w:t>双方根据本工程特点，商定的其它变更范围：</w:t>
      </w:r>
    </w:p>
    <w:p>
      <w:pPr>
        <w:snapToGrid w:val="0"/>
        <w:spacing w:line="360" w:lineRule="auto"/>
        <w:ind w:firstLine="315" w:firstLineChars="150"/>
        <w:rPr>
          <w:rFonts w:hint="default" w:ascii="Times New Roman" w:hAnsi="Times New Roman" w:cs="Times New Roman"/>
          <w:b w:val="0"/>
          <w:bCs w:val="0"/>
          <w:color w:val="auto"/>
          <w:kern w:val="0"/>
          <w:szCs w:val="21"/>
          <w:highlight w:val="none"/>
        </w:rPr>
      </w:pPr>
      <w:r>
        <w:rPr>
          <w:rFonts w:hint="default" w:ascii="Times New Roman" w:hAnsi="Times New Roman" w:cs="Times New Roman"/>
          <w:b w:val="0"/>
          <w:bCs w:val="0"/>
          <w:color w:val="auto"/>
          <w:szCs w:val="21"/>
          <w:highlight w:val="none"/>
        </w:rPr>
        <w:t>（1）</w:t>
      </w:r>
      <w:r>
        <w:rPr>
          <w:rFonts w:hint="eastAsia" w:ascii="宋体" w:hAnsi="宋体" w:eastAsia="宋体" w:cs="Times New Roman"/>
          <w:b w:val="0"/>
          <w:bCs w:val="0"/>
          <w:color w:val="auto"/>
          <w:szCs w:val="21"/>
          <w:highlight w:val="none"/>
          <w:lang w:val="en-US" w:eastAsia="zh-CN"/>
        </w:rPr>
        <w:t>有效工程变更：</w:t>
      </w:r>
      <w:r>
        <w:rPr>
          <w:rFonts w:hint="default" w:ascii="宋体" w:hAnsi="宋体" w:eastAsia="宋体" w:cs="Times New Roman"/>
          <w:b w:val="0"/>
          <w:bCs w:val="0"/>
          <w:color w:val="auto"/>
          <w:szCs w:val="21"/>
          <w:highlight w:val="none"/>
        </w:rPr>
        <w:t>在项目实施过程中，对</w:t>
      </w:r>
      <w:r>
        <w:rPr>
          <w:rFonts w:hint="default" w:ascii="宋体" w:hAnsi="宋体" w:eastAsia="宋体" w:cs="Times New Roman"/>
          <w:b w:val="0"/>
          <w:bCs w:val="0"/>
          <w:color w:val="auto"/>
          <w:szCs w:val="21"/>
          <w:highlight w:val="none"/>
          <w:lang w:val="en-US" w:eastAsia="zh-CN"/>
        </w:rPr>
        <w:t>发包</w:t>
      </w:r>
      <w:r>
        <w:rPr>
          <w:rFonts w:hint="default" w:ascii="宋体" w:hAnsi="宋体" w:eastAsia="宋体" w:cs="Times New Roman"/>
          <w:b w:val="0"/>
          <w:bCs w:val="0"/>
          <w:color w:val="auto"/>
          <w:szCs w:val="21"/>
          <w:highlight w:val="none"/>
        </w:rPr>
        <w:t>人提出增加范围、提高或降低建设标准（规模、能力、工艺、技术要求及工期）、因不可抗力因素、政策、法律发生变化或非承包人的原因导致的设计变更、材料变更及委托人提出的工程变更才被视为有效变更。若有效变更内容与</w:t>
      </w:r>
      <w:r>
        <w:rPr>
          <w:rFonts w:hint="eastAsia" w:ascii="宋体" w:hAnsi="宋体" w:eastAsia="宋体" w:cs="Times New Roman"/>
          <w:b w:val="0"/>
          <w:bCs w:val="0"/>
          <w:color w:val="auto"/>
          <w:szCs w:val="21"/>
          <w:highlight w:val="none"/>
          <w:lang w:eastAsia="zh-CN"/>
        </w:rPr>
        <w:t>预算清单及图纸</w:t>
      </w:r>
      <w:r>
        <w:rPr>
          <w:rFonts w:hint="default" w:ascii="宋体" w:hAnsi="宋体" w:eastAsia="宋体" w:cs="Times New Roman"/>
          <w:b w:val="0"/>
          <w:bCs w:val="0"/>
          <w:color w:val="auto"/>
          <w:szCs w:val="21"/>
          <w:highlight w:val="none"/>
        </w:rPr>
        <w:t>内容存在重复，发包人有权对包干价中的重复部分在有效变更中进行品迭调整。</w:t>
      </w:r>
    </w:p>
    <w:p>
      <w:pPr>
        <w:snapToGrid w:val="0"/>
        <w:spacing w:line="360" w:lineRule="auto"/>
        <w:ind w:firstLine="420" w:firstLineChars="200"/>
        <w:rPr>
          <w:rFonts w:hint="default" w:ascii="宋体" w:hAnsi="宋体" w:eastAsia="宋体" w:cs="Times New Roman"/>
          <w:color w:val="auto"/>
          <w:szCs w:val="21"/>
          <w:highlight w:val="none"/>
        </w:rPr>
      </w:pPr>
      <w:r>
        <w:rPr>
          <w:rFonts w:hint="default" w:ascii="Times New Roman" w:hAnsi="Times New Roman" w:cs="Times New Roman"/>
          <w:b w:val="0"/>
          <w:bCs w:val="0"/>
          <w:color w:val="auto"/>
          <w:kern w:val="0"/>
          <w:szCs w:val="21"/>
          <w:highlight w:val="none"/>
        </w:rPr>
        <w:t>（2）</w:t>
      </w:r>
      <w:r>
        <w:rPr>
          <w:rFonts w:hint="default" w:ascii="宋体" w:hAnsi="宋体" w:eastAsia="宋体" w:cs="Times New Roman"/>
          <w:b w:val="0"/>
          <w:bCs w:val="0"/>
          <w:color w:val="auto"/>
          <w:szCs w:val="21"/>
          <w:highlight w:val="none"/>
        </w:rPr>
        <w:t>无效工程变更：在项目实施过程中，在图纸不变的情况下，由于</w:t>
      </w:r>
      <w:r>
        <w:rPr>
          <w:rFonts w:hint="default" w:ascii="宋体" w:hAnsi="宋体" w:eastAsia="宋体" w:cs="Times New Roman"/>
          <w:b w:val="0"/>
          <w:bCs w:val="0"/>
          <w:color w:val="auto"/>
          <w:szCs w:val="21"/>
          <w:highlight w:val="none"/>
          <w:lang w:val="en-US" w:eastAsia="zh-CN"/>
        </w:rPr>
        <w:t>预算</w:t>
      </w:r>
      <w:r>
        <w:rPr>
          <w:rFonts w:hint="default" w:ascii="宋体" w:hAnsi="宋体" w:eastAsia="宋体" w:cs="Times New Roman"/>
          <w:b w:val="0"/>
          <w:bCs w:val="0"/>
          <w:color w:val="auto"/>
          <w:szCs w:val="21"/>
          <w:highlight w:val="none"/>
        </w:rPr>
        <w:t>清单工程量和实际完成工程量不一致导致的工程量变化；实际施工工艺与</w:t>
      </w:r>
      <w:r>
        <w:rPr>
          <w:rFonts w:hint="default" w:ascii="宋体" w:hAnsi="宋体" w:eastAsia="宋体" w:cs="Times New Roman"/>
          <w:b w:val="0"/>
          <w:bCs w:val="0"/>
          <w:color w:val="auto"/>
          <w:szCs w:val="21"/>
          <w:highlight w:val="none"/>
          <w:lang w:val="en-US" w:eastAsia="zh-CN"/>
        </w:rPr>
        <w:t>预算</w:t>
      </w:r>
      <w:r>
        <w:rPr>
          <w:rFonts w:hint="default" w:ascii="宋体" w:hAnsi="宋体" w:eastAsia="宋体" w:cs="Times New Roman"/>
          <w:b w:val="0"/>
          <w:bCs w:val="0"/>
          <w:color w:val="auto"/>
          <w:szCs w:val="21"/>
          <w:highlight w:val="none"/>
        </w:rPr>
        <w:t>清单描述工艺不一致等因</w:t>
      </w:r>
      <w:r>
        <w:rPr>
          <w:rFonts w:hint="eastAsia" w:ascii="宋体" w:hAnsi="宋体" w:eastAsia="宋体" w:cs="Times New Roman"/>
          <w:b w:val="0"/>
          <w:bCs w:val="0"/>
          <w:color w:val="auto"/>
          <w:szCs w:val="21"/>
          <w:highlight w:val="none"/>
          <w:lang w:eastAsia="zh-CN"/>
        </w:rPr>
        <w:t>预算</w:t>
      </w:r>
      <w:r>
        <w:rPr>
          <w:rFonts w:hint="default" w:ascii="宋体" w:hAnsi="宋体" w:eastAsia="宋体" w:cs="Times New Roman"/>
          <w:b w:val="0"/>
          <w:bCs w:val="0"/>
          <w:color w:val="auto"/>
          <w:szCs w:val="21"/>
          <w:highlight w:val="none"/>
        </w:rPr>
        <w:t>清单原因造成的工程量变化和价格变化；未经委托人同意的变更均视为无效变</w:t>
      </w:r>
      <w:r>
        <w:rPr>
          <w:rFonts w:hint="default" w:ascii="宋体" w:hAnsi="宋体" w:eastAsia="宋体" w:cs="Times New Roman"/>
          <w:color w:val="auto"/>
          <w:szCs w:val="21"/>
          <w:highlight w:val="none"/>
        </w:rPr>
        <w:t>更，无效变更承包人均须完成，由此引起的工程变更价款由承包人自行承担，发包人将不予支付。</w:t>
      </w:r>
    </w:p>
    <w:p>
      <w:pPr>
        <w:pStyle w:val="45"/>
        <w:ind w:left="0" w:leftChars="0" w:firstLine="420" w:firstLineChars="20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Unicode MS" w:cs="Times New Roman"/>
          <w:b w:val="0"/>
          <w:bCs w:val="0"/>
          <w:color w:val="auto"/>
          <w:kern w:val="0"/>
          <w:sz w:val="21"/>
          <w:szCs w:val="21"/>
          <w:highlight w:val="none"/>
          <w:u w:val="none" w:color="000000"/>
          <w:lang w:val="en-US" w:eastAsia="zh-CN" w:bidi="ar-SA"/>
        </w:rPr>
        <w:t>（3）</w:t>
      </w:r>
      <w:r>
        <w:rPr>
          <w:rFonts w:hint="default" w:ascii="Times New Roman" w:hAnsi="Times New Roman" w:eastAsia="宋体" w:cs="Times New Roman"/>
          <w:color w:val="auto"/>
          <w:kern w:val="2"/>
          <w:sz w:val="21"/>
          <w:szCs w:val="21"/>
          <w:highlight w:val="none"/>
          <w:lang w:val="en-US" w:eastAsia="zh-CN" w:bidi="ar-SA"/>
        </w:rPr>
        <w:t>在项目实施过程中，发包人提出减少实施工程内容、降低建设标准、或发现承包人未按批准的施工方案实施，对减少部分的工程造价（含税金及相应规费）发包人将从结算价中扣除。</w:t>
      </w:r>
    </w:p>
    <w:p>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10.3.3 项增加以下内容：</w:t>
      </w:r>
    </w:p>
    <w:p>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合同变更提出后，应当首先由发包人组织相关单位、专家进行论证。经论证确需变更的，发包人按照《重庆市政府投资项目合同变更管理暂行办法》规定的程序自行决策或者报批；经论证不需要变更的，继续按合同执行。</w:t>
      </w:r>
    </w:p>
    <w:p>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项目的勘察设计、实施内容等作较大变更的，应当按照规定的程序报原审批部门审批；变更导致总投资超概的，应当报原投资概算核定部门核定。</w:t>
      </w:r>
    </w:p>
    <w:p>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项目管理人员变更的，应当经发包人领导班子集体决策同意，并将变更信息推送给行业主管部门。变更后的项目管理人员应当符合招标文件和行业主管部门的相关规定。</w:t>
      </w:r>
    </w:p>
    <w:p>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因人工、原材料市场价格发生大幅度变化导致的合同总价变更，由发包人与承包人按照合同进行变更，并将变更信息推送给行业主管部门。</w:t>
      </w:r>
    </w:p>
    <w:p>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项目实施内容无变更，因不可抗力导致的工期变更，由发包人领导班子集体决策同意，并将变更信息推送给行业主管部门；因项目实施内容变更导致的工期变更，与项目实施内容变更一并办理。</w:t>
      </w:r>
    </w:p>
    <w:p>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项目合同变更后，增加的实施内容达到依法必须招标的规模标准的，增加的部分应当依法通过招标选择承包单位。</w:t>
      </w:r>
    </w:p>
    <w:bookmarkEnd w:id="818"/>
    <w:bookmarkEnd w:id="819"/>
    <w:bookmarkEnd w:id="823"/>
    <w:p>
      <w:pPr>
        <w:pStyle w:val="7"/>
        <w:spacing w:before="0" w:beforeAutospacing="0" w:after="0" w:afterAutospacing="0" w:line="360" w:lineRule="auto"/>
        <w:ind w:firstLine="422" w:firstLineChars="200"/>
        <w:rPr>
          <w:color w:val="auto"/>
          <w:sz w:val="21"/>
          <w:szCs w:val="21"/>
          <w:highlight w:val="none"/>
        </w:rPr>
      </w:pPr>
      <w:bookmarkStart w:id="824" w:name="_Toc532377374"/>
      <w:bookmarkStart w:id="825" w:name="_Toc532375638"/>
      <w:r>
        <w:rPr>
          <w:rFonts w:hint="eastAsia"/>
          <w:color w:val="auto"/>
          <w:sz w:val="21"/>
          <w:szCs w:val="21"/>
          <w:highlight w:val="none"/>
        </w:rPr>
        <w:t>10.4 变更估价</w:t>
      </w:r>
      <w:bookmarkEnd w:id="824"/>
      <w:bookmarkEnd w:id="825"/>
    </w:p>
    <w:p>
      <w:pPr>
        <w:spacing w:line="360" w:lineRule="auto"/>
        <w:ind w:firstLine="420" w:firstLineChars="200"/>
        <w:jc w:val="left"/>
        <w:rPr>
          <w:rFonts w:ascii="宋体" w:hAnsi="宋体"/>
          <w:color w:val="auto"/>
          <w:szCs w:val="21"/>
          <w:highlight w:val="none"/>
        </w:rPr>
      </w:pPr>
      <w:bookmarkStart w:id="826" w:name="_Hlk524296629"/>
      <w:r>
        <w:rPr>
          <w:rFonts w:hint="eastAsia" w:ascii="宋体" w:hAnsi="宋体"/>
          <w:color w:val="auto"/>
          <w:szCs w:val="21"/>
          <w:highlight w:val="none"/>
        </w:rPr>
        <w:t>10.4.1 变更估价原则</w:t>
      </w:r>
    </w:p>
    <w:bookmarkEnd w:id="826"/>
    <w:p>
      <w:pPr>
        <w:spacing w:line="360" w:lineRule="auto"/>
        <w:ind w:firstLine="420" w:firstLineChars="200"/>
        <w:jc w:val="left"/>
        <w:rPr>
          <w:rFonts w:hint="default" w:ascii="宋体" w:hAnsi="宋体" w:eastAsia="宋体" w:cs="Times New Roman"/>
          <w:color w:val="auto"/>
          <w:szCs w:val="21"/>
          <w:highlight w:val="none"/>
        </w:rPr>
      </w:pPr>
      <w:bookmarkStart w:id="827" w:name="_Toc532375639"/>
      <w:bookmarkStart w:id="828" w:name="_Toc532377375"/>
      <w:r>
        <w:rPr>
          <w:rFonts w:hint="default" w:ascii="宋体" w:hAnsi="宋体" w:eastAsia="宋体" w:cs="Times New Roman"/>
          <w:color w:val="auto"/>
          <w:szCs w:val="21"/>
          <w:highlight w:val="none"/>
        </w:rPr>
        <w:t>工程有效变更、新增项目价款计价办法按[竣工结算原则]相应条款执行。</w:t>
      </w:r>
    </w:p>
    <w:p>
      <w:pPr>
        <w:widowControl/>
        <w:adjustRightInd w:val="0"/>
        <w:snapToGrid w:val="0"/>
        <w:spacing w:line="360" w:lineRule="auto"/>
        <w:ind w:firstLine="480"/>
        <w:rPr>
          <w:rFonts w:hint="default" w:ascii="Times New Roman" w:hAnsi="Times New Roman" w:cs="Times New Roman"/>
          <w:color w:val="auto"/>
          <w:kern w:val="0"/>
          <w:highlight w:val="none"/>
        </w:rPr>
      </w:pPr>
      <w:r>
        <w:rPr>
          <w:rFonts w:hint="eastAsia" w:ascii="宋体" w:hAnsi="宋体" w:eastAsia="宋体" w:cs="Times New Roman"/>
          <w:color w:val="auto"/>
          <w:szCs w:val="21"/>
          <w:highlight w:val="none"/>
          <w:lang w:val="en-US" w:eastAsia="zh-CN"/>
        </w:rPr>
        <w:t>10.4.2</w:t>
      </w:r>
      <w:r>
        <w:rPr>
          <w:rFonts w:hint="default" w:ascii="Times New Roman" w:hAnsi="Times New Roman" w:cs="Times New Roman"/>
          <w:color w:val="auto"/>
          <w:kern w:val="0"/>
          <w:highlight w:val="none"/>
        </w:rPr>
        <w:t>工程变更引起施工方案改变并使措施项目发生变化时，承包人提出调整措施项目费的，应事前将拟实施的方案提交监理人审核报发包人确认，并应详细说明与原方案措施项目相比的变化情况。拟实施的方案经发承包双方确认后执行，并应按照下列规定调整措施项目费：</w:t>
      </w:r>
    </w:p>
    <w:p>
      <w:pPr>
        <w:widowControl/>
        <w:adjustRightInd w:val="0"/>
        <w:snapToGrid w:val="0"/>
        <w:spacing w:line="360" w:lineRule="auto"/>
        <w:ind w:firstLine="48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（1）安全文明施工费应</w:t>
      </w:r>
      <w:r>
        <w:rPr>
          <w:rFonts w:hint="eastAsia" w:ascii="Times New Roman" w:hAnsi="Times New Roman" w:cs="Times New Roman"/>
          <w:color w:val="auto"/>
          <w:kern w:val="0"/>
          <w:highlight w:val="none"/>
        </w:rPr>
        <w:t>按《重庆市建设工程费用定额》（CQFYDE-2018）规定及相关部门审定的金额结算，不得浮动</w:t>
      </w:r>
      <w:r>
        <w:rPr>
          <w:rFonts w:hint="default" w:ascii="Times New Roman" w:hAnsi="Times New Roman" w:cs="Times New Roman"/>
          <w:color w:val="auto"/>
          <w:kern w:val="0"/>
          <w:highlight w:val="none"/>
        </w:rPr>
        <w:t>；</w:t>
      </w:r>
    </w:p>
    <w:p>
      <w:pPr>
        <w:widowControl/>
        <w:adjustRightInd w:val="0"/>
        <w:snapToGrid w:val="0"/>
        <w:spacing w:line="360" w:lineRule="auto"/>
        <w:ind w:firstLine="48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（2）措施项目费</w:t>
      </w:r>
      <w:r>
        <w:rPr>
          <w:rFonts w:hint="eastAsia" w:ascii="Times New Roman" w:hAnsi="Times New Roman" w:cs="Times New Roman"/>
          <w:color w:val="auto"/>
          <w:kern w:val="0"/>
          <w:highlight w:val="none"/>
        </w:rPr>
        <w:t>（除安全文明施工费外）</w:t>
      </w:r>
      <w:r>
        <w:rPr>
          <w:rFonts w:hint="eastAsia" w:ascii="Times New Roman" w:hAnsi="Times New Roman" w:cs="Times New Roman"/>
          <w:color w:val="auto"/>
          <w:kern w:val="0"/>
          <w:highlight w:val="none"/>
          <w:lang w:eastAsia="zh-CN"/>
        </w:rPr>
        <w:t>：</w:t>
      </w:r>
    </w:p>
    <w:p>
      <w:pPr>
        <w:widowControl/>
        <w:adjustRightInd w:val="0"/>
        <w:snapToGrid w:val="0"/>
        <w:spacing w:line="360" w:lineRule="auto"/>
        <w:ind w:firstLine="480"/>
        <w:rPr>
          <w:rFonts w:hint="eastAsia" w:ascii="Times New Roman" w:hAnsi="Times New Roman" w:cs="Times New Roman"/>
          <w:color w:val="auto"/>
          <w:kern w:val="0"/>
          <w:highlight w:val="none"/>
        </w:rPr>
      </w:pPr>
      <w:r>
        <w:rPr>
          <w:rFonts w:hint="eastAsia" w:ascii="Times New Roman" w:hAnsi="Times New Roman" w:cs="Times New Roman"/>
          <w:color w:val="auto"/>
          <w:kern w:val="0"/>
          <w:highlight w:val="none"/>
        </w:rPr>
        <w:t>A、施工组织措施项目费：无论因设计变更或施工工艺变化等任何因素而引起实际措施费的变化，均按</w:t>
      </w:r>
      <w:r>
        <w:rPr>
          <w:rFonts w:hint="eastAsia" w:ascii="Times New Roman" w:hAnsi="Times New Roman" w:cs="Times New Roman"/>
          <w:color w:val="auto"/>
          <w:kern w:val="0"/>
          <w:highlight w:val="none"/>
          <w:lang w:eastAsia="zh-CN"/>
        </w:rPr>
        <w:t>经开投资集团成本管理部预算审核</w:t>
      </w:r>
      <w:r>
        <w:rPr>
          <w:rFonts w:hint="eastAsia" w:ascii="Times New Roman" w:hAnsi="Times New Roman" w:cs="Times New Roman"/>
          <w:color w:val="auto"/>
          <w:kern w:val="0"/>
          <w:highlight w:val="none"/>
        </w:rPr>
        <w:t>的施工组织措施项目费×（1-工程费下浮比例）进行结算。</w:t>
      </w:r>
    </w:p>
    <w:p>
      <w:pPr>
        <w:widowControl/>
        <w:adjustRightInd w:val="0"/>
        <w:snapToGrid w:val="0"/>
        <w:spacing w:line="360" w:lineRule="auto"/>
        <w:ind w:firstLine="480"/>
        <w:rPr>
          <w:rFonts w:hint="default"/>
          <w:color w:val="auto"/>
          <w:highlight w:val="none"/>
        </w:rPr>
      </w:pPr>
      <w:r>
        <w:rPr>
          <w:rFonts w:hint="eastAsia" w:ascii="Times New Roman" w:hAnsi="Times New Roman" w:cs="Times New Roman"/>
          <w:color w:val="auto"/>
          <w:kern w:val="0"/>
          <w:highlight w:val="none"/>
        </w:rPr>
        <w:t>B、施工技术措施项目费：无论因设计变更或施工工艺变化等任何因素而引起实际措施费的变化，均按</w:t>
      </w:r>
      <w:r>
        <w:rPr>
          <w:rFonts w:hint="eastAsia" w:ascii="Times New Roman" w:hAnsi="Times New Roman" w:cs="Times New Roman"/>
          <w:color w:val="auto"/>
          <w:kern w:val="0"/>
          <w:highlight w:val="none"/>
          <w:lang w:eastAsia="zh-CN"/>
        </w:rPr>
        <w:t>经开投资集团成本管理部预算审核</w:t>
      </w:r>
      <w:r>
        <w:rPr>
          <w:rFonts w:hint="eastAsia" w:ascii="Times New Roman" w:hAnsi="Times New Roman" w:cs="Times New Roman"/>
          <w:color w:val="auto"/>
          <w:kern w:val="0"/>
          <w:highlight w:val="none"/>
        </w:rPr>
        <w:t>的施工技术措施项目费×（1-工程费下浮比例）进行结算。</w:t>
      </w:r>
    </w:p>
    <w:p>
      <w:pPr>
        <w:pStyle w:val="23"/>
        <w:spacing w:line="360" w:lineRule="auto"/>
        <w:ind w:firstLine="420" w:firstLineChars="20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（3）如果承包人未事前将拟实施的方案提交给发包人确认，则应视为工程变更不引起措施项目费的调整或承包人放弃调整措施项目费的权利。</w:t>
      </w:r>
    </w:p>
    <w:p>
      <w:pPr>
        <w:spacing w:line="360" w:lineRule="auto"/>
        <w:ind w:firstLine="420" w:firstLineChars="200"/>
        <w:jc w:val="left"/>
        <w:rPr>
          <w:rFonts w:hint="default" w:ascii="宋体" w:hAnsi="宋体" w:eastAsia="宋体" w:cs="Times New Roman"/>
          <w:color w:val="auto"/>
          <w:szCs w:val="21"/>
          <w:highlight w:val="none"/>
        </w:rPr>
      </w:pPr>
      <w:r>
        <w:rPr>
          <w:rFonts w:hint="default"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0.4.3</w:t>
      </w:r>
      <w:r>
        <w:rPr>
          <w:rFonts w:hint="default" w:ascii="宋体" w:hAnsi="宋体" w:eastAsia="宋体" w:cs="Times New Roman"/>
          <w:color w:val="auto"/>
          <w:szCs w:val="21"/>
          <w:highlight w:val="none"/>
        </w:rPr>
        <w:t xml:space="preserve"> 变更估价程序</w:t>
      </w:r>
    </w:p>
    <w:p>
      <w:pPr>
        <w:spacing w:line="360" w:lineRule="auto"/>
        <w:ind w:firstLine="420" w:firstLineChars="200"/>
        <w:jc w:val="left"/>
        <w:rPr>
          <w:rFonts w:hint="default" w:ascii="宋体" w:hAnsi="宋体" w:eastAsia="宋体" w:cs="Times New Roman"/>
          <w:color w:val="auto"/>
          <w:szCs w:val="21"/>
          <w:highlight w:val="none"/>
        </w:rPr>
      </w:pPr>
      <w:r>
        <w:rPr>
          <w:rFonts w:hint="default" w:ascii="宋体" w:hAnsi="宋体" w:eastAsia="宋体" w:cs="Times New Roman"/>
          <w:color w:val="auto"/>
          <w:szCs w:val="21"/>
          <w:highlight w:val="none"/>
        </w:rPr>
        <w:t>承包人应在收到变更指示后14天内，向工程师提交变更估价申请。工程师应在收到承包人提交的变更估价申请后7天内审查完毕并报送发包人，工程师对变更估价申请有异议，通知承包人修改后重新提交。发包人应在承包人提交变更估价申请后14天内审批完毕。发包人逾期未完成审批或未提出异议的，视为认可承包人提交的变更估价申请。</w:t>
      </w:r>
    </w:p>
    <w:p>
      <w:pPr>
        <w:spacing w:line="360" w:lineRule="auto"/>
        <w:ind w:firstLine="420" w:firstLineChars="200"/>
        <w:jc w:val="left"/>
        <w:rPr>
          <w:rFonts w:hint="default" w:ascii="宋体" w:hAnsi="宋体" w:eastAsia="宋体" w:cs="Times New Roman"/>
          <w:color w:val="auto"/>
          <w:szCs w:val="21"/>
          <w:highlight w:val="none"/>
        </w:rPr>
      </w:pPr>
      <w:r>
        <w:rPr>
          <w:rFonts w:hint="default" w:ascii="宋体" w:hAnsi="宋体" w:eastAsia="宋体" w:cs="Times New Roman"/>
          <w:color w:val="auto"/>
          <w:szCs w:val="21"/>
          <w:highlight w:val="none"/>
        </w:rPr>
        <w:t>因变更引起的价格调整应计入最近一期的进度款中支付。</w:t>
      </w:r>
    </w:p>
    <w:p>
      <w:pPr>
        <w:spacing w:line="360" w:lineRule="auto"/>
        <w:ind w:firstLine="420" w:firstLineChars="200"/>
        <w:jc w:val="left"/>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10.4.4</w:t>
      </w:r>
      <w:r>
        <w:rPr>
          <w:rFonts w:hint="default" w:ascii="宋体" w:hAnsi="宋体" w:eastAsia="宋体" w:cs="Times New Roman"/>
          <w:color w:val="auto"/>
          <w:szCs w:val="21"/>
          <w:highlight w:val="none"/>
        </w:rPr>
        <w:t>变更引起的工期调整</w:t>
      </w:r>
    </w:p>
    <w:p>
      <w:pPr>
        <w:spacing w:line="360" w:lineRule="auto"/>
        <w:ind w:firstLine="420" w:firstLineChars="200"/>
        <w:jc w:val="left"/>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rPr>
        <w:t>因变更引起工期变化的，合同当事人均可要求调整合同工期，由合同当事人按照第3.6款[商定或确定]并参考工程所在地的工期定额标准确定增减工期天数。</w:t>
      </w:r>
    </w:p>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27"/>
    <w:bookmarkEnd w:id="828"/>
    <w:p>
      <w:pPr>
        <w:pStyle w:val="7"/>
        <w:spacing w:before="0" w:beforeAutospacing="0" w:after="0" w:afterAutospacing="0" w:line="360" w:lineRule="auto"/>
        <w:ind w:firstLine="422" w:firstLineChars="200"/>
        <w:rPr>
          <w:color w:val="auto"/>
          <w:sz w:val="21"/>
          <w:szCs w:val="21"/>
          <w:highlight w:val="none"/>
        </w:rPr>
      </w:pPr>
      <w:bookmarkStart w:id="829" w:name="_Toc532375640"/>
      <w:bookmarkStart w:id="830" w:name="_Toc532377376"/>
      <w:r>
        <w:rPr>
          <w:rFonts w:hint="eastAsia"/>
          <w:color w:val="auto"/>
          <w:sz w:val="21"/>
          <w:szCs w:val="21"/>
          <w:highlight w:val="none"/>
        </w:rPr>
        <w:t>1</w:t>
      </w:r>
      <w:bookmarkStart w:id="831" w:name="_Toc296503199"/>
      <w:bookmarkStart w:id="832" w:name="_Toc296346700"/>
      <w:bookmarkStart w:id="833" w:name="_Toc292559909"/>
      <w:bookmarkStart w:id="834" w:name="_Toc296944538"/>
      <w:bookmarkStart w:id="835" w:name="_Toc300934997"/>
      <w:bookmarkStart w:id="836" w:name="_Toc304295574"/>
      <w:bookmarkStart w:id="837" w:name="_Toc297120499"/>
      <w:bookmarkStart w:id="838" w:name="_Toc296347198"/>
      <w:bookmarkStart w:id="839" w:name="_Toc297048385"/>
      <w:bookmarkStart w:id="840" w:name="_Toc312678033"/>
      <w:bookmarkStart w:id="841" w:name="_Toc303539154"/>
      <w:bookmarkStart w:id="842" w:name="_Toc296891027"/>
      <w:bookmarkStart w:id="843" w:name="_Toc292559404"/>
      <w:bookmarkStart w:id="844" w:name="_Toc297123548"/>
      <w:bookmarkStart w:id="845" w:name="_Toc312677507"/>
      <w:bookmarkStart w:id="846" w:name="_Toc297216207"/>
      <w:bookmarkStart w:id="847" w:name="_Toc296891239"/>
      <w:r>
        <w:rPr>
          <w:rFonts w:hint="eastAsia"/>
          <w:color w:val="auto"/>
          <w:sz w:val="21"/>
          <w:szCs w:val="21"/>
          <w:highlight w:val="none"/>
        </w:rPr>
        <w:t>0.7 暂估价</w:t>
      </w:r>
      <w:bookmarkEnd w:id="829"/>
      <w:bookmarkEnd w:id="830"/>
    </w:p>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专业工程暂估价：</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单项合同估算价在国家相关法律法规规定必须招标规模以下的，符合可以不招标相关规定的，由承包人采取交钥匙工程模式实施，发包人配合。承包人（需在允许资质范围内）或承包人委托的有资质的专业分包单位实施。费用估价按照第10.4.1项〔变更估价原则〕执行，承包人申报，经监理人、跟审单位、发包人共同审定。审定后根据承包人签订的相关合同（需经监理人、跟审单位、发包人共同确认）约定，由承包人申报，随进度款按与相关单位签订的合同约定一并支付。</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单项合同暂估价在国家相关法律法规规定必须招标规模以上的，需依法必须招标的，由承包人、发包人共同招标确定。</w:t>
      </w:r>
    </w:p>
    <w:p>
      <w:pPr>
        <w:pStyle w:val="7"/>
        <w:spacing w:before="0" w:beforeAutospacing="0" w:after="0" w:afterAutospacing="0" w:line="360" w:lineRule="auto"/>
        <w:ind w:firstLine="422" w:firstLineChars="200"/>
        <w:rPr>
          <w:color w:val="auto"/>
          <w:sz w:val="21"/>
          <w:szCs w:val="21"/>
          <w:highlight w:val="none"/>
        </w:rPr>
      </w:pPr>
      <w:bookmarkStart w:id="848" w:name="_Toc532375641"/>
      <w:bookmarkStart w:id="849" w:name="_Toc532377377"/>
      <w:r>
        <w:rPr>
          <w:rFonts w:hint="eastAsia"/>
          <w:color w:val="auto"/>
          <w:sz w:val="21"/>
          <w:szCs w:val="21"/>
          <w:highlight w:val="none"/>
        </w:rPr>
        <w:t>10.8 暂列金额</w:t>
      </w:r>
      <w:bookmarkEnd w:id="848"/>
      <w:bookmarkEnd w:id="849"/>
    </w:p>
    <w:p>
      <w:pPr>
        <w:autoSpaceDE w:val="0"/>
        <w:autoSpaceDN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合同当事人关于暂列金额使用的约定：</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widowControl/>
        <w:adjustRightInd w:val="0"/>
        <w:snapToGrid w:val="0"/>
        <w:spacing w:line="30" w:lineRule="atLeast"/>
        <w:ind w:firstLine="422" w:firstLineChars="200"/>
        <w:rPr>
          <w:rFonts w:hint="default"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10.9</w:t>
      </w:r>
      <w:r>
        <w:rPr>
          <w:rFonts w:hint="default" w:ascii="宋体" w:hAnsi="宋体" w:eastAsia="宋体" w:cs="宋体"/>
          <w:b/>
          <w:bCs/>
          <w:color w:val="auto"/>
          <w:kern w:val="0"/>
          <w:sz w:val="21"/>
          <w:szCs w:val="21"/>
          <w:highlight w:val="none"/>
          <w:lang w:val="en-US" w:eastAsia="zh-CN" w:bidi="ar-SA"/>
        </w:rPr>
        <w:t>计日工</w:t>
      </w:r>
    </w:p>
    <w:p>
      <w:pPr>
        <w:widowControl/>
        <w:adjustRightInd w:val="0"/>
        <w:snapToGrid w:val="0"/>
        <w:spacing w:line="30" w:lineRule="atLeast"/>
        <w:ind w:firstLine="420" w:firstLineChars="20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计价原则：</w:t>
      </w:r>
      <w:r>
        <w:rPr>
          <w:rFonts w:hint="default" w:ascii="Times New Roman" w:hAnsi="Times New Roman" w:cs="Times New Roman"/>
          <w:color w:val="auto"/>
          <w:kern w:val="0"/>
          <w:highlight w:val="none"/>
          <w:u w:val="single"/>
        </w:rPr>
        <w:t>按《重庆市建设工程费用定额》（CQFYDE-2018）。</w:t>
      </w:r>
    </w:p>
    <w:p>
      <w:pPr>
        <w:pStyle w:val="45"/>
        <w:rPr>
          <w:color w:val="auto"/>
          <w:highlight w:val="none"/>
        </w:rPr>
      </w:pP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850" w:name="_Toc532375642"/>
      <w:bookmarkStart w:id="851" w:name="_Toc532377378"/>
      <w:bookmarkStart w:id="852" w:name="_Toc351203643"/>
      <w:r>
        <w:rPr>
          <w:rFonts w:hint="eastAsia"/>
          <w:color w:val="auto"/>
          <w:kern w:val="2"/>
          <w:sz w:val="21"/>
          <w:szCs w:val="21"/>
          <w:highlight w:val="none"/>
        </w:rPr>
        <w:t>11. 价格调整</w:t>
      </w:r>
      <w:bookmarkEnd w:id="850"/>
      <w:bookmarkEnd w:id="851"/>
      <w:bookmarkEnd w:id="852"/>
    </w:p>
    <w:p>
      <w:pPr>
        <w:pStyle w:val="7"/>
        <w:spacing w:before="0" w:beforeAutospacing="0" w:after="0" w:afterAutospacing="0" w:line="360" w:lineRule="auto"/>
        <w:ind w:firstLine="422" w:firstLineChars="200"/>
        <w:rPr>
          <w:color w:val="auto"/>
          <w:sz w:val="21"/>
          <w:szCs w:val="21"/>
          <w:highlight w:val="none"/>
        </w:rPr>
      </w:pPr>
      <w:bookmarkStart w:id="853" w:name="_Toc532375643"/>
      <w:bookmarkStart w:id="854" w:name="_Toc532377379"/>
      <w:bookmarkStart w:id="855" w:name="_Toc296347200"/>
      <w:bookmarkStart w:id="856" w:name="_Toc297120501"/>
      <w:bookmarkStart w:id="857" w:name="_Toc297123550"/>
      <w:bookmarkStart w:id="858" w:name="_Toc292559406"/>
      <w:bookmarkStart w:id="859" w:name="_Toc292559911"/>
      <w:bookmarkStart w:id="860" w:name="_Toc303539157"/>
      <w:bookmarkStart w:id="861" w:name="_Toc300935000"/>
      <w:bookmarkStart w:id="862" w:name="_Toc296891029"/>
      <w:bookmarkStart w:id="863" w:name="_Toc296346702"/>
      <w:bookmarkStart w:id="864" w:name="_Toc304295577"/>
      <w:bookmarkStart w:id="865" w:name="_Toc312678039"/>
      <w:bookmarkStart w:id="866" w:name="_Toc296891241"/>
      <w:bookmarkStart w:id="867" w:name="_Toc297048387"/>
      <w:bookmarkStart w:id="868" w:name="_Toc296944540"/>
      <w:bookmarkStart w:id="869" w:name="_Toc297216209"/>
      <w:bookmarkStart w:id="870" w:name="_Toc296503201"/>
      <w:r>
        <w:rPr>
          <w:rFonts w:hint="eastAsia"/>
          <w:color w:val="auto"/>
          <w:sz w:val="21"/>
          <w:szCs w:val="21"/>
          <w:highlight w:val="none"/>
        </w:rPr>
        <w:t>11.1 市场价格波动引起的调整</w:t>
      </w:r>
      <w:bookmarkEnd w:id="853"/>
      <w:bookmarkEnd w:id="854"/>
    </w:p>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p>
      <w:pPr>
        <w:spacing w:line="360" w:lineRule="auto"/>
        <w:ind w:firstLine="420" w:firstLineChars="200"/>
        <w:jc w:val="left"/>
        <w:rPr>
          <w:rFonts w:hint="eastAsia" w:ascii="宋体" w:hAnsi="宋体"/>
          <w:szCs w:val="21"/>
        </w:rPr>
      </w:pPr>
      <w:bookmarkStart w:id="871" w:name="_Toc466913513"/>
      <w:bookmarkStart w:id="872" w:name="_Toc467689641"/>
      <w:bookmarkStart w:id="873" w:name="_Toc466913963"/>
      <w:bookmarkStart w:id="874" w:name="_Toc466911545"/>
      <w:r>
        <w:rPr>
          <w:rFonts w:hint="eastAsia" w:ascii="宋体" w:hAnsi="宋体"/>
          <w:szCs w:val="21"/>
        </w:rPr>
        <w:t>市场价格波动是否调整合同价格的约定：</w:t>
      </w:r>
      <w:r>
        <w:rPr>
          <w:rFonts w:hint="eastAsia" w:ascii="宋体" w:hAnsi="宋体"/>
          <w:szCs w:val="21"/>
          <w:u w:val="single"/>
        </w:rPr>
        <w:t>合同工期一年以上（含一年），且市场价格波动幅度符合第11.1.1项〔人工费价差调整办法〕和（或）第11.1.2项〔材料费价差调整办法〕约定的，按第11.1.1项〔人工费价差调整办法〕和（或）第11.1.2项〔材料费价差调整办法〕约定调整合同价格；第11.1.1项〔人工费价差调整办法〕和（或）第11.1.2项〔材料费价差调整办法〕约定的调差条件之外的市场价格波动风险不调整合同价格，风险费用由承包人自行考虑后纳入签约合同价格中，包干使用</w:t>
      </w:r>
      <w:r>
        <w:rPr>
          <w:rFonts w:hint="eastAsia" w:ascii="宋体" w:hAnsi="宋体"/>
          <w:szCs w:val="21"/>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因市场价格波动调整合同价格，采用以下</w:t>
      </w:r>
      <w:r>
        <w:rPr>
          <w:rFonts w:hint="eastAsia" w:ascii="宋体" w:hAnsi="宋体"/>
          <w:color w:val="auto"/>
          <w:szCs w:val="21"/>
          <w:highlight w:val="none"/>
          <w:u w:val="single"/>
        </w:rPr>
        <w:t>第</w:t>
      </w:r>
      <w:r>
        <w:rPr>
          <w:rFonts w:hint="eastAsia" w:ascii="宋体" w:hAnsi="宋体"/>
          <w:color w:val="auto"/>
          <w:szCs w:val="21"/>
          <w:highlight w:val="none"/>
          <w:u w:val="single"/>
          <w:lang w:val="en-US" w:eastAsia="zh-CN"/>
        </w:rPr>
        <w:t>3</w:t>
      </w:r>
      <w:r>
        <w:rPr>
          <w:rFonts w:hint="eastAsia" w:ascii="宋体" w:hAnsi="宋体"/>
          <w:color w:val="auto"/>
          <w:szCs w:val="21"/>
          <w:highlight w:val="none"/>
          <w:u w:val="single"/>
        </w:rPr>
        <w:t>种</w:t>
      </w:r>
      <w:r>
        <w:rPr>
          <w:rFonts w:hint="eastAsia" w:ascii="宋体" w:hAnsi="宋体"/>
          <w:color w:val="auto"/>
          <w:szCs w:val="21"/>
          <w:highlight w:val="none"/>
        </w:rPr>
        <w:t>方式对合同价格进行调整：</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第1种方式：采用价格指数进行价格调整。</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关于各可调因子、定值和变值权重，以及基本价格指数及其来源的约定：</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第2种方式：采用造价信息进行价格调整，调整方法如下：</w:t>
      </w:r>
    </w:p>
    <w:p>
      <w:pPr>
        <w:spacing w:line="360" w:lineRule="auto"/>
        <w:ind w:firstLine="420" w:firstLineChars="200"/>
        <w:jc w:val="left"/>
        <w:rPr>
          <w:rFonts w:hint="eastAsia" w:ascii="宋体" w:hAnsi="宋体" w:eastAsia="宋体"/>
          <w:color w:val="auto"/>
          <w:szCs w:val="21"/>
          <w:highlight w:val="none"/>
          <w:lang w:eastAsia="zh-CN"/>
        </w:rPr>
      </w:pPr>
      <w:bookmarkStart w:id="875" w:name="_Hlk524296901"/>
      <w:r>
        <w:rPr>
          <w:rFonts w:hint="eastAsia" w:ascii="宋体" w:hAnsi="宋体"/>
          <w:color w:val="auto"/>
          <w:szCs w:val="21"/>
          <w:highlight w:val="none"/>
        </w:rPr>
        <w:t>11.1.1人工费价差调整办法</w:t>
      </w:r>
      <w:bookmarkEnd w:id="871"/>
      <w:bookmarkEnd w:id="872"/>
      <w:bookmarkEnd w:id="873"/>
      <w:bookmarkEnd w:id="874"/>
      <w:r>
        <w:rPr>
          <w:rFonts w:hint="eastAsia" w:ascii="宋体" w:hAnsi="宋体"/>
          <w:color w:val="auto"/>
          <w:szCs w:val="21"/>
          <w:highlight w:val="none"/>
          <w:lang w:eastAsia="zh-CN"/>
        </w:rPr>
        <w:t>：</w:t>
      </w:r>
      <w:r>
        <w:rPr>
          <w:rFonts w:hint="default" w:ascii="Times New Roman" w:hAnsi="Times New Roman" w:cs="Times New Roman"/>
          <w:color w:val="auto"/>
          <w:kern w:val="0"/>
          <w:highlight w:val="none"/>
        </w:rPr>
        <w:t>不调整</w:t>
      </w:r>
      <w:r>
        <w:rPr>
          <w:rFonts w:hint="eastAsia" w:ascii="Times New Roman" w:hAnsi="Times New Roman" w:cs="Times New Roman"/>
          <w:color w:val="auto"/>
          <w:kern w:val="0"/>
          <w:highlight w:val="none"/>
          <w:lang w:eastAsia="zh-CN"/>
        </w:rPr>
        <w:t>。</w:t>
      </w:r>
    </w:p>
    <w:bookmarkEnd w:id="875"/>
    <w:p>
      <w:pPr>
        <w:spacing w:line="360" w:lineRule="auto"/>
        <w:ind w:firstLine="420" w:firstLineChars="200"/>
        <w:jc w:val="left"/>
        <w:rPr>
          <w:rFonts w:hint="eastAsia" w:ascii="宋体" w:hAnsi="宋体" w:eastAsia="宋体"/>
          <w:color w:val="auto"/>
          <w:szCs w:val="21"/>
          <w:highlight w:val="none"/>
          <w:lang w:eastAsia="zh-CN"/>
        </w:rPr>
      </w:pPr>
      <w:bookmarkStart w:id="876" w:name="_Toc467689644"/>
      <w:bookmarkStart w:id="877" w:name="_Toc466913966"/>
      <w:bookmarkStart w:id="878" w:name="_Toc466913516"/>
      <w:bookmarkStart w:id="879" w:name="_Toc466911548"/>
      <w:bookmarkStart w:id="880" w:name="_Hlk524297138"/>
      <w:r>
        <w:rPr>
          <w:rFonts w:hint="eastAsia" w:ascii="宋体" w:hAnsi="宋体"/>
          <w:color w:val="auto"/>
          <w:szCs w:val="21"/>
          <w:highlight w:val="none"/>
        </w:rPr>
        <w:t>11.1.2 材料费价差调整</w:t>
      </w:r>
      <w:bookmarkEnd w:id="876"/>
      <w:bookmarkEnd w:id="877"/>
      <w:bookmarkEnd w:id="878"/>
      <w:bookmarkEnd w:id="879"/>
      <w:r>
        <w:rPr>
          <w:rFonts w:hint="eastAsia" w:ascii="宋体" w:hAnsi="宋体"/>
          <w:color w:val="auto"/>
          <w:szCs w:val="21"/>
          <w:highlight w:val="none"/>
        </w:rPr>
        <w:t>办法</w:t>
      </w:r>
      <w:r>
        <w:rPr>
          <w:rFonts w:hint="eastAsia" w:ascii="宋体" w:hAnsi="宋体"/>
          <w:color w:val="auto"/>
          <w:szCs w:val="21"/>
          <w:highlight w:val="none"/>
          <w:lang w:eastAsia="zh-CN"/>
        </w:rPr>
        <w:t>：</w:t>
      </w:r>
      <w:r>
        <w:rPr>
          <w:rFonts w:hint="default" w:ascii="Times New Roman" w:hAnsi="Times New Roman" w:cs="Times New Roman"/>
          <w:color w:val="auto"/>
          <w:kern w:val="0"/>
          <w:highlight w:val="none"/>
        </w:rPr>
        <w:t>按</w:t>
      </w:r>
      <w:r>
        <w:rPr>
          <w:rFonts w:hint="eastAsia" w:ascii="宋体" w:hAnsi="宋体"/>
          <w:color w:val="auto"/>
          <w:szCs w:val="21"/>
          <w:highlight w:val="none"/>
        </w:rPr>
        <w:t>14.2.1.2</w:t>
      </w:r>
      <w:r>
        <w:rPr>
          <w:rFonts w:hint="default" w:ascii="Times New Roman" w:hAnsi="Times New Roman" w:cs="Times New Roman"/>
          <w:color w:val="auto"/>
          <w:kern w:val="0"/>
          <w:highlight w:val="none"/>
        </w:rPr>
        <w:t>目[竣工结算原则]执行</w:t>
      </w:r>
    </w:p>
    <w:bookmarkEnd w:id="787"/>
    <w:bookmarkEnd w:id="788"/>
    <w:bookmarkEnd w:id="789"/>
    <w:bookmarkEnd w:id="790"/>
    <w:bookmarkEnd w:id="791"/>
    <w:bookmarkEnd w:id="792"/>
    <w:bookmarkEnd w:id="880"/>
    <w:p>
      <w:pPr>
        <w:spacing w:line="360" w:lineRule="auto"/>
        <w:ind w:firstLine="420" w:firstLineChars="200"/>
        <w:jc w:val="left"/>
        <w:rPr>
          <w:rFonts w:ascii="宋体" w:hAnsi="宋体"/>
          <w:color w:val="auto"/>
          <w:szCs w:val="21"/>
          <w:highlight w:val="none"/>
        </w:rPr>
      </w:pPr>
      <w:bookmarkStart w:id="881" w:name="_Toc292559410"/>
      <w:bookmarkStart w:id="882" w:name="_Toc296503205"/>
      <w:bookmarkStart w:id="883" w:name="_Toc297048391"/>
      <w:bookmarkStart w:id="884" w:name="_Toc297120505"/>
      <w:bookmarkStart w:id="885" w:name="_Toc296891245"/>
      <w:bookmarkStart w:id="886" w:name="_Toc296347204"/>
      <w:bookmarkStart w:id="887" w:name="_Toc296944544"/>
      <w:bookmarkStart w:id="888" w:name="_Toc296891033"/>
      <w:bookmarkStart w:id="889" w:name="_Toc292559915"/>
      <w:bookmarkStart w:id="890" w:name="_Toc296346706"/>
      <w:bookmarkStart w:id="891" w:name="_Toc351203644"/>
      <w:bookmarkStart w:id="892" w:name="_Toc312678040"/>
      <w:bookmarkStart w:id="893" w:name="_Toc297123552"/>
      <w:bookmarkStart w:id="894" w:name="_Toc297216211"/>
      <w:bookmarkStart w:id="895" w:name="_Toc304295579"/>
      <w:bookmarkStart w:id="896" w:name="_Toc303539159"/>
      <w:bookmarkStart w:id="897" w:name="_Toc300935002"/>
      <w:r>
        <w:rPr>
          <w:rFonts w:hint="eastAsia" w:ascii="宋体" w:hAnsi="宋体"/>
          <w:color w:val="auto"/>
          <w:szCs w:val="21"/>
          <w:highlight w:val="none"/>
        </w:rPr>
        <w:t>第3种方式：其他价格调整方式：</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不调整</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898" w:name="_Toc532377382"/>
      <w:bookmarkStart w:id="899" w:name="_Toc532375646"/>
      <w:r>
        <w:rPr>
          <w:rFonts w:hint="eastAsia"/>
          <w:color w:val="auto"/>
          <w:kern w:val="2"/>
          <w:sz w:val="21"/>
          <w:szCs w:val="21"/>
          <w:highlight w:val="none"/>
        </w:rPr>
        <w:t xml:space="preserve">12. </w:t>
      </w:r>
      <w:bookmarkEnd w:id="881"/>
      <w:bookmarkEnd w:id="882"/>
      <w:bookmarkEnd w:id="883"/>
      <w:bookmarkEnd w:id="884"/>
      <w:bookmarkEnd w:id="885"/>
      <w:bookmarkEnd w:id="886"/>
      <w:bookmarkEnd w:id="887"/>
      <w:bookmarkEnd w:id="888"/>
      <w:bookmarkEnd w:id="889"/>
      <w:bookmarkEnd w:id="890"/>
      <w:r>
        <w:rPr>
          <w:rFonts w:hint="eastAsia"/>
          <w:color w:val="auto"/>
          <w:kern w:val="2"/>
          <w:sz w:val="21"/>
          <w:szCs w:val="21"/>
          <w:highlight w:val="none"/>
        </w:rPr>
        <w:t>合同价格、计量与支付</w:t>
      </w:r>
      <w:bookmarkEnd w:id="891"/>
      <w:bookmarkEnd w:id="898"/>
      <w:bookmarkEnd w:id="899"/>
    </w:p>
    <w:bookmarkEnd w:id="892"/>
    <w:bookmarkEnd w:id="893"/>
    <w:bookmarkEnd w:id="894"/>
    <w:bookmarkEnd w:id="895"/>
    <w:bookmarkEnd w:id="896"/>
    <w:bookmarkEnd w:id="897"/>
    <w:p>
      <w:pPr>
        <w:pStyle w:val="7"/>
        <w:spacing w:before="0" w:beforeAutospacing="0" w:after="0" w:afterAutospacing="0" w:line="360" w:lineRule="auto"/>
        <w:ind w:firstLine="422" w:firstLineChars="200"/>
        <w:rPr>
          <w:color w:val="auto"/>
          <w:sz w:val="21"/>
          <w:szCs w:val="21"/>
          <w:highlight w:val="none"/>
        </w:rPr>
      </w:pPr>
      <w:bookmarkStart w:id="900" w:name="_Toc292559916"/>
      <w:bookmarkStart w:id="901" w:name="_Toc292559411"/>
      <w:bookmarkStart w:id="902" w:name="_Toc267251461"/>
      <w:bookmarkStart w:id="903" w:name="_Toc296346707"/>
      <w:bookmarkStart w:id="904" w:name="_Toc296503206"/>
      <w:bookmarkStart w:id="905" w:name="_Toc297120506"/>
      <w:bookmarkStart w:id="906" w:name="_Toc296944545"/>
      <w:bookmarkStart w:id="907" w:name="_Toc296891246"/>
      <w:bookmarkStart w:id="908" w:name="_Toc296891034"/>
      <w:bookmarkStart w:id="909" w:name="_Toc297048392"/>
      <w:bookmarkStart w:id="910" w:name="_Toc296347205"/>
      <w:bookmarkStart w:id="911" w:name="_Toc532377383"/>
      <w:bookmarkStart w:id="912" w:name="_Toc532375647"/>
      <w:bookmarkStart w:id="913" w:name="_Toc297123553"/>
      <w:bookmarkStart w:id="914" w:name="_Toc312678041"/>
      <w:bookmarkStart w:id="915" w:name="_Toc297216212"/>
      <w:bookmarkStart w:id="916" w:name="_Toc300935003"/>
      <w:bookmarkStart w:id="917" w:name="_Toc304295580"/>
      <w:bookmarkStart w:id="918" w:name="_Toc303539160"/>
      <w:r>
        <w:rPr>
          <w:rFonts w:hint="eastAsia"/>
          <w:color w:val="auto"/>
          <w:sz w:val="21"/>
          <w:szCs w:val="21"/>
          <w:highlight w:val="none"/>
        </w:rPr>
        <w:t>12.1 合</w:t>
      </w:r>
      <w:bookmarkEnd w:id="900"/>
      <w:bookmarkEnd w:id="901"/>
      <w:bookmarkEnd w:id="902"/>
      <w:r>
        <w:rPr>
          <w:rFonts w:hint="eastAsia"/>
          <w:color w:val="auto"/>
          <w:sz w:val="21"/>
          <w:szCs w:val="21"/>
          <w:highlight w:val="none"/>
        </w:rPr>
        <w:t>同价</w:t>
      </w:r>
      <w:bookmarkEnd w:id="903"/>
      <w:bookmarkEnd w:id="904"/>
      <w:bookmarkEnd w:id="905"/>
      <w:bookmarkEnd w:id="906"/>
      <w:bookmarkEnd w:id="907"/>
      <w:bookmarkEnd w:id="908"/>
      <w:bookmarkEnd w:id="909"/>
      <w:bookmarkEnd w:id="910"/>
      <w:r>
        <w:rPr>
          <w:rFonts w:hint="eastAsia"/>
          <w:color w:val="auto"/>
          <w:sz w:val="21"/>
          <w:szCs w:val="21"/>
          <w:highlight w:val="none"/>
        </w:rPr>
        <w:t>格形式</w:t>
      </w:r>
      <w:bookmarkEnd w:id="911"/>
      <w:bookmarkEnd w:id="912"/>
    </w:p>
    <w:bookmarkEnd w:id="913"/>
    <w:bookmarkEnd w:id="914"/>
    <w:bookmarkEnd w:id="915"/>
    <w:bookmarkEnd w:id="916"/>
    <w:bookmarkEnd w:id="917"/>
    <w:bookmarkEnd w:id="918"/>
    <w:p>
      <w:pPr>
        <w:spacing w:line="360" w:lineRule="auto"/>
        <w:ind w:firstLine="420" w:firstLineChars="200"/>
        <w:jc w:val="left"/>
        <w:rPr>
          <w:rFonts w:ascii="宋体" w:hAnsi="宋体"/>
          <w:szCs w:val="21"/>
        </w:rPr>
      </w:pPr>
      <w:r>
        <w:rPr>
          <w:rFonts w:hint="eastAsia" w:ascii="宋体" w:hAnsi="宋体"/>
          <w:szCs w:val="21"/>
        </w:rPr>
        <w:t>1、单价合同。</w:t>
      </w:r>
    </w:p>
    <w:p>
      <w:pPr>
        <w:spacing w:line="240" w:lineRule="auto"/>
        <w:ind w:firstLine="420" w:firstLineChars="200"/>
        <w:jc w:val="left"/>
        <w:rPr>
          <w:rFonts w:ascii="宋体" w:hAnsi="宋体"/>
          <w:szCs w:val="21"/>
          <w:u w:val="single"/>
        </w:rPr>
      </w:pPr>
      <w:r>
        <w:rPr>
          <w:rFonts w:hint="eastAsia" w:ascii="宋体" w:hAnsi="宋体"/>
          <w:szCs w:val="21"/>
        </w:rPr>
        <w:t>综合单价包含的风险范围：</w:t>
      </w:r>
      <w:r>
        <w:rPr>
          <w:rFonts w:hint="eastAsia" w:ascii="宋体" w:hAnsi="宋体"/>
          <w:szCs w:val="21"/>
          <w:u w:val="single"/>
        </w:rPr>
        <w:t>包括但不限于为实施和完成合同工程所需的</w:t>
      </w:r>
      <w:r>
        <w:rPr>
          <w:rFonts w:hint="eastAsia"/>
          <w:color w:val="auto"/>
          <w:highlight w:val="none"/>
        </w:rPr>
        <w:t>人工费、材料费、施工机具使用费、企业管理费、利润、风险费、措施项目费、其他项目费、规费、税金、室内空气质量检测、装修保证金、配合消防验收（联动）和通过二次消防验收</w:t>
      </w:r>
      <w:r>
        <w:rPr>
          <w:rFonts w:hint="eastAsia"/>
          <w:color w:val="auto"/>
          <w:highlight w:val="none"/>
          <w:lang w:eastAsia="zh-CN"/>
        </w:rPr>
        <w:t>（</w:t>
      </w:r>
      <w:r>
        <w:rPr>
          <w:rFonts w:hint="eastAsia"/>
          <w:color w:val="auto"/>
          <w:highlight w:val="none"/>
          <w:lang w:val="en-US" w:eastAsia="zh-CN"/>
        </w:rPr>
        <w:t>如需要</w:t>
      </w:r>
      <w:r>
        <w:rPr>
          <w:rFonts w:hint="eastAsia"/>
          <w:color w:val="auto"/>
          <w:highlight w:val="none"/>
          <w:lang w:eastAsia="zh-CN"/>
        </w:rPr>
        <w:t>）、</w:t>
      </w:r>
      <w:r>
        <w:rPr>
          <w:rFonts w:hint="eastAsia"/>
          <w:color w:val="auto"/>
          <w:highlight w:val="none"/>
        </w:rPr>
        <w:t>政策性文件及装饰地点物业公司规定的所有费用</w:t>
      </w:r>
      <w:r>
        <w:rPr>
          <w:rFonts w:hint="eastAsia" w:ascii="宋体" w:hAnsi="宋体"/>
          <w:szCs w:val="21"/>
          <w:u w:val="single"/>
        </w:rPr>
        <w:t>，以及第11.1款〔市场价格波动引起的调整〕约定范围内的市场价格波动风险、政策性文件规定的各项应有费用、招标文件和合同明示或暗示的应由承包人承担的所有责任、义务和风险等所需的费用。</w:t>
      </w:r>
    </w:p>
    <w:p>
      <w:pPr>
        <w:spacing w:line="360" w:lineRule="auto"/>
        <w:ind w:firstLine="420" w:firstLineChars="200"/>
        <w:jc w:val="left"/>
        <w:rPr>
          <w:rFonts w:ascii="宋体" w:hAnsi="宋体"/>
          <w:szCs w:val="21"/>
          <w:u w:val="single"/>
        </w:rPr>
      </w:pPr>
      <w:r>
        <w:rPr>
          <w:rFonts w:hint="eastAsia" w:ascii="宋体" w:hAnsi="宋体"/>
          <w:szCs w:val="21"/>
        </w:rPr>
        <w:t>风险费用的计算方法：</w:t>
      </w:r>
      <w:r>
        <w:rPr>
          <w:rFonts w:hint="eastAsia" w:ascii="宋体" w:hAnsi="宋体"/>
          <w:szCs w:val="21"/>
          <w:u w:val="single"/>
        </w:rPr>
        <w:t>由承包人自行考虑并计入签约合同价格中，包干使用</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风险范围以外合同价格的调整方法：</w:t>
      </w:r>
      <w:r>
        <w:rPr>
          <w:rFonts w:hint="eastAsia" w:ascii="宋体" w:hAnsi="宋体"/>
          <w:szCs w:val="21"/>
          <w:u w:val="single"/>
        </w:rPr>
        <w:t>按照合同相关条款约定执行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2、总价合同。</w:t>
      </w:r>
    </w:p>
    <w:p>
      <w:pPr>
        <w:spacing w:line="360" w:lineRule="auto"/>
        <w:ind w:firstLine="420" w:firstLineChars="200"/>
        <w:jc w:val="left"/>
        <w:rPr>
          <w:rFonts w:ascii="宋体" w:hAnsi="宋体"/>
          <w:szCs w:val="21"/>
          <w:u w:val="single"/>
        </w:rPr>
      </w:pPr>
      <w:r>
        <w:rPr>
          <w:rFonts w:hint="eastAsia" w:ascii="宋体" w:hAnsi="宋体"/>
          <w:szCs w:val="21"/>
        </w:rPr>
        <w:t>总价包含的风险范围：/风险费用的计算方法：</w:t>
      </w:r>
      <w:r>
        <w:rPr>
          <w:rFonts w:hint="eastAsia" w:ascii="宋体" w:hAnsi="宋体"/>
          <w:szCs w:val="21"/>
          <w:u w:val="single"/>
        </w:rPr>
        <w:t>由承包人自行考虑并计入签约合同价格中，包干使用</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风险范围以外合同价格的调整方法：</w:t>
      </w:r>
      <w:r>
        <w:rPr>
          <w:rFonts w:hint="eastAsia" w:ascii="宋体" w:hAnsi="宋体"/>
          <w:szCs w:val="21"/>
          <w:u w:val="single"/>
        </w:rPr>
        <w:t>按照合同相关条款约定执行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3、其他价格方式：</w:t>
      </w:r>
      <w:r>
        <w:rPr>
          <w:rFonts w:hint="eastAsia" w:ascii="宋体" w:hAnsi="宋体"/>
          <w:szCs w:val="21"/>
          <w:u w:val="single"/>
        </w:rPr>
        <w:t>不采用</w:t>
      </w:r>
      <w:r>
        <w:rPr>
          <w:rFonts w:hint="eastAsia" w:ascii="宋体" w:hAnsi="宋体"/>
          <w:szCs w:val="21"/>
        </w:rPr>
        <w:t>。</w:t>
      </w:r>
    </w:p>
    <w:p>
      <w:pPr>
        <w:pStyle w:val="7"/>
        <w:spacing w:before="0" w:beforeAutospacing="0" w:after="0" w:afterAutospacing="0" w:line="360" w:lineRule="auto"/>
        <w:ind w:firstLine="422" w:firstLineChars="200"/>
        <w:rPr>
          <w:color w:val="auto"/>
          <w:sz w:val="21"/>
          <w:szCs w:val="21"/>
          <w:highlight w:val="none"/>
        </w:rPr>
      </w:pPr>
      <w:bookmarkStart w:id="919" w:name="_Toc532377384"/>
      <w:bookmarkStart w:id="920" w:name="_Toc532375648"/>
      <w:bookmarkStart w:id="921" w:name="_Toc312678042"/>
      <w:bookmarkStart w:id="922" w:name="_Toc303539161"/>
      <w:bookmarkStart w:id="923" w:name="_Toc297216213"/>
      <w:bookmarkStart w:id="924" w:name="_Toc304295581"/>
      <w:bookmarkStart w:id="925" w:name="_Toc300935004"/>
      <w:bookmarkStart w:id="926" w:name="_Toc297123554"/>
      <w:bookmarkStart w:id="927" w:name="_Toc296944546"/>
      <w:bookmarkStart w:id="928" w:name="_Toc292559917"/>
      <w:bookmarkStart w:id="929" w:name="_Toc296891247"/>
      <w:bookmarkStart w:id="930" w:name="_Toc296347206"/>
      <w:bookmarkStart w:id="931" w:name="_Toc297048393"/>
      <w:bookmarkStart w:id="932" w:name="_Toc296503207"/>
      <w:bookmarkStart w:id="933" w:name="_Toc296346708"/>
      <w:bookmarkStart w:id="934" w:name="_Toc292559412"/>
      <w:bookmarkStart w:id="935" w:name="_Toc296891035"/>
      <w:bookmarkStart w:id="936" w:name="_Toc297120507"/>
      <w:r>
        <w:rPr>
          <w:rFonts w:hint="eastAsia"/>
          <w:color w:val="auto"/>
          <w:sz w:val="21"/>
          <w:szCs w:val="21"/>
          <w:highlight w:val="none"/>
        </w:rPr>
        <w:t>12.2 预付款</w:t>
      </w:r>
      <w:bookmarkEnd w:id="919"/>
      <w:bookmarkEnd w:id="920"/>
    </w:p>
    <w:bookmarkEnd w:id="921"/>
    <w:bookmarkEnd w:id="922"/>
    <w:bookmarkEnd w:id="923"/>
    <w:bookmarkEnd w:id="924"/>
    <w:bookmarkEnd w:id="925"/>
    <w:bookmarkEnd w:id="926"/>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12.2.1 预付款的支付</w:t>
      </w:r>
      <w:r>
        <w:rPr>
          <w:rFonts w:hint="eastAsia" w:ascii="宋体" w:hAnsi="宋体"/>
          <w:szCs w:val="21"/>
        </w:rPr>
        <w:t>:</w:t>
      </w:r>
      <w:r>
        <w:rPr>
          <w:rFonts w:hint="eastAsia" w:ascii="宋体" w:hAnsi="宋体"/>
          <w:szCs w:val="21"/>
          <w:u w:val="single"/>
        </w:rPr>
        <w:t>不采用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预付款支付比例或金额：</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预付款支付期限：</w:t>
      </w:r>
      <w:r>
        <w:rPr>
          <w:rFonts w:hint="eastAsia" w:ascii="宋体" w:hAnsi="宋体"/>
          <w:color w:val="auto"/>
          <w:szCs w:val="21"/>
          <w:highlight w:val="non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预付款扣回的方式：</w:t>
      </w:r>
      <w:r>
        <w:rPr>
          <w:rFonts w:hint="eastAsia" w:ascii="宋体" w:hAnsi="宋体"/>
          <w:color w:val="auto"/>
          <w:szCs w:val="21"/>
          <w:highlight w:val="none"/>
          <w:u w:val="single"/>
          <w:lang w:val="en-US" w:eastAsia="zh-CN"/>
        </w:rPr>
        <w:t>/</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12.2.2 预付款担保</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承包人提交预付款担保的期限：</w:t>
      </w:r>
      <w:r>
        <w:rPr>
          <w:rFonts w:hint="eastAsia" w:ascii="宋体" w:hAnsi="宋体"/>
          <w:color w:val="auto"/>
          <w:szCs w:val="21"/>
          <w:highlight w:val="none"/>
          <w:u w:val="single"/>
          <w:lang w:val="en-US" w:eastAsia="zh-CN"/>
        </w:rPr>
        <w:t>/</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预付款担保的形式为：</w:t>
      </w:r>
      <w:r>
        <w:rPr>
          <w:rFonts w:hint="eastAsia" w:ascii="宋体" w:hAnsi="宋体"/>
          <w:color w:val="auto"/>
          <w:szCs w:val="21"/>
          <w:highlight w:val="none"/>
          <w:u w:val="single"/>
          <w:lang w:val="en-US" w:eastAsia="zh-CN"/>
        </w:rPr>
        <w:t>/</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预付款担保的金额：</w:t>
      </w:r>
      <w:r>
        <w:rPr>
          <w:rFonts w:hint="eastAsia" w:ascii="宋体" w:hAnsi="宋体"/>
          <w:color w:val="auto"/>
          <w:szCs w:val="21"/>
          <w:highlight w:val="none"/>
          <w:u w:val="single"/>
          <w:lang w:val="en-US" w:eastAsia="zh-CN"/>
        </w:rPr>
        <w:t>/</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预付款担保的时间：</w:t>
      </w:r>
      <w:r>
        <w:rPr>
          <w:rFonts w:hint="eastAsia" w:ascii="宋体" w:hAnsi="宋体"/>
          <w:color w:val="auto"/>
          <w:szCs w:val="21"/>
          <w:highlight w:val="none"/>
          <w:u w:val="single"/>
          <w:lang w:val="en-US" w:eastAsia="zh-CN"/>
        </w:rPr>
        <w:t>/</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预付款担保的期限：</w:t>
      </w:r>
      <w:r>
        <w:rPr>
          <w:rFonts w:hint="eastAsia" w:ascii="宋体" w:hAnsi="宋体"/>
          <w:color w:val="auto"/>
          <w:szCs w:val="21"/>
          <w:highlight w:val="none"/>
          <w:u w:val="single"/>
          <w:lang w:val="en-US" w:eastAsia="zh-CN"/>
        </w:rPr>
        <w:t>/</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预付款担保的退还时间：</w:t>
      </w:r>
      <w:r>
        <w:rPr>
          <w:rFonts w:hint="eastAsia" w:ascii="宋体" w:hAnsi="宋体"/>
          <w:color w:val="auto"/>
          <w:szCs w:val="21"/>
          <w:highlight w:val="none"/>
          <w:u w:val="single"/>
          <w:lang w:val="en-US" w:eastAsia="zh-CN"/>
        </w:rPr>
        <w:t>/</w:t>
      </w:r>
      <w:r>
        <w:rPr>
          <w:rFonts w:hint="eastAsia" w:ascii="宋体" w:hAnsi="宋体"/>
          <w:color w:val="auto"/>
          <w:szCs w:val="21"/>
          <w:highlight w:val="none"/>
        </w:rPr>
        <w:t>。</w:t>
      </w:r>
    </w:p>
    <w:bookmarkEnd w:id="927"/>
    <w:bookmarkEnd w:id="928"/>
    <w:bookmarkEnd w:id="929"/>
    <w:bookmarkEnd w:id="930"/>
    <w:bookmarkEnd w:id="931"/>
    <w:bookmarkEnd w:id="932"/>
    <w:bookmarkEnd w:id="933"/>
    <w:bookmarkEnd w:id="934"/>
    <w:bookmarkEnd w:id="935"/>
    <w:bookmarkEnd w:id="936"/>
    <w:p>
      <w:pPr>
        <w:pStyle w:val="7"/>
        <w:spacing w:before="0" w:beforeAutospacing="0" w:after="0" w:afterAutospacing="0" w:line="360" w:lineRule="auto"/>
        <w:ind w:firstLine="422" w:firstLineChars="200"/>
        <w:rPr>
          <w:color w:val="auto"/>
          <w:sz w:val="21"/>
          <w:szCs w:val="21"/>
          <w:highlight w:val="none"/>
        </w:rPr>
      </w:pPr>
      <w:bookmarkStart w:id="937" w:name="_Toc532375649"/>
      <w:bookmarkStart w:id="938" w:name="_Toc532377385"/>
      <w:r>
        <w:rPr>
          <w:rFonts w:hint="eastAsia"/>
          <w:color w:val="auto"/>
          <w:sz w:val="21"/>
          <w:szCs w:val="21"/>
          <w:highlight w:val="none"/>
        </w:rPr>
        <w:t>12.3 计量</w:t>
      </w:r>
      <w:bookmarkEnd w:id="937"/>
      <w:bookmarkEnd w:id="938"/>
    </w:p>
    <w:p>
      <w:pPr>
        <w:spacing w:line="360" w:lineRule="auto"/>
        <w:ind w:firstLine="420" w:firstLineChars="200"/>
        <w:jc w:val="left"/>
        <w:rPr>
          <w:rFonts w:ascii="宋体" w:hAnsi="宋体"/>
          <w:color w:val="auto"/>
          <w:szCs w:val="21"/>
          <w:highlight w:val="none"/>
        </w:rPr>
      </w:pPr>
      <w:bookmarkStart w:id="939" w:name="_Hlk528928260"/>
      <w:r>
        <w:rPr>
          <w:rFonts w:hint="eastAsia" w:ascii="宋体" w:hAnsi="宋体"/>
          <w:color w:val="auto"/>
          <w:szCs w:val="21"/>
          <w:highlight w:val="none"/>
        </w:rPr>
        <w:t>12.3.1 计量原则</w:t>
      </w:r>
    </w:p>
    <w:p>
      <w:pPr>
        <w:snapToGrid w:val="0"/>
        <w:spacing w:line="360" w:lineRule="auto"/>
        <w:ind w:firstLine="315" w:firstLineChars="15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A、</w:t>
      </w:r>
      <w:r>
        <w:rPr>
          <w:rFonts w:hint="default" w:ascii="宋体" w:hAnsi="宋体" w:eastAsia="宋体" w:cs="Times New Roman"/>
          <w:color w:val="auto"/>
          <w:szCs w:val="21"/>
          <w:highlight w:val="none"/>
        </w:rPr>
        <w:t>设计施工图图示尺寸清楚、准确，无设计变更，承包人应按图施工，则按《重庆市建设工程量计算规则》（CQJLGZ-2013）工程量计算规范【以下简称（CQJLGZ-2013）规范】计算的设计施工图图示工程量为子项实际工程量；</w:t>
      </w:r>
    </w:p>
    <w:p>
      <w:pPr>
        <w:snapToGrid w:val="0"/>
        <w:spacing w:line="360" w:lineRule="auto"/>
        <w:ind w:firstLine="315" w:firstLineChars="15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B、</w:t>
      </w:r>
      <w:r>
        <w:rPr>
          <w:rFonts w:hint="default" w:ascii="宋体" w:hAnsi="宋体" w:eastAsia="宋体" w:cs="Times New Roman"/>
          <w:color w:val="auto"/>
          <w:szCs w:val="21"/>
          <w:highlight w:val="none"/>
        </w:rPr>
        <w:t>设计施工图图示尺寸清楚、准确，但有设计变更，则按（CQJLGZ-2013）规则计算的设计变更后的图示工程量为子项实际工程量；</w:t>
      </w:r>
    </w:p>
    <w:p>
      <w:pPr>
        <w:snapToGrid w:val="0"/>
        <w:spacing w:line="360" w:lineRule="auto"/>
        <w:ind w:firstLine="315" w:firstLineChars="15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C、</w:t>
      </w:r>
      <w:r>
        <w:rPr>
          <w:rFonts w:hint="default" w:ascii="宋体" w:hAnsi="宋体" w:eastAsia="宋体" w:cs="Times New Roman"/>
          <w:color w:val="auto"/>
          <w:szCs w:val="21"/>
          <w:highlight w:val="none"/>
        </w:rPr>
        <w:t>设计施工图图示尺寸存在区间范围（或注明按现场实际确定或图示尺寸不清）：有设计变更的，以设计变更和施工实际，按（CQJLGZ-2013）规则计算的设计变更后的施工图图示工程量为子项实际工程量；无设计变更的，以承包人、监理人、全过程审核单位、发包人共同签认的隐蔽验收记录等相关资料，按（CQJLGZ0-2013）规则计算的实际工程量为子项实际工程量；</w:t>
      </w:r>
    </w:p>
    <w:p>
      <w:pPr>
        <w:snapToGrid w:val="0"/>
        <w:spacing w:line="360" w:lineRule="auto"/>
        <w:ind w:firstLine="315" w:firstLineChars="150"/>
        <w:rPr>
          <w:rFonts w:ascii="宋体" w:hAnsi="宋体"/>
          <w:color w:val="auto"/>
          <w:szCs w:val="21"/>
          <w:highlight w:val="none"/>
        </w:rPr>
      </w:pPr>
      <w:r>
        <w:rPr>
          <w:rFonts w:hint="default" w:ascii="Times New Roman" w:hAnsi="Times New Roman" w:cs="Times New Roman"/>
          <w:color w:val="auto"/>
          <w:kern w:val="0"/>
          <w:szCs w:val="21"/>
          <w:highlight w:val="none"/>
        </w:rPr>
        <w:t>D、</w:t>
      </w:r>
      <w:r>
        <w:rPr>
          <w:rFonts w:hint="default" w:ascii="宋体" w:hAnsi="宋体" w:eastAsia="宋体" w:cs="Times New Roman"/>
          <w:color w:val="auto"/>
          <w:szCs w:val="21"/>
          <w:highlight w:val="none"/>
        </w:rPr>
        <w:t>设计施工图、设计变更（含类似子项变更）、新增项目、隐蔽记录、验收记录及材料、半成品检验等资料，应与工程竣工图相一致，当前后矛盾时，则取按（CQJLGZ-2013）规则计算的工程量为子项实际工程量；</w:t>
      </w:r>
    </w:p>
    <w:bookmarkEnd w:id="939"/>
    <w:p>
      <w:pPr>
        <w:pStyle w:val="7"/>
        <w:spacing w:before="0" w:beforeAutospacing="0" w:after="0" w:afterAutospacing="0" w:line="360" w:lineRule="auto"/>
        <w:ind w:firstLine="422" w:firstLineChars="200"/>
        <w:rPr>
          <w:color w:val="auto"/>
          <w:sz w:val="21"/>
          <w:szCs w:val="21"/>
          <w:highlight w:val="none"/>
        </w:rPr>
      </w:pPr>
      <w:bookmarkStart w:id="940" w:name="_Toc532377386"/>
      <w:bookmarkStart w:id="941" w:name="_Toc532375650"/>
      <w:bookmarkStart w:id="942" w:name="_Hlk528928289"/>
      <w:r>
        <w:rPr>
          <w:rFonts w:hint="eastAsia"/>
          <w:color w:val="auto"/>
          <w:sz w:val="21"/>
          <w:szCs w:val="21"/>
          <w:highlight w:val="none"/>
        </w:rPr>
        <w:t>12.4 工程进度款支付</w:t>
      </w:r>
      <w:bookmarkEnd w:id="940"/>
      <w:bookmarkEnd w:id="941"/>
    </w:p>
    <w:bookmarkEnd w:id="942"/>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（1）</w:t>
      </w:r>
      <w:r>
        <w:rPr>
          <w:rFonts w:hint="default" w:ascii="Times New Roman" w:hAnsi="Times New Roman" w:cs="Times New Roman"/>
          <w:color w:val="auto"/>
          <w:kern w:val="0"/>
          <w:highlight w:val="none"/>
        </w:rPr>
        <w:t>工程进度付款申请</w:t>
      </w:r>
    </w:p>
    <w:p>
      <w:pPr>
        <w:spacing w:line="360" w:lineRule="auto"/>
        <w:ind w:firstLine="420" w:firstLineChars="200"/>
        <w:jc w:val="left"/>
        <w:rPr>
          <w:rFonts w:hint="default" w:ascii="宋体" w:hAnsi="宋体" w:eastAsia="宋体" w:cs="Times New Roman"/>
          <w:color w:val="auto"/>
          <w:szCs w:val="21"/>
          <w:highlight w:val="none"/>
        </w:rPr>
      </w:pPr>
      <w:r>
        <w:rPr>
          <w:rFonts w:hint="default" w:ascii="宋体" w:hAnsi="宋体" w:eastAsia="宋体" w:cs="Times New Roman"/>
          <w:color w:val="auto"/>
          <w:szCs w:val="21"/>
          <w:highlight w:val="none"/>
        </w:rPr>
        <w:t>工程进度付款申请方式：</w:t>
      </w:r>
      <w:r>
        <w:rPr>
          <w:rFonts w:hint="default" w:ascii="宋体" w:hAnsi="宋体" w:eastAsia="宋体" w:cs="Times New Roman"/>
          <w:color w:val="auto"/>
          <w:szCs w:val="21"/>
          <w:highlight w:val="none"/>
          <w:u w:val="single"/>
        </w:rPr>
        <w:t>提交进度付款申请单。</w:t>
      </w:r>
    </w:p>
    <w:p>
      <w:pPr>
        <w:spacing w:line="360" w:lineRule="auto"/>
        <w:ind w:firstLine="420" w:firstLineChars="200"/>
        <w:jc w:val="left"/>
        <w:rPr>
          <w:rFonts w:hint="default" w:ascii="宋体" w:hAnsi="宋体" w:eastAsia="宋体" w:cs="Times New Roman"/>
          <w:color w:val="auto"/>
          <w:szCs w:val="21"/>
          <w:highlight w:val="none"/>
        </w:rPr>
      </w:pPr>
      <w:r>
        <w:rPr>
          <w:rFonts w:hint="default" w:ascii="宋体" w:hAnsi="宋体" w:eastAsia="宋体" w:cs="Times New Roman"/>
          <w:color w:val="auto"/>
          <w:szCs w:val="21"/>
          <w:highlight w:val="none"/>
        </w:rPr>
        <w:t>付款申请报告的格式、内容、份数和提交时间：</w:t>
      </w:r>
      <w:r>
        <w:rPr>
          <w:rFonts w:hint="default" w:ascii="宋体" w:hAnsi="宋体" w:eastAsia="宋体" w:cs="Times New Roman"/>
          <w:color w:val="auto"/>
          <w:szCs w:val="21"/>
          <w:highlight w:val="none"/>
          <w:u w:val="single"/>
        </w:rPr>
        <w:t>承包人对已完成的工程进行计量，向发包人提交进度付款申请单、已完成工程量报表和有关计量资料；一式四份</w:t>
      </w:r>
      <w:r>
        <w:rPr>
          <w:rFonts w:hint="default" w:ascii="宋体" w:hAnsi="宋体" w:eastAsia="宋体" w:cs="Times New Roman"/>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（2）进度款支付：</w:t>
      </w:r>
      <w:r>
        <w:rPr>
          <w:rFonts w:hint="eastAsia" w:asciiTheme="minorEastAsia" w:hAnsiTheme="minorEastAsia" w:eastAsiaTheme="minorEastAsia" w:cstheme="minorEastAsia"/>
          <w:color w:val="auto"/>
          <w:sz w:val="21"/>
          <w:szCs w:val="21"/>
        </w:rPr>
        <w:t>每月按照实际完成工程量的80%进行支付，待工程竣工验收后支付至审定金额的97%；剩余3%作为质保金，待工程两年缺陷责任期期满后付清剩余质保金（不计利息）。</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943" w:name="_Toc532377388"/>
      <w:bookmarkStart w:id="944" w:name="_Toc532375651"/>
      <w:bookmarkStart w:id="945" w:name="_Toc351203645"/>
      <w:bookmarkStart w:id="946" w:name="_Toc292559424"/>
      <w:bookmarkStart w:id="947" w:name="_Toc303539172"/>
      <w:bookmarkStart w:id="948" w:name="_Toc304295593"/>
      <w:bookmarkStart w:id="949" w:name="_Toc297048405"/>
      <w:bookmarkStart w:id="950" w:name="_Toc296347218"/>
      <w:bookmarkStart w:id="951" w:name="_Toc312678053"/>
      <w:bookmarkStart w:id="952" w:name="_Toc292559929"/>
      <w:bookmarkStart w:id="953" w:name="_Toc296346720"/>
      <w:bookmarkStart w:id="954" w:name="_Toc296503219"/>
      <w:bookmarkStart w:id="955" w:name="_Toc300935015"/>
      <w:bookmarkStart w:id="956" w:name="_Toc296944558"/>
      <w:bookmarkStart w:id="957" w:name="_Toc296891047"/>
      <w:bookmarkStart w:id="958" w:name="_Toc297216223"/>
      <w:bookmarkStart w:id="959" w:name="_Toc296891259"/>
      <w:bookmarkStart w:id="960" w:name="_Toc297123564"/>
      <w:bookmarkStart w:id="961" w:name="_Toc297120519"/>
      <w:r>
        <w:rPr>
          <w:rFonts w:hint="eastAsia"/>
          <w:color w:val="auto"/>
          <w:kern w:val="2"/>
          <w:sz w:val="21"/>
          <w:szCs w:val="21"/>
          <w:highlight w:val="none"/>
        </w:rPr>
        <w:t>13. 验收和工程试车</w:t>
      </w:r>
      <w:bookmarkEnd w:id="943"/>
      <w:bookmarkEnd w:id="944"/>
      <w:bookmarkEnd w:id="945"/>
    </w:p>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p>
      <w:pPr>
        <w:pStyle w:val="7"/>
        <w:spacing w:before="0" w:beforeAutospacing="0" w:after="0" w:afterAutospacing="0" w:line="360" w:lineRule="auto"/>
        <w:ind w:firstLine="422" w:firstLineChars="200"/>
        <w:rPr>
          <w:color w:val="auto"/>
          <w:sz w:val="21"/>
          <w:szCs w:val="21"/>
          <w:highlight w:val="none"/>
        </w:rPr>
      </w:pPr>
      <w:bookmarkStart w:id="962" w:name="_Toc532375652"/>
      <w:bookmarkStart w:id="963" w:name="_Toc532377389"/>
      <w:bookmarkStart w:id="964" w:name="_Toc280868704"/>
      <w:bookmarkStart w:id="965" w:name="_Toc280868705"/>
      <w:bookmarkStart w:id="966" w:name="_Toc280868706"/>
      <w:bookmarkStart w:id="967" w:name="_Toc280868707"/>
      <w:bookmarkStart w:id="968" w:name="_Toc280868708"/>
      <w:bookmarkStart w:id="969" w:name="_Toc280868709"/>
      <w:bookmarkStart w:id="970" w:name="_Toc267251473"/>
      <w:bookmarkStart w:id="971" w:name="_Toc267251476"/>
      <w:bookmarkStart w:id="972" w:name="_Toc267251472"/>
      <w:bookmarkStart w:id="973" w:name="_Toc267251471"/>
      <w:bookmarkStart w:id="974" w:name="_Toc267251475"/>
      <w:bookmarkStart w:id="975" w:name="_Toc267251470"/>
      <w:bookmarkStart w:id="976" w:name="_Toc267251474"/>
      <w:r>
        <w:rPr>
          <w:rFonts w:hint="eastAsia"/>
          <w:color w:val="auto"/>
          <w:sz w:val="21"/>
          <w:szCs w:val="21"/>
          <w:highlight w:val="none"/>
        </w:rPr>
        <w:t>13.1 分部分项工程验收</w:t>
      </w:r>
      <w:bookmarkEnd w:id="962"/>
      <w:bookmarkEnd w:id="963"/>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13.1.2 监理人不能按时进行验收时，应提前</w:t>
      </w:r>
      <w:r>
        <w:rPr>
          <w:rFonts w:hint="eastAsia" w:ascii="宋体" w:hAnsi="宋体"/>
          <w:color w:val="auto"/>
          <w:szCs w:val="21"/>
          <w:highlight w:val="none"/>
          <w:u w:val="single"/>
        </w:rPr>
        <w:t>24</w:t>
      </w:r>
      <w:r>
        <w:rPr>
          <w:rFonts w:hint="eastAsia" w:ascii="宋体" w:hAnsi="宋体"/>
          <w:color w:val="auto"/>
          <w:szCs w:val="21"/>
          <w:highlight w:val="none"/>
        </w:rPr>
        <w:t>小时提交书面延期要求。</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关于延期最长不得超过：</w:t>
      </w:r>
      <w:r>
        <w:rPr>
          <w:rFonts w:hint="eastAsia" w:ascii="宋体" w:hAnsi="宋体"/>
          <w:color w:val="auto"/>
          <w:szCs w:val="21"/>
          <w:highlight w:val="none"/>
          <w:u w:val="single"/>
        </w:rPr>
        <w:t>48</w:t>
      </w:r>
      <w:r>
        <w:rPr>
          <w:rFonts w:hint="eastAsia" w:ascii="宋体" w:hAnsi="宋体"/>
          <w:color w:val="auto"/>
          <w:szCs w:val="21"/>
          <w:highlight w:val="none"/>
        </w:rPr>
        <w:t>小时。</w:t>
      </w:r>
    </w:p>
    <w:p>
      <w:pPr>
        <w:pStyle w:val="7"/>
        <w:spacing w:before="0" w:beforeAutospacing="0" w:after="0" w:afterAutospacing="0" w:line="360" w:lineRule="auto"/>
        <w:ind w:firstLine="422" w:firstLineChars="200"/>
        <w:rPr>
          <w:color w:val="auto"/>
          <w:sz w:val="21"/>
          <w:szCs w:val="21"/>
          <w:highlight w:val="none"/>
        </w:rPr>
      </w:pPr>
      <w:bookmarkStart w:id="977" w:name="_Toc532377390"/>
      <w:bookmarkStart w:id="978" w:name="_Toc532375653"/>
      <w:bookmarkStart w:id="979" w:name="_Toc304295596"/>
      <w:bookmarkStart w:id="980" w:name="_Toc297048409"/>
      <w:bookmarkStart w:id="981" w:name="_Toc303539173"/>
      <w:bookmarkStart w:id="982" w:name="_Toc297123565"/>
      <w:bookmarkStart w:id="983" w:name="_Toc297120523"/>
      <w:bookmarkStart w:id="984" w:name="_Toc296891263"/>
      <w:bookmarkStart w:id="985" w:name="_Toc300935016"/>
      <w:bookmarkStart w:id="986" w:name="_Toc296944562"/>
      <w:bookmarkStart w:id="987" w:name="_Toc296346724"/>
      <w:bookmarkStart w:id="988" w:name="_Toc292559428"/>
      <w:bookmarkStart w:id="989" w:name="_Toc297216224"/>
      <w:bookmarkStart w:id="990" w:name="_Toc312678056"/>
      <w:bookmarkStart w:id="991" w:name="_Toc296347222"/>
      <w:bookmarkStart w:id="992" w:name="_Toc296503223"/>
      <w:bookmarkStart w:id="993" w:name="_Toc296891051"/>
      <w:bookmarkStart w:id="994" w:name="_Toc292559933"/>
      <w:r>
        <w:rPr>
          <w:rFonts w:hint="eastAsia"/>
          <w:color w:val="auto"/>
          <w:sz w:val="21"/>
          <w:szCs w:val="21"/>
          <w:highlight w:val="none"/>
        </w:rPr>
        <w:t>13.2 竣工验收</w:t>
      </w:r>
      <w:bookmarkEnd w:id="977"/>
      <w:bookmarkEnd w:id="978"/>
    </w:p>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13.2.2竣工验收程序</w:t>
      </w:r>
    </w:p>
    <w:bookmarkEnd w:id="964"/>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关于竣工验收程序的约定：工程完工且符合下列条件时，承包人可向发包人提供竣工报告，并要求验收：</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（1）除发包人同意的甩项工作和缺陷修补工作外，合同范围内的全部工程以及有关工作，包括合同要求的试验、试运行以及检验均已完成，并符合合同要求；</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（2）已按合同约定编制了甩项工作和缺陷修补工作清单以及相应的施工计划；</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（3）已按合同约定的内容和份数备齐竣工资料。</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工程竣工及竣工资料：</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（1）发包人应在收到承包人竣工报告后14天内组织设计单位、监理单位、质监等其他部门进行验收，竣工日期以最后一次整改后通过竣工验收的时间为准</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2）当工程具备竣工验收条件时，承包人应及时向发包人提交竣工报告及竣工资料、办理移交手续。否则发包人有权依据监理人出具的鉴定结论书，自行组织有关部门验收，并提出整改意见。承包人必须按要求整改，并承担整改费用；如承包人拒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（3）承包人提供竣工资料的约定：</w:t>
      </w:r>
      <w:r>
        <w:rPr>
          <w:rFonts w:hint="eastAsia" w:ascii="宋体" w:hAnsi="宋体"/>
          <w:color w:val="auto"/>
          <w:szCs w:val="21"/>
          <w:highlight w:val="none"/>
          <w:u w:val="single"/>
        </w:rPr>
        <w:t>承包人提供纸质版竣工图三套，电子版竣工图二套（刻光盘）</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实际</w:t>
      </w:r>
      <w:r>
        <w:rPr>
          <w:rFonts w:hint="default" w:ascii="Times New Roman" w:hAnsi="Times New Roman" w:cs="Times New Roman"/>
          <w:color w:val="auto"/>
          <w:highlight w:val="none"/>
          <w:u w:val="single"/>
        </w:rPr>
        <w:t>按发包人要求提供</w:t>
      </w:r>
      <w:r>
        <w:rPr>
          <w:rFonts w:hint="eastAsia" w:ascii="宋体" w:hAnsi="宋体"/>
          <w:color w:val="auto"/>
          <w:szCs w:val="21"/>
          <w:highlight w:val="none"/>
        </w:rPr>
        <w:t>。</w:t>
      </w:r>
    </w:p>
    <w:bookmarkEnd w:id="965"/>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13.2.5 移交、接收全部与部分工程</w:t>
      </w:r>
    </w:p>
    <w:bookmarkEnd w:id="966"/>
    <w:p>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承包人向发包人移交工程的期限：</w:t>
      </w:r>
      <w:r>
        <w:rPr>
          <w:rFonts w:hint="eastAsia" w:ascii="宋体" w:hAnsi="宋体"/>
          <w:color w:val="auto"/>
          <w:szCs w:val="21"/>
          <w:highlight w:val="none"/>
          <w:u w:val="single"/>
        </w:rPr>
        <w:t>颁发工程接收证书后7天内完成工程的移交</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发包人未按合同约定接收全部或部分工程的，违约金的计算方法为：</w:t>
      </w:r>
      <w:r>
        <w:rPr>
          <w:rFonts w:hint="default" w:ascii="Times New Roman" w:hAnsi="Times New Roman" w:cs="Times New Roman"/>
          <w:color w:val="auto"/>
          <w:kern w:val="0"/>
          <w:highlight w:val="none"/>
          <w:u w:val="single"/>
        </w:rPr>
        <w:t>不采用</w:t>
      </w:r>
      <w:r>
        <w:rPr>
          <w:rFonts w:hint="eastAsia" w:ascii="宋体" w:hAnsi="宋体"/>
          <w:color w:val="auto"/>
          <w:szCs w:val="21"/>
          <w:highlight w:val="none"/>
          <w:u w:val="single"/>
        </w:rPr>
        <w:t>。</w:t>
      </w:r>
    </w:p>
    <w:bookmarkEnd w:id="967"/>
    <w:p>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因承包人自身原因未按时移交工程的，违约金的计算方法为：</w:t>
      </w:r>
      <w:r>
        <w:rPr>
          <w:rFonts w:hint="eastAsia" w:ascii="宋体" w:hAnsi="宋体"/>
          <w:color w:val="auto"/>
          <w:szCs w:val="21"/>
          <w:highlight w:val="none"/>
          <w:u w:val="single"/>
        </w:rPr>
        <w:t>承包人应承担工程照管、成品保护、保管等与工程有关的各项费用，并按经审定结算金额的0.5‰/天支付违约金</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995" w:name="_Toc532375654"/>
      <w:bookmarkStart w:id="996" w:name="_Toc532377391"/>
      <w:r>
        <w:rPr>
          <w:rFonts w:hint="eastAsia"/>
          <w:color w:val="auto"/>
          <w:sz w:val="21"/>
          <w:szCs w:val="21"/>
          <w:highlight w:val="none"/>
        </w:rPr>
        <w:t>13.3 工程试车</w:t>
      </w:r>
      <w:bookmarkEnd w:id="995"/>
      <w:bookmarkEnd w:id="996"/>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13.3.1 试车程序</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工程试车内容：</w:t>
      </w:r>
      <w:r>
        <w:rPr>
          <w:rFonts w:hint="eastAsia" w:ascii="宋体" w:hAnsi="宋体"/>
          <w:color w:val="auto"/>
          <w:szCs w:val="21"/>
          <w:highlight w:val="none"/>
          <w:u w:val="single"/>
        </w:rPr>
        <w:t>按通用合同条款执行</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（1）单机无负荷试车费用由</w:t>
      </w:r>
      <w:r>
        <w:rPr>
          <w:rFonts w:hint="eastAsia" w:ascii="宋体" w:hAnsi="宋体"/>
          <w:color w:val="auto"/>
          <w:szCs w:val="21"/>
          <w:highlight w:val="none"/>
          <w:u w:val="single"/>
        </w:rPr>
        <w:t>承包人</w:t>
      </w:r>
      <w:r>
        <w:rPr>
          <w:rFonts w:hint="eastAsia" w:ascii="宋体" w:hAnsi="宋体"/>
          <w:color w:val="auto"/>
          <w:szCs w:val="21"/>
          <w:highlight w:val="none"/>
        </w:rPr>
        <w:t>承担；</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（2）无负荷联动试车费用由</w:t>
      </w:r>
      <w:r>
        <w:rPr>
          <w:rFonts w:hint="eastAsia" w:ascii="宋体" w:hAnsi="宋体"/>
          <w:color w:val="auto"/>
          <w:szCs w:val="21"/>
          <w:highlight w:val="none"/>
          <w:u w:val="single"/>
        </w:rPr>
        <w:t>承包人</w:t>
      </w:r>
      <w:r>
        <w:rPr>
          <w:rFonts w:hint="eastAsia" w:ascii="宋体" w:hAnsi="宋体"/>
          <w:color w:val="auto"/>
          <w:szCs w:val="21"/>
          <w:highlight w:val="none"/>
        </w:rPr>
        <w:t>承担。</w:t>
      </w:r>
    </w:p>
    <w:p>
      <w:pPr>
        <w:pStyle w:val="7"/>
        <w:spacing w:before="0" w:beforeAutospacing="0" w:after="0" w:afterAutospacing="0" w:line="360" w:lineRule="auto"/>
        <w:ind w:firstLine="422" w:firstLineChars="200"/>
        <w:rPr>
          <w:color w:val="auto"/>
          <w:sz w:val="21"/>
          <w:szCs w:val="21"/>
          <w:highlight w:val="none"/>
        </w:rPr>
      </w:pPr>
      <w:bookmarkStart w:id="997" w:name="_Toc532375655"/>
      <w:bookmarkStart w:id="998" w:name="_Toc532377392"/>
      <w:r>
        <w:rPr>
          <w:rFonts w:hint="eastAsia"/>
          <w:color w:val="auto"/>
          <w:sz w:val="21"/>
          <w:szCs w:val="21"/>
          <w:highlight w:val="none"/>
        </w:rPr>
        <w:t>13.6 竣工退场</w:t>
      </w:r>
      <w:bookmarkEnd w:id="997"/>
      <w:bookmarkEnd w:id="998"/>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13.6.1 竣工退场</w:t>
      </w:r>
    </w:p>
    <w:p>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承包人完成竣工退场的期限：</w:t>
      </w:r>
      <w:r>
        <w:rPr>
          <w:rFonts w:hint="eastAsia" w:ascii="宋体" w:hAnsi="宋体"/>
          <w:color w:val="auto"/>
          <w:szCs w:val="21"/>
          <w:highlight w:val="none"/>
          <w:u w:val="single"/>
        </w:rPr>
        <w:t>工程接收证书颁发后28天内，承包人的施工人员、剩余材料、施工设备和临时工程应完全撤离施工场地并对施工场地进行清理、平整、复原，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0.5‰/天的标准向发包人支付违约金。因工程维修需要部分人员必须留在施工现场的，需征得发包人同意</w:t>
      </w:r>
      <w:r>
        <w:rPr>
          <w:rFonts w:hint="eastAsia" w:ascii="宋体" w:hAnsi="宋体"/>
          <w:color w:val="auto"/>
          <w:szCs w:val="21"/>
          <w:highlight w:val="none"/>
        </w:rPr>
        <w:t>。</w:t>
      </w:r>
    </w:p>
    <w:bookmarkEnd w:id="968"/>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999" w:name="_Toc532375656"/>
      <w:bookmarkStart w:id="1000" w:name="_Toc351203646"/>
      <w:bookmarkStart w:id="1001" w:name="_Toc532377393"/>
      <w:r>
        <w:rPr>
          <w:rFonts w:hint="eastAsia"/>
          <w:color w:val="auto"/>
          <w:kern w:val="2"/>
          <w:sz w:val="21"/>
          <w:szCs w:val="21"/>
          <w:highlight w:val="none"/>
        </w:rPr>
        <w:t>14. 竣工结算</w:t>
      </w:r>
      <w:bookmarkEnd w:id="999"/>
      <w:bookmarkEnd w:id="1000"/>
      <w:bookmarkEnd w:id="1001"/>
    </w:p>
    <w:p>
      <w:pPr>
        <w:pStyle w:val="7"/>
        <w:spacing w:before="0" w:beforeAutospacing="0" w:after="0" w:afterAutospacing="0" w:line="360" w:lineRule="auto"/>
        <w:ind w:firstLine="422" w:firstLineChars="200"/>
        <w:rPr>
          <w:color w:val="auto"/>
          <w:sz w:val="21"/>
          <w:szCs w:val="21"/>
          <w:highlight w:val="none"/>
        </w:rPr>
      </w:pPr>
      <w:bookmarkStart w:id="1002" w:name="_Toc532377394"/>
      <w:bookmarkStart w:id="1003" w:name="_Toc532375657"/>
      <w:r>
        <w:rPr>
          <w:rFonts w:hint="eastAsia"/>
          <w:color w:val="auto"/>
          <w:sz w:val="21"/>
          <w:szCs w:val="21"/>
          <w:highlight w:val="none"/>
        </w:rPr>
        <w:t>14.1 竣工结算申请</w:t>
      </w:r>
      <w:bookmarkEnd w:id="1002"/>
      <w:bookmarkEnd w:id="1003"/>
    </w:p>
    <w:p>
      <w:pPr>
        <w:widowControl/>
        <w:spacing w:line="360" w:lineRule="auto"/>
        <w:ind w:firstLine="420" w:firstLineChars="200"/>
        <w:jc w:val="left"/>
        <w:textAlignment w:val="top"/>
        <w:rPr>
          <w:rFonts w:hint="default" w:ascii="Times New Roman" w:hAnsi="Times New Roman" w:cs="Times New Roman"/>
          <w:color w:val="auto"/>
          <w:kern w:val="0"/>
          <w:szCs w:val="21"/>
          <w:highlight w:val="none"/>
        </w:rPr>
      </w:pPr>
      <w:bookmarkStart w:id="1004" w:name="_Toc532375658"/>
      <w:bookmarkStart w:id="1005" w:name="_Toc532377395"/>
      <w:r>
        <w:rPr>
          <w:rFonts w:hint="default" w:ascii="Times New Roman" w:hAnsi="Times New Roman" w:cs="Times New Roman"/>
          <w:color w:val="auto"/>
          <w:kern w:val="0"/>
          <w:szCs w:val="21"/>
          <w:highlight w:val="none"/>
        </w:rPr>
        <w:t>（1）</w:t>
      </w:r>
      <w:r>
        <w:rPr>
          <w:rFonts w:hint="default" w:ascii="宋体" w:hAnsi="宋体" w:eastAsia="宋体" w:cs="Times New Roman"/>
          <w:color w:val="auto"/>
          <w:szCs w:val="21"/>
          <w:highlight w:val="none"/>
        </w:rPr>
        <w:t>承包人提交竣工结算申请单的期限：竣工验收后，承包人应在30日内以书面方式向发包人提出结算报告以及真实、完整、齐全、有效的结算资料壹套（含纸质、电子档），申请办理竣工结算。并：承包人若在竣工验收通过后四个月后仍未能按时提交结算资料且无合理理由时，则发包人有权将能提供的结算资料经监理单位确认后，直接委托咨询单位进行工程结算，承包人无权对结算资料提出疑义；同时发包人也有权认为承包人对本项目放弃了工程结算，结束并完结了本合同除保修书外双方应履行的义务与责任。工程量如发生变化，可作调整，若项目的遗漏，承包人均作让利给发包人，不作增加调整。</w:t>
      </w:r>
    </w:p>
    <w:p>
      <w:pPr>
        <w:widowControl/>
        <w:spacing w:line="360" w:lineRule="auto"/>
        <w:ind w:firstLine="420" w:firstLineChars="200"/>
        <w:jc w:val="left"/>
        <w:textAlignment w:val="top"/>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（2）竣工结算申请单应包括的内容：</w:t>
      </w:r>
      <w:r>
        <w:rPr>
          <w:rFonts w:hint="default" w:ascii="Times New Roman" w:hAnsi="Times New Roman" w:cs="Times New Roman"/>
          <w:color w:val="auto"/>
          <w:szCs w:val="21"/>
          <w:highlight w:val="none"/>
        </w:rPr>
        <w:t>除按通用条款外，还须包括材料单价确价文件，材差调整审定文件，设计变更单、收方单、隐蔽资料、施工图蓝图、现场签证（原件）、投标文件、隐蔽记录、检验试验记录、支付审批单及对应发票、竣工图及相应的预算书、开工报告、工程竣工验收单、单项工程竣工验收报告（工期或者质量未达到合同要求的项目应提供相应的明确责任的说明）、结算移交表、工程结算申请书、其他与工程结算相关的双方确认的协议书、备忘录等有效证明文件，等等。结算时承包人承诺在送审资料交接完成后：①在审价过程中不再增加任何结算资料，包括图纸、联系单、签证单、价格凭证等；②在送审结算书中项目的工程量如发生变化，可作调整，若项目的遗漏，承包人均作让利给发包人，不作增加调整。</w:t>
      </w:r>
    </w:p>
    <w:p>
      <w:pPr>
        <w:pStyle w:val="23"/>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kern w:val="0"/>
          <w:highlight w:val="none"/>
        </w:rPr>
        <w:t>（3）承包人提交竣工结算的其他事项：</w:t>
      </w:r>
    </w:p>
    <w:p>
      <w:pPr>
        <w:tabs>
          <w:tab w:val="left" w:pos="1418"/>
        </w:tabs>
        <w:spacing w:line="360" w:lineRule="auto"/>
        <w:ind w:firstLine="482"/>
        <w:rPr>
          <w:rFonts w:hint="default" w:ascii="Times New Roman" w:hAnsi="Times New Roman" w:cs="Times New Roman"/>
          <w:color w:val="auto"/>
          <w:highlight w:val="none"/>
        </w:rPr>
      </w:pPr>
      <w:r>
        <w:rPr>
          <w:rFonts w:hint="default" w:ascii="Times New Roman" w:hAnsi="Times New Roman" w:cs="Times New Roman"/>
          <w:color w:val="auto"/>
          <w:highlight w:val="none"/>
        </w:rPr>
        <w:t>1、承包人应于报送结算资料前14天内，会同发包人、监理单位落实合同范围内未实施或未完全实施的项目，作为竣工结算的依据；若承包人未按此要求办理，则以发包人收集的资料为结算依据。其未实施部分项目，若承包人隐瞒上报，且造成发包人已支付该费用的，按发包人实际支付金额或合同约定计价原则计算金额的200%从结算金额中扣取，二者取大值作为对承包人的违约处理；</w:t>
      </w:r>
    </w:p>
    <w:p>
      <w:pPr>
        <w:tabs>
          <w:tab w:val="left" w:pos="1418"/>
        </w:tabs>
        <w:spacing w:line="360" w:lineRule="auto"/>
        <w:ind w:firstLine="482"/>
        <w:rPr>
          <w:rFonts w:hint="default" w:ascii="Times New Roman" w:hAnsi="Times New Roman" w:cs="Times New Roman"/>
          <w:color w:val="auto"/>
          <w:highlight w:val="none"/>
        </w:rPr>
      </w:pPr>
      <w:r>
        <w:rPr>
          <w:rFonts w:hint="default" w:ascii="Times New Roman" w:hAnsi="Times New Roman" w:cs="Times New Roman"/>
          <w:color w:val="auto"/>
          <w:highlight w:val="none"/>
        </w:rPr>
        <w:t>2、承包人报送的结算资料必须通过发包人转送发包人委托的第三方造价机构，承包人不得私自递交任何结算资料给造价机构；若发包人发现有此现象，则按2万元/次从结算款中扣取。</w:t>
      </w:r>
    </w:p>
    <w:p>
      <w:pPr>
        <w:tabs>
          <w:tab w:val="left" w:pos="1418"/>
        </w:tabs>
        <w:spacing w:line="360" w:lineRule="auto"/>
        <w:ind w:firstLine="482"/>
        <w:rPr>
          <w:rFonts w:hint="default" w:ascii="Times New Roman" w:hAnsi="Times New Roman" w:cs="Times New Roman"/>
          <w:color w:val="auto"/>
          <w:highlight w:val="none"/>
        </w:rPr>
      </w:pPr>
      <w:r>
        <w:rPr>
          <w:rFonts w:hint="default" w:ascii="Times New Roman" w:hAnsi="Times New Roman" w:cs="Times New Roman"/>
          <w:color w:val="auto"/>
          <w:highlight w:val="none"/>
        </w:rPr>
        <w:t>3、如因承包人原因未能在规定时间内按发包人的要求提交完整的结算资料的，自规定时间的第二日起，每超期一天，向发包人支付违约金2000元。</w:t>
      </w:r>
    </w:p>
    <w:p>
      <w:pPr>
        <w:spacing w:line="360" w:lineRule="auto"/>
        <w:ind w:firstLine="482"/>
        <w:rPr>
          <w:rFonts w:hint="default" w:ascii="Times New Roman" w:hAnsi="Times New Roman" w:cs="Times New Roman"/>
          <w:color w:val="auto"/>
          <w:highlight w:val="none"/>
        </w:rPr>
      </w:pPr>
      <w:r>
        <w:rPr>
          <w:rFonts w:hint="default" w:ascii="Times New Roman" w:hAnsi="Times New Roman" w:cs="Times New Roman"/>
          <w:color w:val="auto"/>
          <w:highlight w:val="none"/>
        </w:rPr>
        <w:t>4、承包人报送的结算金额应尽可能准确，经造价咨询机构审核后，若审减金额超过送审金额的4%（含4%），超过4%部分的审核费用按相关文件计算，由承包人负责；若审减金额超过送审金额的10%（含10%)</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则所有的审核费用均由承包人承担。</w:t>
      </w:r>
    </w:p>
    <w:p>
      <w:pPr>
        <w:spacing w:line="360" w:lineRule="auto"/>
        <w:ind w:firstLine="482"/>
        <w:rPr>
          <w:rFonts w:hint="default" w:ascii="Times New Roman" w:hAnsi="Times New Roman" w:cs="Times New Roman"/>
          <w:color w:val="auto"/>
          <w:highlight w:val="none"/>
        </w:rPr>
      </w:pPr>
      <w:r>
        <w:rPr>
          <w:rFonts w:hint="default" w:ascii="Times New Roman" w:hAnsi="Times New Roman" w:cs="Times New Roman"/>
          <w:color w:val="auto"/>
          <w:highlight w:val="none"/>
        </w:rPr>
        <w:t>5、承包人不得擅自与第三方造价机构或成员在非办公场所接触。承包人违反的视为根本性违反合同。</w:t>
      </w:r>
    </w:p>
    <w:p>
      <w:pPr>
        <w:pStyle w:val="7"/>
        <w:spacing w:before="0" w:beforeAutospacing="0" w:after="0" w:afterAutospacing="0" w:line="360" w:lineRule="auto"/>
        <w:ind w:firstLine="422" w:firstLineChars="200"/>
        <w:rPr>
          <w:rFonts w:hint="eastAsia" w:ascii="宋体" w:hAnsi="宋体"/>
          <w:color w:val="auto"/>
          <w:szCs w:val="21"/>
          <w:highlight w:val="none"/>
        </w:rPr>
      </w:pPr>
      <w:r>
        <w:rPr>
          <w:rFonts w:hint="eastAsia"/>
          <w:color w:val="auto"/>
          <w:sz w:val="21"/>
          <w:szCs w:val="21"/>
          <w:highlight w:val="none"/>
        </w:rPr>
        <w:t>14.2 竣工结算审核</w:t>
      </w:r>
      <w:bookmarkEnd w:id="1004"/>
      <w:bookmarkEnd w:id="1005"/>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14.2.1 竣工结算办法</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14.2.1.1计量原则</w:t>
      </w:r>
    </w:p>
    <w:p>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按照第12.3.1项〔计量原则〕约定执行。</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14.2.1.2</w:t>
      </w:r>
      <w:r>
        <w:rPr>
          <w:rFonts w:hint="default" w:ascii="Times New Roman" w:hAnsi="Times New Roman" w:cs="Times New Roman"/>
          <w:color w:val="auto"/>
          <w:kern w:val="0"/>
          <w:highlight w:val="none"/>
        </w:rPr>
        <w:t>竣工结算</w:t>
      </w:r>
      <w:r>
        <w:rPr>
          <w:rFonts w:hint="eastAsia" w:ascii="宋体" w:hAnsi="宋体"/>
          <w:color w:val="auto"/>
          <w:szCs w:val="21"/>
          <w:highlight w:val="none"/>
        </w:rPr>
        <w:t>原则</w:t>
      </w:r>
    </w:p>
    <w:p>
      <w:pPr>
        <w:spacing w:line="360" w:lineRule="auto"/>
        <w:ind w:right="105" w:rightChars="50" w:firstLine="420" w:firstLineChars="200"/>
        <w:jc w:val="left"/>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lang w:val="en-US" w:eastAsia="zh-CN"/>
        </w:rPr>
        <w:t>一、承包人严格按照施工图施工，在施工过程中，施工图纸外的所有变化，须经四方签证认可（承包人、监理、发包人、全过程跟踪审计），未签证认可的有效变更不予结算。</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default" w:ascii="宋体" w:hAnsi="宋体" w:eastAsia="宋体" w:cs="Times New Roman"/>
          <w:color w:val="auto"/>
          <w:szCs w:val="21"/>
          <w:highlight w:val="yellow"/>
          <w:lang w:val="en-US" w:eastAsia="zh-CN"/>
        </w:rPr>
        <w:t>二、</w:t>
      </w:r>
      <w:r>
        <w:rPr>
          <w:rFonts w:hint="eastAsia" w:asciiTheme="minorEastAsia" w:hAnsiTheme="minorEastAsia" w:eastAsiaTheme="minorEastAsia" w:cstheme="minorEastAsia"/>
          <w:color w:val="auto"/>
          <w:kern w:val="0"/>
          <w:szCs w:val="21"/>
          <w:highlight w:val="none"/>
        </w:rPr>
        <w:t>结算价=∑中标全费用清单综合单价×子项工程量+工程量清单新增或变更等引起的增（减）子项结算价，子项工程量按《重庆市建设工程工程量计算规则》(CQJLGZ－2013)规定的计量规则、招标工程量清单项目特征描述中描述的计量规则并结合本合同相关约定计算的实际合格工程量。</w:t>
      </w:r>
    </w:p>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全费用清单综合单价中的安全文明施工费、规费、税金投标时均视为已按照本市相关部门的规定计取。结算时中标全费用清单综合单价一律不做调整。</w:t>
      </w:r>
    </w:p>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设计变更及调整、施工过程中出现新增项目（含采购范围以外的项目）价款结算办法：工程设计变更确定后，设计变更涉及工程价款调整的，工程施工中出现新增项目，由中标人在该变更、新增项目启动前14天内向监理单位、采购人提出，经采购人、监理单位审核同意后调整合同价款。调整方法如下：</w:t>
      </w:r>
    </w:p>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A．工程内容与投标报价的工程量清单中有相同的子项或类似子项，则按投标时的相同子项或类似子项的综合单价执行（类似子项的综合单价由采购人审定, 最终办理结算以采购人结算内审结果为准，若经相关部门结（决）算审查，采购人有权对工程结算内审价款进行调整。）；</w:t>
      </w:r>
    </w:p>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B．工程内容如有与工程量清单不同的子项按《建设工程工程量清单计价规范》（GB50500-2013）及相关技术规范、要求编制工程量清单，同时结合《重庆市市政工程计价定额》、《重庆市安装工程计价定额》、《重庆市建设工程费用定额》、《混凝土及砂浆配合比表、施工机械台班定额》及相关配套文件套价，套价原则：投标报价与限价下浮比例进行总价同比例下浮，并报采购人审核，其中（人工、材料价格：按投标价格；投标书中没有的人工、材料价格以采购人认质核定的价格为准）。工程量为依据《市政工程工程量计算规范》（GB50857-2013）以及《重庆市建设工程工程量计算规则》（CQJLGZ－2013）约定的计量规则计算的实际合格工程量。</w:t>
      </w:r>
    </w:p>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本工程结算以审核结果为准，若需相关部门结（决）算审查的，采购人将对工程结算审核价款进行调整，最后价格以调整后的为准。审计依据包括本合同以及政府审计相关法律法规及规范性文件。</w:t>
      </w:r>
    </w:p>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据实结算后不得超过限价，超过限价部分不予结算。</w:t>
      </w:r>
    </w:p>
    <w:p>
      <w:pPr>
        <w:spacing w:line="360" w:lineRule="auto"/>
        <w:ind w:firstLine="422" w:firstLineChars="200"/>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审计费：</w:t>
      </w:r>
    </w:p>
    <w:p>
      <w:pPr>
        <w:spacing w:line="360" w:lineRule="auto"/>
        <w:ind w:right="105" w:rightChars="50"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委托方只支付基本审计费，所有审减金额的效益费由中标人支付。审减效益费按渝价〔2013〕428号文件附表中相关规定计算，结算审核审减效益费计取基数为本项目的审减额，该审减额应抵消审增金额，审减效益费按照累进制计取，且不按工程类别调整系数。</w:t>
      </w:r>
    </w:p>
    <w:p>
      <w:pPr>
        <w:spacing w:line="360" w:lineRule="auto"/>
        <w:ind w:right="105" w:rightChars="50" w:firstLine="420" w:firstLineChars="200"/>
        <w:jc w:val="left"/>
        <w:rPr>
          <w:rFonts w:ascii="宋体" w:hAnsi="宋体"/>
          <w:szCs w:val="21"/>
          <w:u w:val="single"/>
        </w:rPr>
      </w:pPr>
      <w:r>
        <w:rPr>
          <w:rFonts w:hint="eastAsia" w:ascii="宋体" w:hAnsi="宋体"/>
          <w:color w:val="auto"/>
          <w:szCs w:val="21"/>
          <w:u w:val="single"/>
        </w:rPr>
        <w:t>7）本工程如下费用已综合考虑在投标取费比例或投标报价中，中标后发包人不再另行支</w:t>
      </w:r>
      <w:r>
        <w:rPr>
          <w:rFonts w:hint="eastAsia" w:ascii="宋体" w:hAnsi="宋体"/>
          <w:szCs w:val="21"/>
          <w:u w:val="single"/>
        </w:rPr>
        <w:t>付。具体如下：</w:t>
      </w:r>
    </w:p>
    <w:p>
      <w:pPr>
        <w:spacing w:line="360" w:lineRule="auto"/>
        <w:ind w:right="105" w:rightChars="50" w:firstLine="420" w:firstLineChars="200"/>
        <w:jc w:val="left"/>
        <w:rPr>
          <w:rFonts w:ascii="宋体" w:hAnsi="宋体"/>
          <w:szCs w:val="21"/>
          <w:u w:val="single"/>
        </w:rPr>
      </w:pPr>
      <w:r>
        <w:rPr>
          <w:rFonts w:hint="eastAsia" w:ascii="宋体" w:hAnsi="宋体"/>
          <w:szCs w:val="21"/>
          <w:u w:val="single"/>
        </w:rPr>
        <w:t>7.1为保证本工程的合同工期所发生的抢工措施费(如使用砼早强剂、周转材料和机具设备以及人工的大量投入等)，以及抢工状况下的工程质量和安全保证措施费。</w:t>
      </w:r>
    </w:p>
    <w:p>
      <w:pPr>
        <w:spacing w:line="360" w:lineRule="auto"/>
        <w:ind w:right="105" w:rightChars="50" w:firstLine="420" w:firstLineChars="200"/>
        <w:jc w:val="left"/>
        <w:rPr>
          <w:rFonts w:ascii="宋体" w:hAnsi="宋体"/>
          <w:szCs w:val="21"/>
          <w:u w:val="single"/>
        </w:rPr>
      </w:pPr>
      <w:r>
        <w:rPr>
          <w:rFonts w:hint="eastAsia" w:ascii="宋体" w:hAnsi="宋体"/>
          <w:szCs w:val="21"/>
          <w:u w:val="single"/>
        </w:rPr>
        <w:t>7.2因发包人变更、认质认价不及时造成的停、窝工损失。</w:t>
      </w:r>
    </w:p>
    <w:p>
      <w:pPr>
        <w:spacing w:line="360" w:lineRule="auto"/>
        <w:ind w:right="105" w:rightChars="50" w:firstLine="420" w:firstLineChars="200"/>
        <w:jc w:val="left"/>
        <w:rPr>
          <w:rFonts w:ascii="宋体" w:hAnsi="宋体"/>
          <w:szCs w:val="21"/>
          <w:u w:val="single"/>
        </w:rPr>
      </w:pPr>
      <w:r>
        <w:rPr>
          <w:rFonts w:hint="eastAsia" w:ascii="宋体" w:hAnsi="宋体"/>
          <w:szCs w:val="21"/>
          <w:u w:val="single"/>
        </w:rPr>
        <w:t>7.3本工程临时施工用地的占用及恢复费(含施工便道、作业场地建设)包括因工程建设需要（如施工便道、作业场地）的占道、设备及材料运输、附着物及青苗补偿、建（构）筑物拆除、道路及重要设施的保护与修复（不低于原标准）、土地租用（如需要）、用地及协调等相关费用。</w:t>
      </w:r>
    </w:p>
    <w:p>
      <w:pPr>
        <w:spacing w:line="360" w:lineRule="auto"/>
        <w:ind w:right="105" w:rightChars="50" w:firstLine="420" w:firstLineChars="200"/>
        <w:jc w:val="left"/>
        <w:rPr>
          <w:rFonts w:ascii="宋体" w:hAnsi="宋体"/>
          <w:szCs w:val="21"/>
          <w:u w:val="single"/>
        </w:rPr>
      </w:pPr>
      <w:r>
        <w:rPr>
          <w:rFonts w:hint="eastAsia" w:ascii="宋体" w:hAnsi="宋体"/>
          <w:szCs w:val="21"/>
          <w:u w:val="single"/>
        </w:rPr>
        <w:t>7.4承包人应充分调查招标工程范围内及周边的现有地方路网并踏勘现场，自行考虑进场道路和施工便道布设方案（含到弃渣场的道路），如使用现有道路造成道路破坏的恢复费用。</w:t>
      </w:r>
    </w:p>
    <w:p>
      <w:pPr>
        <w:spacing w:line="360" w:lineRule="auto"/>
        <w:ind w:right="105" w:rightChars="50" w:firstLine="420" w:firstLineChars="200"/>
        <w:jc w:val="left"/>
        <w:rPr>
          <w:rFonts w:ascii="宋体" w:hAnsi="宋体"/>
          <w:szCs w:val="21"/>
          <w:u w:val="single"/>
        </w:rPr>
      </w:pPr>
      <w:r>
        <w:rPr>
          <w:rFonts w:hint="eastAsia" w:ascii="宋体" w:hAnsi="宋体"/>
          <w:szCs w:val="21"/>
          <w:u w:val="single"/>
        </w:rPr>
        <w:t>7.5承包人施工期间，各种来源的水、场外水流入施工现场所采取的各种排水措施及施工降效等所发生的费用，但不包括承包人获得“合同竣工验收日确认书”之后的抽排水费用。</w:t>
      </w:r>
    </w:p>
    <w:p>
      <w:pPr>
        <w:spacing w:line="360" w:lineRule="auto"/>
        <w:ind w:right="105" w:rightChars="50" w:firstLine="420" w:firstLineChars="200"/>
        <w:jc w:val="left"/>
        <w:rPr>
          <w:rFonts w:ascii="宋体" w:hAnsi="宋体"/>
          <w:szCs w:val="21"/>
          <w:u w:val="single"/>
        </w:rPr>
      </w:pPr>
      <w:r>
        <w:rPr>
          <w:rFonts w:hint="eastAsia" w:ascii="宋体" w:hAnsi="宋体"/>
          <w:szCs w:val="21"/>
          <w:u w:val="single"/>
        </w:rPr>
        <w:t>7.6施工条件的改变包括承包人对施工现场的了解不够等而改变施工组织设计的施工方法所增加的各种费用。</w:t>
      </w:r>
    </w:p>
    <w:p>
      <w:pPr>
        <w:spacing w:line="360" w:lineRule="auto"/>
        <w:ind w:right="105" w:rightChars="50" w:firstLine="420" w:firstLineChars="200"/>
        <w:jc w:val="left"/>
        <w:rPr>
          <w:rFonts w:ascii="宋体" w:hAnsi="宋体"/>
          <w:szCs w:val="21"/>
          <w:u w:val="single"/>
        </w:rPr>
      </w:pPr>
      <w:r>
        <w:rPr>
          <w:rFonts w:hint="eastAsia" w:ascii="宋体" w:hAnsi="宋体"/>
          <w:szCs w:val="21"/>
          <w:u w:val="single"/>
        </w:rPr>
        <w:t>7.7承包人实际发生的安全文明施工费用超出文件规定的安全文明施工费用。</w:t>
      </w:r>
    </w:p>
    <w:p>
      <w:pPr>
        <w:spacing w:line="360" w:lineRule="auto"/>
        <w:ind w:right="105" w:rightChars="50" w:firstLine="420" w:firstLineChars="200"/>
        <w:jc w:val="left"/>
        <w:rPr>
          <w:rFonts w:ascii="宋体" w:hAnsi="宋体"/>
          <w:szCs w:val="21"/>
          <w:u w:val="single"/>
        </w:rPr>
      </w:pPr>
      <w:r>
        <w:rPr>
          <w:rFonts w:hint="eastAsia" w:ascii="宋体" w:hAnsi="宋体"/>
          <w:szCs w:val="21"/>
          <w:u w:val="single"/>
        </w:rPr>
        <w:t>7.8施工中如遇施工场地建筑物(构筑物)等(除专项保护措施外)的探测及保护费用；</w:t>
      </w:r>
    </w:p>
    <w:p>
      <w:pPr>
        <w:spacing w:line="360" w:lineRule="auto"/>
        <w:ind w:right="105" w:rightChars="50" w:firstLine="420" w:firstLineChars="200"/>
        <w:jc w:val="left"/>
        <w:rPr>
          <w:rFonts w:ascii="宋体" w:hAnsi="宋体"/>
          <w:szCs w:val="21"/>
          <w:u w:val="single"/>
        </w:rPr>
      </w:pPr>
      <w:r>
        <w:rPr>
          <w:rFonts w:hint="eastAsia" w:ascii="宋体" w:hAnsi="宋体"/>
          <w:szCs w:val="21"/>
          <w:u w:val="single"/>
        </w:rPr>
        <w:t>7.9与在场其它施工单位配合所发生的施工交叉、挡、停工、安全防护等所增加的费用。由于施工措施或防护不当造成的关联工程问题处理。</w:t>
      </w:r>
    </w:p>
    <w:p>
      <w:pPr>
        <w:spacing w:line="360" w:lineRule="auto"/>
        <w:ind w:right="105" w:rightChars="50" w:firstLine="420" w:firstLineChars="200"/>
        <w:jc w:val="left"/>
        <w:rPr>
          <w:rFonts w:ascii="宋体" w:hAnsi="宋体"/>
          <w:szCs w:val="21"/>
          <w:u w:val="single"/>
        </w:rPr>
      </w:pPr>
      <w:r>
        <w:rPr>
          <w:rFonts w:hint="eastAsia" w:ascii="宋体" w:hAnsi="宋体"/>
          <w:szCs w:val="21"/>
          <w:u w:val="single"/>
        </w:rPr>
        <w:t>7.10工程竣工验收和工程移交前承包人对整个施工现场各项工程（包括专业分包工程等在内）的安全保卫、成品保护的费用和交工前清理现场达到发包人移交要求而发生的费用，以及因提前提交专业分包工程施工场地和工作面而使承包人所增加的费用。</w:t>
      </w:r>
    </w:p>
    <w:p>
      <w:pPr>
        <w:spacing w:line="360" w:lineRule="auto"/>
        <w:ind w:right="105" w:rightChars="50" w:firstLine="420" w:firstLineChars="200"/>
        <w:jc w:val="left"/>
        <w:rPr>
          <w:rFonts w:ascii="宋体" w:hAnsi="宋体"/>
          <w:szCs w:val="21"/>
          <w:u w:val="single"/>
        </w:rPr>
      </w:pPr>
      <w:r>
        <w:rPr>
          <w:rFonts w:hint="eastAsia" w:ascii="宋体" w:hAnsi="宋体"/>
          <w:szCs w:val="21"/>
          <w:u w:val="single"/>
        </w:rPr>
        <w:t>7.11承包人承担配合工程的配合责任所发生的费用超出本合同规定的费用。</w:t>
      </w:r>
    </w:p>
    <w:p>
      <w:pPr>
        <w:spacing w:line="360" w:lineRule="auto"/>
        <w:ind w:right="105" w:rightChars="50" w:firstLine="420" w:firstLineChars="200"/>
        <w:jc w:val="left"/>
        <w:rPr>
          <w:rFonts w:ascii="宋体" w:hAnsi="宋体"/>
          <w:szCs w:val="21"/>
          <w:u w:val="single"/>
        </w:rPr>
      </w:pPr>
      <w:r>
        <w:rPr>
          <w:rFonts w:hint="eastAsia" w:ascii="宋体" w:hAnsi="宋体"/>
          <w:szCs w:val="21"/>
          <w:u w:val="single"/>
        </w:rPr>
        <w:t>7.12承包人施工用水、电的价格变化价差以及承包人自行解决场内施工用水电设施所发生的费用。</w:t>
      </w:r>
    </w:p>
    <w:p>
      <w:pPr>
        <w:spacing w:line="360" w:lineRule="auto"/>
        <w:ind w:right="105" w:rightChars="50" w:firstLine="420" w:firstLineChars="200"/>
        <w:jc w:val="left"/>
        <w:rPr>
          <w:rFonts w:ascii="宋体" w:hAnsi="宋体"/>
          <w:szCs w:val="21"/>
          <w:u w:val="single"/>
        </w:rPr>
      </w:pPr>
      <w:r>
        <w:rPr>
          <w:rFonts w:hint="eastAsia" w:ascii="宋体" w:hAnsi="宋体"/>
          <w:szCs w:val="21"/>
          <w:u w:val="single"/>
        </w:rPr>
        <w:t>7.13承包人按物业公司的规定办理并取得道路通行权，按要求对道路和交通设施维修、维护、养护和管理，同时承包人还需按有关规定对超大件和超重件运输临时加固改造以及办理相关手续等；承包人应遵守政府有关主管部门和物业公司对施工噪音以及环境保护和安全生产等的管理规定，并按规定办理有关手续；由此发生的费用。</w:t>
      </w:r>
    </w:p>
    <w:p>
      <w:pPr>
        <w:spacing w:line="360" w:lineRule="auto"/>
        <w:ind w:right="105" w:rightChars="50" w:firstLine="420" w:firstLineChars="200"/>
        <w:jc w:val="left"/>
        <w:rPr>
          <w:rFonts w:ascii="宋体" w:hAnsi="宋体"/>
          <w:szCs w:val="21"/>
          <w:u w:val="single"/>
        </w:rPr>
      </w:pPr>
      <w:r>
        <w:rPr>
          <w:rFonts w:hint="eastAsia" w:ascii="宋体" w:hAnsi="宋体"/>
          <w:szCs w:val="21"/>
          <w:u w:val="single"/>
        </w:rPr>
        <w:t>7.14承包人为迎接相关职能、主管部门的检查、参观学习由承包人完成的安全文明措施费用；承包人为发包人、咨询单位等提供的临时办公设施；大门及装饰的费用。</w:t>
      </w:r>
    </w:p>
    <w:p>
      <w:pPr>
        <w:spacing w:line="360" w:lineRule="auto"/>
        <w:ind w:right="105" w:rightChars="50" w:firstLine="420" w:firstLineChars="200"/>
        <w:jc w:val="left"/>
        <w:rPr>
          <w:rFonts w:ascii="宋体" w:hAnsi="宋体"/>
          <w:szCs w:val="21"/>
          <w:u w:val="single"/>
        </w:rPr>
      </w:pPr>
      <w:r>
        <w:rPr>
          <w:rFonts w:hint="eastAsia" w:ascii="宋体" w:hAnsi="宋体"/>
          <w:szCs w:val="21"/>
          <w:u w:val="single"/>
        </w:rPr>
        <w:t>7.15发包人指定水、电接口，施工所需水、电线路由承包人自行向供水、供电部门以及物业公司申请安装，项目完工后由承包人自行拆除和回收，相关费用（设备及安装费、土建费、协调费、拆除和回收费等）综合考虑在投标取费比例报价中，中标后发包人不再另行支付。</w:t>
      </w:r>
    </w:p>
    <w:p>
      <w:pPr>
        <w:spacing w:line="360" w:lineRule="auto"/>
        <w:ind w:right="105" w:rightChars="50" w:firstLine="420" w:firstLineChars="200"/>
        <w:jc w:val="left"/>
        <w:rPr>
          <w:rFonts w:ascii="宋体" w:hAnsi="宋体"/>
          <w:szCs w:val="21"/>
          <w:u w:val="single"/>
        </w:rPr>
      </w:pPr>
      <w:r>
        <w:rPr>
          <w:rFonts w:hint="eastAsia" w:ascii="宋体" w:hAnsi="宋体"/>
          <w:szCs w:val="21"/>
          <w:u w:val="single"/>
        </w:rPr>
        <w:t>7.16因承包人以及其它原因造成临时设施及围墙、施工道路等二次及多次安拆、搬运、搭设等内容的费用。</w:t>
      </w:r>
    </w:p>
    <w:p>
      <w:pPr>
        <w:spacing w:line="360" w:lineRule="auto"/>
        <w:ind w:right="105" w:rightChars="50" w:firstLine="420" w:firstLineChars="200"/>
        <w:jc w:val="left"/>
        <w:rPr>
          <w:rFonts w:ascii="宋体" w:hAnsi="宋体"/>
          <w:szCs w:val="21"/>
          <w:u w:val="single"/>
        </w:rPr>
      </w:pPr>
      <w:r>
        <w:rPr>
          <w:rFonts w:hint="eastAsia" w:ascii="宋体" w:hAnsi="宋体"/>
          <w:szCs w:val="21"/>
          <w:u w:val="single"/>
        </w:rPr>
        <w:t>7.17承包人施工场地以及相邻出入口的施工道路的维修、场地和道路的排水、维修，宣传工作和标准化的现场制作标牌以及发生的费用。</w:t>
      </w:r>
    </w:p>
    <w:p>
      <w:pPr>
        <w:spacing w:line="360" w:lineRule="auto"/>
        <w:ind w:right="105" w:rightChars="50" w:firstLine="420" w:firstLineChars="200"/>
        <w:jc w:val="left"/>
        <w:rPr>
          <w:rFonts w:ascii="宋体" w:hAnsi="宋体"/>
          <w:szCs w:val="21"/>
          <w:u w:val="single"/>
        </w:rPr>
      </w:pPr>
      <w:r>
        <w:rPr>
          <w:rFonts w:hint="eastAsia" w:ascii="宋体" w:hAnsi="宋体"/>
          <w:szCs w:val="21"/>
          <w:u w:val="single"/>
        </w:rPr>
        <w:t>7.18远地施工增加费、施工机构迁移费，工程施工的周转性材料、中小型机械30公里以上超定额规定运距的费用；材料、设备场内外运输超定额规定运距增加的费用。</w:t>
      </w:r>
    </w:p>
    <w:p>
      <w:pPr>
        <w:spacing w:line="360" w:lineRule="auto"/>
        <w:ind w:right="105" w:rightChars="50" w:firstLine="420" w:firstLineChars="200"/>
        <w:jc w:val="left"/>
        <w:rPr>
          <w:rFonts w:ascii="宋体" w:hAnsi="宋体"/>
          <w:szCs w:val="21"/>
          <w:u w:val="single"/>
        </w:rPr>
      </w:pPr>
      <w:r>
        <w:rPr>
          <w:rFonts w:hint="eastAsia" w:ascii="宋体" w:hAnsi="宋体"/>
          <w:szCs w:val="21"/>
          <w:u w:val="single"/>
        </w:rPr>
        <w:t>7.19夏季高温施工补贴费用《关于建筑工程计取和发放高温补贴费用的通知》渝建发（2013）77号文的相关费用。</w:t>
      </w:r>
    </w:p>
    <w:p>
      <w:pPr>
        <w:spacing w:line="360" w:lineRule="auto"/>
        <w:ind w:right="105" w:rightChars="50" w:firstLine="420" w:firstLineChars="200"/>
        <w:jc w:val="left"/>
        <w:rPr>
          <w:rFonts w:ascii="宋体" w:hAnsi="宋体"/>
          <w:szCs w:val="21"/>
          <w:u w:val="single"/>
        </w:rPr>
      </w:pPr>
      <w:r>
        <w:rPr>
          <w:rFonts w:hint="eastAsia" w:ascii="宋体" w:hAnsi="宋体"/>
          <w:szCs w:val="21"/>
          <w:u w:val="single"/>
        </w:rPr>
        <w:t>7.20编制完成三套以上的施工图、竣工档案以及所有工程的档案汇总及移交费用；工程竣工验收的相关费用）。</w:t>
      </w:r>
    </w:p>
    <w:p>
      <w:pPr>
        <w:spacing w:line="360" w:lineRule="auto"/>
        <w:ind w:right="105" w:rightChars="50" w:firstLine="420" w:firstLineChars="200"/>
        <w:jc w:val="left"/>
        <w:rPr>
          <w:rFonts w:ascii="宋体" w:hAnsi="宋体"/>
          <w:szCs w:val="21"/>
          <w:u w:val="single"/>
        </w:rPr>
      </w:pPr>
      <w:r>
        <w:rPr>
          <w:rFonts w:hint="eastAsia" w:ascii="宋体" w:hAnsi="宋体"/>
          <w:szCs w:val="21"/>
          <w:u w:val="single"/>
        </w:rPr>
        <w:t>7.21本工程定额风险费以外连续停水、停电7天造成承包人增加的费用，发包人不承担任何费用索赔。因市网停水、停电，承包人应自备发电机和储水设备，且其配置的发电机和储水设备应满足工程的需要，承包人不得因市网停水、停电而停工。</w:t>
      </w:r>
    </w:p>
    <w:p>
      <w:pPr>
        <w:spacing w:line="360" w:lineRule="auto"/>
        <w:ind w:right="105" w:rightChars="50" w:firstLine="420" w:firstLineChars="200"/>
        <w:jc w:val="left"/>
        <w:rPr>
          <w:rFonts w:ascii="宋体" w:hAnsi="宋体"/>
          <w:szCs w:val="21"/>
          <w:u w:val="single"/>
        </w:rPr>
      </w:pPr>
      <w:r>
        <w:rPr>
          <w:rFonts w:hint="eastAsia" w:ascii="宋体" w:hAnsi="宋体"/>
          <w:szCs w:val="21"/>
          <w:u w:val="single"/>
        </w:rPr>
        <w:t>7.22由于施工场地制约导致承包人在场外租用其他场地搭设或租用设施的一切费用(不管何种原因)。</w:t>
      </w:r>
    </w:p>
    <w:p>
      <w:pPr>
        <w:spacing w:line="360" w:lineRule="auto"/>
        <w:ind w:right="105" w:rightChars="50" w:firstLine="420" w:firstLineChars="200"/>
        <w:jc w:val="left"/>
        <w:rPr>
          <w:rFonts w:ascii="宋体" w:hAnsi="宋体"/>
          <w:szCs w:val="21"/>
          <w:u w:val="single"/>
        </w:rPr>
      </w:pPr>
      <w:r>
        <w:rPr>
          <w:rFonts w:hint="eastAsia" w:ascii="宋体" w:hAnsi="宋体"/>
          <w:szCs w:val="21"/>
          <w:u w:val="single"/>
        </w:rPr>
        <w:t>7.23材料、成品、半成品必须发生的多次搬运费用。</w:t>
      </w:r>
    </w:p>
    <w:p>
      <w:pPr>
        <w:spacing w:line="360" w:lineRule="auto"/>
        <w:ind w:right="105" w:rightChars="50" w:firstLine="420" w:firstLineChars="200"/>
        <w:jc w:val="left"/>
        <w:rPr>
          <w:rFonts w:ascii="宋体" w:hAnsi="宋体"/>
          <w:szCs w:val="21"/>
          <w:u w:val="single"/>
        </w:rPr>
      </w:pPr>
      <w:r>
        <w:rPr>
          <w:rFonts w:hint="eastAsia" w:ascii="宋体" w:hAnsi="宋体"/>
          <w:szCs w:val="21"/>
          <w:u w:val="single"/>
        </w:rPr>
        <w:t>7.24承包人进场后与该栋大楼物业公司之间需要协商并交纳的所有相关费用。</w:t>
      </w:r>
    </w:p>
    <w:p>
      <w:pPr>
        <w:spacing w:line="360" w:lineRule="auto"/>
        <w:ind w:right="105" w:rightChars="50" w:firstLine="420" w:firstLineChars="200"/>
        <w:jc w:val="left"/>
        <w:rPr>
          <w:rFonts w:ascii="宋体" w:hAnsi="宋体"/>
          <w:szCs w:val="21"/>
          <w:u w:val="single"/>
        </w:rPr>
      </w:pPr>
      <w:r>
        <w:rPr>
          <w:rFonts w:hint="eastAsia" w:ascii="宋体" w:hAnsi="宋体"/>
          <w:szCs w:val="21"/>
          <w:u w:val="single"/>
        </w:rPr>
        <w:t>7.25提交室内环境空气质量报告涉及的监测费等，未达到室内环境污染、甲醛释放限量等相关环保标准，所采取的治理、整改等措施费用。</w:t>
      </w:r>
    </w:p>
    <w:p>
      <w:pPr>
        <w:spacing w:line="360" w:lineRule="auto"/>
        <w:ind w:right="105" w:rightChars="50" w:firstLine="420" w:firstLineChars="200"/>
        <w:jc w:val="left"/>
        <w:rPr>
          <w:rFonts w:ascii="宋体" w:hAnsi="宋体"/>
          <w:szCs w:val="21"/>
          <w:u w:val="single"/>
        </w:rPr>
      </w:pPr>
      <w:r>
        <w:rPr>
          <w:rFonts w:hint="eastAsia" w:ascii="宋体" w:hAnsi="宋体"/>
          <w:szCs w:val="21"/>
          <w:u w:val="single"/>
        </w:rPr>
        <w:t>7.26材料设备检验试验、检测、工程质量鉴定、空气检测、消防验收评定所产生的相关费用（包括使用单位要求进行空气治理的相关费用）。</w:t>
      </w:r>
    </w:p>
    <w:p>
      <w:pPr>
        <w:spacing w:line="360" w:lineRule="auto"/>
        <w:ind w:right="105" w:rightChars="50" w:firstLine="420" w:firstLineChars="200"/>
        <w:jc w:val="left"/>
        <w:rPr>
          <w:rFonts w:ascii="宋体" w:hAnsi="宋体"/>
          <w:szCs w:val="21"/>
          <w:u w:val="single"/>
        </w:rPr>
      </w:pPr>
      <w:r>
        <w:rPr>
          <w:rFonts w:hint="eastAsia" w:ascii="宋体" w:hAnsi="宋体"/>
          <w:szCs w:val="21"/>
          <w:u w:val="single"/>
        </w:rPr>
        <w:t>8 工程一切险和第三方责任险，由承包人自行投保，费用已包含在取费比例中，不再单独结算，并由承包人负责理赔事宜。承包人装备险和承包人职工的（人身）事故险由承包人自行投保，保险费由承包人承担并支付，并包含在取费比例中不再另行结算。</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14.2.2 竣工结算审核期限</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lang w:val="en-US" w:eastAsia="zh-CN"/>
        </w:rPr>
        <w:t>监理人</w:t>
      </w:r>
      <w:r>
        <w:rPr>
          <w:rFonts w:hint="eastAsia" w:ascii="宋体" w:hAnsi="宋体"/>
          <w:color w:val="auto"/>
          <w:szCs w:val="21"/>
          <w:highlight w:val="none"/>
        </w:rPr>
        <w:t>审核竣工付款申请单的期限：</w:t>
      </w:r>
      <w:r>
        <w:rPr>
          <w:rFonts w:hint="default" w:ascii="Times New Roman" w:hAnsi="Times New Roman" w:cs="Times New Roman"/>
          <w:color w:val="auto"/>
          <w:kern w:val="0"/>
          <w:highlight w:val="none"/>
          <w:u w:val="single"/>
        </w:rPr>
        <w:t>在收到竣工结算申请单后28天内</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发包人审核竣工付款申请单的期限：</w:t>
      </w:r>
      <w:r>
        <w:rPr>
          <w:rFonts w:hint="default" w:ascii="Times New Roman" w:hAnsi="Times New Roman" w:cs="Times New Roman"/>
          <w:color w:val="auto"/>
          <w:szCs w:val="21"/>
          <w:highlight w:val="none"/>
          <w:u w:val="single"/>
        </w:rPr>
        <w:t>发包人应在收到上级部门审计完成提交的审核报告后14天内完成审批</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发包人完成竣工付款的期限：</w:t>
      </w:r>
      <w:r>
        <w:rPr>
          <w:rFonts w:hint="default" w:ascii="Times New Roman" w:hAnsi="Times New Roman" w:cs="Times New Roman"/>
          <w:color w:val="auto"/>
          <w:kern w:val="0"/>
          <w:highlight w:val="none"/>
          <w:u w:val="single"/>
        </w:rPr>
        <w:t>在签发竣工付款证书后的28天内</w:t>
      </w:r>
      <w:r>
        <w:rPr>
          <w:rFonts w:hint="eastAsia" w:ascii="宋体" w:hAnsi="宋体"/>
          <w:color w:val="auto"/>
          <w:szCs w:val="21"/>
          <w:highlight w:val="none"/>
        </w:rPr>
        <w:t>。</w:t>
      </w:r>
    </w:p>
    <w:p>
      <w:pPr>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szCs w:val="21"/>
          <w:highlight w:val="none"/>
        </w:rPr>
        <w:t>关于竣工付款证书异议部分复核的方式和程序： 按照第20条〔争议解决〕约定处理。</w:t>
      </w:r>
    </w:p>
    <w:p>
      <w:pPr>
        <w:pStyle w:val="45"/>
        <w:rPr>
          <w:color w:val="auto"/>
          <w:highlight w:val="none"/>
        </w:rPr>
      </w:pPr>
      <w:r>
        <w:rPr>
          <w:rFonts w:hint="default" w:ascii="宋体" w:hAnsi="宋体" w:eastAsia="宋体" w:cs="Times New Roman"/>
          <w:color w:val="auto"/>
          <w:kern w:val="2"/>
          <w:sz w:val="21"/>
          <w:szCs w:val="21"/>
          <w:highlight w:val="none"/>
          <w:lang w:val="en-US" w:eastAsia="zh-CN" w:bidi="ar-SA"/>
        </w:rPr>
        <w:t>3%质量保修金在缺陷责任期满后，30日内一次性支付（质保金不计利息）</w:t>
      </w:r>
      <w:r>
        <w:rPr>
          <w:rFonts w:hint="eastAsia" w:eastAsia="宋体" w:cs="Times New Roman"/>
          <w:color w:val="auto"/>
          <w:kern w:val="2"/>
          <w:sz w:val="21"/>
          <w:szCs w:val="21"/>
          <w:highlight w:val="none"/>
          <w:lang w:val="en-US" w:eastAsia="zh-CN" w:bidi="ar-SA"/>
        </w:rPr>
        <w:t>。</w:t>
      </w:r>
    </w:p>
    <w:p>
      <w:pPr>
        <w:pStyle w:val="7"/>
        <w:spacing w:before="0" w:beforeAutospacing="0" w:after="0" w:afterAutospacing="0" w:line="360" w:lineRule="auto"/>
        <w:ind w:firstLine="422" w:firstLineChars="200"/>
        <w:rPr>
          <w:color w:val="auto"/>
          <w:sz w:val="21"/>
          <w:szCs w:val="21"/>
          <w:highlight w:val="none"/>
        </w:rPr>
      </w:pPr>
      <w:bookmarkStart w:id="1006" w:name="_Toc532375659"/>
      <w:bookmarkStart w:id="1007" w:name="_Toc532377396"/>
      <w:r>
        <w:rPr>
          <w:rFonts w:hint="eastAsia"/>
          <w:color w:val="auto"/>
          <w:sz w:val="21"/>
          <w:szCs w:val="21"/>
          <w:highlight w:val="none"/>
        </w:rPr>
        <w:t>14.4 最终结清</w:t>
      </w:r>
      <w:bookmarkEnd w:id="1006"/>
      <w:bookmarkEnd w:id="1007"/>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14.4.1 最终结清申请单</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承包人提交最终结清申请单的份数：</w:t>
      </w:r>
      <w:r>
        <w:rPr>
          <w:rFonts w:hint="eastAsia" w:ascii="宋体" w:hAnsi="宋体"/>
          <w:color w:val="auto"/>
          <w:szCs w:val="21"/>
          <w:highlight w:val="none"/>
          <w:u w:val="single"/>
        </w:rPr>
        <w:t>3份</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承包人提交最终结算申请单的期限：</w:t>
      </w:r>
      <w:r>
        <w:rPr>
          <w:rFonts w:hint="eastAsia" w:ascii="宋体" w:hAnsi="宋体"/>
          <w:color w:val="auto"/>
          <w:szCs w:val="21"/>
          <w:highlight w:val="none"/>
          <w:u w:val="single"/>
        </w:rPr>
        <w:t>缺陷责任期终止证书颁发后14天内</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14.4.2 最终结清证书和支付</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（1）发包人完成最终结清申请单的审批并颁发最终结清证书的期限：</w:t>
      </w:r>
      <w:r>
        <w:rPr>
          <w:rFonts w:hint="eastAsia" w:ascii="宋体" w:hAnsi="宋体"/>
          <w:color w:val="auto"/>
          <w:szCs w:val="21"/>
          <w:highlight w:val="none"/>
          <w:u w:val="single"/>
        </w:rPr>
        <w:t>发包人收到完整资料后14天内完成审批并颁发最终结清证书</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（2）发包人完成支付的期限：</w:t>
      </w:r>
      <w:r>
        <w:rPr>
          <w:rFonts w:hint="eastAsia" w:ascii="宋体" w:hAnsi="宋体"/>
          <w:color w:val="auto"/>
          <w:szCs w:val="21"/>
          <w:highlight w:val="none"/>
          <w:u w:val="single"/>
        </w:rPr>
        <w:t>颁发最终结清证书的14天内</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本条补充14.5款：</w:t>
      </w:r>
    </w:p>
    <w:bookmarkEnd w:id="969"/>
    <w:bookmarkEnd w:id="970"/>
    <w:bookmarkEnd w:id="971"/>
    <w:bookmarkEnd w:id="972"/>
    <w:bookmarkEnd w:id="973"/>
    <w:bookmarkEnd w:id="974"/>
    <w:bookmarkEnd w:id="975"/>
    <w:bookmarkEnd w:id="976"/>
    <w:p>
      <w:pPr>
        <w:pStyle w:val="7"/>
        <w:spacing w:before="0" w:beforeAutospacing="0" w:after="0" w:afterAutospacing="0" w:line="360" w:lineRule="auto"/>
        <w:ind w:firstLine="422" w:firstLineChars="200"/>
        <w:rPr>
          <w:color w:val="auto"/>
          <w:sz w:val="21"/>
          <w:szCs w:val="21"/>
          <w:highlight w:val="none"/>
        </w:rPr>
      </w:pPr>
      <w:bookmarkStart w:id="1008" w:name="_Toc532377397"/>
      <w:bookmarkStart w:id="1009" w:name="_Toc532375660"/>
      <w:r>
        <w:rPr>
          <w:rFonts w:hint="eastAsia"/>
          <w:color w:val="auto"/>
          <w:sz w:val="21"/>
          <w:szCs w:val="21"/>
          <w:highlight w:val="none"/>
        </w:rPr>
        <w:t>14.5 逾期办理或不配合办理竣工结算的处理</w:t>
      </w:r>
      <w:bookmarkEnd w:id="1008"/>
      <w:bookmarkEnd w:id="1009"/>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有下列情形之一的，视为承包人放弃与发包人共同办理竣工结算的权利，发包人有权会同跟审单位、监理人根据有效资料共同确定竣工结算金额。</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（1）承包人逾期未报送竣工结算资料，亦未获得发包人批准延期报送，经发包人两</w:t>
      </w:r>
      <w:bookmarkStart w:id="1010" w:name="_Hlk529133622"/>
      <w:r>
        <w:rPr>
          <w:rFonts w:hint="eastAsia" w:ascii="宋体" w:hAnsi="宋体"/>
          <w:color w:val="auto"/>
          <w:szCs w:val="21"/>
          <w:highlight w:val="none"/>
        </w:rPr>
        <w:t>次书面催告仍未在限期内报送的</w:t>
      </w:r>
      <w:bookmarkEnd w:id="1010"/>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承包人在接到监理人或发包人对竣工结算申请单提出的审核意见后，未在限期内按监理人或发包人提出的合理要求补充资料和（或）修改竣工结算资料，亦未获得发包人批准延期报送，经发包人两次书面催告仍未在限期内报送的；</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（3）承包人不配合发包人、跟审单位、监理人、发包人委托的工程造价咨询服务单位办理竣工结算的，经发包人两次书面函告仍未改正的。</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发包人应在竣工结算定案表确定后28天内，以书面函件形式将竣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r>
        <w:rPr>
          <w:rFonts w:hint="eastAsia" w:ascii="宋体" w:hAnsi="宋体"/>
          <w:color w:val="auto"/>
          <w:szCs w:val="21"/>
          <w:highlight w:val="none"/>
        </w:rPr>
        <w:t>。</w:t>
      </w:r>
    </w:p>
    <w:bookmarkEnd w:id="740"/>
    <w:bookmarkEnd w:id="741"/>
    <w:bookmarkEnd w:id="742"/>
    <w:bookmarkEnd w:id="743"/>
    <w:bookmarkEnd w:id="744"/>
    <w:bookmarkEnd w:id="745"/>
    <w:bookmarkEnd w:id="746"/>
    <w:bookmarkEnd w:id="747"/>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011" w:name="_Toc532377398"/>
      <w:bookmarkStart w:id="1012" w:name="_Toc351203647"/>
      <w:bookmarkStart w:id="1013" w:name="_Toc532375661"/>
      <w:bookmarkStart w:id="1014" w:name="_Toc267251483"/>
      <w:bookmarkStart w:id="1015" w:name="_Toc280868718"/>
      <w:bookmarkStart w:id="1016" w:name="_Toc280868717"/>
      <w:r>
        <w:rPr>
          <w:rFonts w:hint="eastAsia"/>
          <w:color w:val="auto"/>
          <w:kern w:val="2"/>
          <w:sz w:val="21"/>
          <w:szCs w:val="21"/>
          <w:highlight w:val="none"/>
        </w:rPr>
        <w:t>15. 缺陷责任期与保修</w:t>
      </w:r>
      <w:bookmarkEnd w:id="1011"/>
      <w:bookmarkEnd w:id="1012"/>
      <w:bookmarkEnd w:id="1013"/>
    </w:p>
    <w:bookmarkEnd w:id="1014"/>
    <w:p>
      <w:pPr>
        <w:pStyle w:val="7"/>
        <w:spacing w:before="0" w:beforeAutospacing="0" w:after="0" w:afterAutospacing="0" w:line="360" w:lineRule="auto"/>
        <w:ind w:firstLine="422" w:firstLineChars="200"/>
        <w:rPr>
          <w:rFonts w:hint="default" w:ascii="Times New Roman" w:hAnsi="Times New Roman" w:cs="Times New Roman"/>
          <w:color w:val="auto"/>
          <w:kern w:val="0"/>
          <w:szCs w:val="21"/>
          <w:highlight w:val="none"/>
        </w:rPr>
      </w:pPr>
      <w:bookmarkStart w:id="1017" w:name="_Toc532377399"/>
      <w:bookmarkStart w:id="1018" w:name="_Toc532375662"/>
      <w:r>
        <w:rPr>
          <w:rFonts w:hint="eastAsia"/>
          <w:color w:val="auto"/>
          <w:sz w:val="21"/>
          <w:szCs w:val="21"/>
          <w:highlight w:val="none"/>
          <w:lang w:val="en-US" w:eastAsia="zh-CN"/>
        </w:rPr>
        <w:t>15.1</w:t>
      </w:r>
      <w:r>
        <w:rPr>
          <w:rFonts w:hint="default" w:ascii="Times New Roman" w:hAnsi="Times New Roman" w:cs="Times New Roman"/>
          <w:color w:val="auto"/>
          <w:kern w:val="0"/>
          <w:szCs w:val="21"/>
          <w:highlight w:val="none"/>
        </w:rPr>
        <w:t>缺陷责任期</w:t>
      </w:r>
    </w:p>
    <w:p>
      <w:pPr>
        <w:spacing w:line="360" w:lineRule="auto"/>
        <w:ind w:right="105" w:rightChars="50" w:firstLine="420" w:firstLineChars="200"/>
        <w:jc w:val="left"/>
        <w:rPr>
          <w:rFonts w:hint="default" w:ascii="宋体" w:hAnsi="宋体" w:eastAsia="宋体" w:cs="Times New Roman"/>
          <w:color w:val="auto"/>
          <w:szCs w:val="21"/>
          <w:highlight w:val="none"/>
        </w:rPr>
      </w:pPr>
      <w:r>
        <w:rPr>
          <w:rFonts w:hint="default" w:ascii="宋体" w:hAnsi="宋体" w:eastAsia="宋体" w:cs="Times New Roman"/>
          <w:color w:val="auto"/>
          <w:szCs w:val="21"/>
          <w:highlight w:val="none"/>
        </w:rPr>
        <w:t>缺陷责任期的期限：工程竣工验收合格之日起24个月。</w:t>
      </w:r>
    </w:p>
    <w:p>
      <w:pPr>
        <w:widowControl/>
        <w:adjustRightInd w:val="0"/>
        <w:snapToGrid w:val="0"/>
        <w:spacing w:line="30" w:lineRule="atLeast"/>
        <w:ind w:firstLine="480"/>
        <w:rPr>
          <w:rFonts w:hint="default" w:ascii="Times New Roman" w:hAnsi="Times New Roman" w:cs="Times New Roman"/>
          <w:color w:val="auto"/>
          <w:kern w:val="0"/>
          <w:highlight w:val="none"/>
        </w:rPr>
      </w:pPr>
      <w:r>
        <w:rPr>
          <w:rFonts w:hint="eastAsia" w:ascii="宋体" w:hAnsi="宋体" w:eastAsia="宋体" w:cs="宋体"/>
          <w:b/>
          <w:bCs/>
          <w:color w:val="auto"/>
          <w:kern w:val="0"/>
          <w:sz w:val="21"/>
          <w:szCs w:val="21"/>
          <w:highlight w:val="none"/>
          <w:lang w:val="en-US" w:eastAsia="zh-CN" w:bidi="ar-SA"/>
        </w:rPr>
        <w:t>15.2</w:t>
      </w:r>
      <w:r>
        <w:rPr>
          <w:rFonts w:hint="default" w:ascii="宋体" w:hAnsi="宋体" w:eastAsia="宋体" w:cs="宋体"/>
          <w:b/>
          <w:bCs/>
          <w:color w:val="auto"/>
          <w:kern w:val="0"/>
          <w:sz w:val="21"/>
          <w:szCs w:val="21"/>
          <w:highlight w:val="none"/>
          <w:lang w:val="en-US" w:eastAsia="zh-CN" w:bidi="ar-SA"/>
        </w:rPr>
        <w:t>缺陷调查</w:t>
      </w:r>
    </w:p>
    <w:p>
      <w:pPr>
        <w:widowControl/>
        <w:adjustRightInd w:val="0"/>
        <w:snapToGrid w:val="0"/>
        <w:spacing w:line="30" w:lineRule="atLeast"/>
        <w:ind w:firstLine="482"/>
        <w:rPr>
          <w:rFonts w:hint="default" w:ascii="Times New Roman" w:hAnsi="Times New Roman" w:cs="Times New Roman"/>
          <w:color w:val="auto"/>
          <w:kern w:val="0"/>
          <w:highlight w:val="none"/>
        </w:rPr>
      </w:pPr>
      <w:r>
        <w:rPr>
          <w:rFonts w:hint="default" w:ascii="宋体" w:hAnsi="宋体" w:eastAsia="宋体" w:cs="宋体"/>
          <w:b/>
          <w:bCs/>
          <w:color w:val="auto"/>
          <w:kern w:val="0"/>
          <w:sz w:val="21"/>
          <w:szCs w:val="21"/>
          <w:highlight w:val="none"/>
          <w:lang w:val="en-US" w:eastAsia="zh-CN" w:bidi="ar-SA"/>
        </w:rPr>
        <w:t>1</w:t>
      </w:r>
      <w:r>
        <w:rPr>
          <w:rFonts w:hint="eastAsia" w:ascii="宋体" w:hAnsi="宋体" w:eastAsia="宋体" w:cs="宋体"/>
          <w:b/>
          <w:bCs/>
          <w:color w:val="auto"/>
          <w:kern w:val="0"/>
          <w:sz w:val="21"/>
          <w:szCs w:val="21"/>
          <w:highlight w:val="none"/>
          <w:lang w:val="en-US" w:eastAsia="zh-CN" w:bidi="ar-SA"/>
        </w:rPr>
        <w:t>5</w:t>
      </w:r>
      <w:r>
        <w:rPr>
          <w:rFonts w:hint="default" w:ascii="宋体" w:hAnsi="宋体" w:eastAsia="宋体" w:cs="宋体"/>
          <w:b/>
          <w:bCs/>
          <w:color w:val="auto"/>
          <w:kern w:val="0"/>
          <w:sz w:val="21"/>
          <w:szCs w:val="21"/>
          <w:highlight w:val="none"/>
          <w:lang w:val="en-US" w:eastAsia="zh-CN" w:bidi="ar-SA"/>
        </w:rPr>
        <w:t>.</w:t>
      </w:r>
      <w:r>
        <w:rPr>
          <w:rFonts w:hint="eastAsia" w:ascii="宋体" w:hAnsi="宋体" w:eastAsia="宋体" w:cs="宋体"/>
          <w:b/>
          <w:bCs/>
          <w:color w:val="auto"/>
          <w:kern w:val="0"/>
          <w:sz w:val="21"/>
          <w:szCs w:val="21"/>
          <w:highlight w:val="none"/>
          <w:lang w:val="en-US" w:eastAsia="zh-CN" w:bidi="ar-SA"/>
        </w:rPr>
        <w:t>2</w:t>
      </w:r>
      <w:r>
        <w:rPr>
          <w:rFonts w:hint="default" w:ascii="宋体" w:hAnsi="宋体" w:eastAsia="宋体" w:cs="宋体"/>
          <w:b/>
          <w:bCs/>
          <w:color w:val="auto"/>
          <w:kern w:val="0"/>
          <w:sz w:val="21"/>
          <w:szCs w:val="21"/>
          <w:highlight w:val="none"/>
          <w:lang w:val="en-US" w:eastAsia="zh-CN" w:bidi="ar-SA"/>
        </w:rPr>
        <w:t>.</w:t>
      </w:r>
      <w:r>
        <w:rPr>
          <w:rFonts w:hint="eastAsia" w:ascii="宋体" w:hAnsi="宋体" w:eastAsia="宋体" w:cs="宋体"/>
          <w:b/>
          <w:bCs/>
          <w:color w:val="auto"/>
          <w:kern w:val="0"/>
          <w:sz w:val="21"/>
          <w:szCs w:val="21"/>
          <w:highlight w:val="none"/>
          <w:lang w:val="en-US" w:eastAsia="zh-CN" w:bidi="ar-SA"/>
        </w:rPr>
        <w:t>1</w:t>
      </w:r>
      <w:r>
        <w:rPr>
          <w:rFonts w:hint="default" w:ascii="宋体" w:hAnsi="宋体" w:eastAsia="宋体" w:cs="宋体"/>
          <w:b/>
          <w:bCs/>
          <w:color w:val="auto"/>
          <w:kern w:val="0"/>
          <w:sz w:val="21"/>
          <w:szCs w:val="21"/>
          <w:highlight w:val="none"/>
          <w:lang w:val="en-US" w:eastAsia="zh-CN" w:bidi="ar-SA"/>
        </w:rPr>
        <w:t>修复通知</w:t>
      </w:r>
    </w:p>
    <w:p>
      <w:pPr>
        <w:spacing w:line="360" w:lineRule="auto"/>
        <w:ind w:right="105" w:rightChars="50" w:firstLine="420" w:firstLineChars="200"/>
        <w:jc w:val="left"/>
        <w:rPr>
          <w:rFonts w:hint="default" w:ascii="宋体" w:hAnsi="宋体" w:eastAsia="宋体" w:cs="Times New Roman"/>
          <w:color w:val="auto"/>
          <w:szCs w:val="21"/>
          <w:highlight w:val="none"/>
        </w:rPr>
      </w:pPr>
      <w:r>
        <w:rPr>
          <w:rFonts w:hint="default" w:ascii="宋体" w:hAnsi="宋体" w:eastAsia="宋体" w:cs="Times New Roman"/>
          <w:color w:val="auto"/>
          <w:szCs w:val="21"/>
          <w:highlight w:val="none"/>
        </w:rPr>
        <w:t>承包人收到保修通知并到达工程现场的合理时间：8小时内，最长不能超过24小时。</w:t>
      </w:r>
    </w:p>
    <w:p>
      <w:pPr>
        <w:widowControl/>
        <w:adjustRightInd w:val="0"/>
        <w:snapToGrid w:val="0"/>
        <w:spacing w:line="30" w:lineRule="atLeast"/>
        <w:ind w:firstLine="482"/>
        <w:rPr>
          <w:rFonts w:hint="default" w:ascii="Times New Roman" w:hAnsi="Times New Roman" w:cs="Times New Roman"/>
          <w:color w:val="auto"/>
          <w:kern w:val="0"/>
          <w:highlight w:val="none"/>
        </w:rPr>
      </w:pPr>
      <w:r>
        <w:rPr>
          <w:rFonts w:hint="default" w:ascii="宋体" w:hAnsi="宋体" w:eastAsia="宋体" w:cs="宋体"/>
          <w:b/>
          <w:bCs/>
          <w:color w:val="auto"/>
          <w:kern w:val="0"/>
          <w:sz w:val="21"/>
          <w:szCs w:val="21"/>
          <w:highlight w:val="none"/>
          <w:lang w:val="en-US" w:eastAsia="zh-CN" w:bidi="ar-SA"/>
        </w:rPr>
        <w:t>1</w:t>
      </w:r>
      <w:r>
        <w:rPr>
          <w:rFonts w:hint="eastAsia" w:ascii="宋体" w:hAnsi="宋体" w:eastAsia="宋体" w:cs="宋体"/>
          <w:b/>
          <w:bCs/>
          <w:color w:val="auto"/>
          <w:kern w:val="0"/>
          <w:sz w:val="21"/>
          <w:szCs w:val="21"/>
          <w:highlight w:val="none"/>
          <w:lang w:val="en-US" w:eastAsia="zh-CN" w:bidi="ar-SA"/>
        </w:rPr>
        <w:t>5</w:t>
      </w:r>
      <w:r>
        <w:rPr>
          <w:rFonts w:hint="default" w:ascii="宋体" w:hAnsi="宋体" w:eastAsia="宋体" w:cs="宋体"/>
          <w:b/>
          <w:bCs/>
          <w:color w:val="auto"/>
          <w:kern w:val="0"/>
          <w:sz w:val="21"/>
          <w:szCs w:val="21"/>
          <w:highlight w:val="none"/>
          <w:lang w:val="en-US" w:eastAsia="zh-CN" w:bidi="ar-SA"/>
        </w:rPr>
        <w:t>.</w:t>
      </w:r>
      <w:r>
        <w:rPr>
          <w:rFonts w:hint="eastAsia" w:ascii="宋体" w:hAnsi="宋体" w:eastAsia="宋体" w:cs="宋体"/>
          <w:b/>
          <w:bCs/>
          <w:color w:val="auto"/>
          <w:kern w:val="0"/>
          <w:sz w:val="21"/>
          <w:szCs w:val="21"/>
          <w:highlight w:val="none"/>
          <w:lang w:val="en-US" w:eastAsia="zh-CN" w:bidi="ar-SA"/>
        </w:rPr>
        <w:t>3</w:t>
      </w:r>
      <w:r>
        <w:rPr>
          <w:rFonts w:hint="default" w:ascii="宋体" w:hAnsi="宋体" w:eastAsia="宋体" w:cs="宋体"/>
          <w:b/>
          <w:bCs/>
          <w:color w:val="auto"/>
          <w:kern w:val="0"/>
          <w:sz w:val="21"/>
          <w:szCs w:val="21"/>
          <w:highlight w:val="none"/>
          <w:lang w:val="en-US" w:eastAsia="zh-CN" w:bidi="ar-SA"/>
        </w:rPr>
        <w:t>缺陷责任期终止证书</w:t>
      </w:r>
    </w:p>
    <w:p>
      <w:pPr>
        <w:spacing w:line="360" w:lineRule="auto"/>
        <w:ind w:right="105" w:rightChars="50" w:firstLine="420" w:firstLineChars="200"/>
        <w:jc w:val="left"/>
        <w:rPr>
          <w:rFonts w:hint="default"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rPr>
        <w:t>承包人应于缺陷责任期届满后7天内向发包人发出缺陷责任期届满通知，发包人应在收到缺陷责任期满通知后7天内核实承包人是否履行缺陷修复义务，承包人未能履行缺陷修复义务的，发包人有权扣除相应金额的维修费用。发包人应在收到缺陷责任期届满通知后7天内，向承包人颁发缺陷责任期终止证书。</w:t>
      </w:r>
    </w:p>
    <w:p>
      <w:pPr>
        <w:pStyle w:val="7"/>
        <w:spacing w:before="0" w:beforeAutospacing="0" w:after="0" w:afterAutospacing="0" w:line="360" w:lineRule="auto"/>
        <w:ind w:firstLine="422" w:firstLineChars="200"/>
        <w:rPr>
          <w:color w:val="auto"/>
          <w:sz w:val="21"/>
          <w:szCs w:val="21"/>
          <w:highlight w:val="none"/>
        </w:rPr>
      </w:pPr>
      <w:r>
        <w:rPr>
          <w:rFonts w:hint="eastAsia"/>
          <w:color w:val="auto"/>
          <w:sz w:val="21"/>
          <w:szCs w:val="21"/>
          <w:highlight w:val="none"/>
        </w:rPr>
        <w:t>15.</w:t>
      </w:r>
      <w:r>
        <w:rPr>
          <w:rFonts w:hint="eastAsia"/>
          <w:color w:val="auto"/>
          <w:sz w:val="21"/>
          <w:szCs w:val="21"/>
          <w:highlight w:val="none"/>
          <w:lang w:val="en-US" w:eastAsia="zh-CN"/>
        </w:rPr>
        <w:t>4</w:t>
      </w:r>
      <w:r>
        <w:rPr>
          <w:rFonts w:hint="eastAsia"/>
          <w:color w:val="auto"/>
          <w:sz w:val="21"/>
          <w:szCs w:val="21"/>
          <w:highlight w:val="none"/>
        </w:rPr>
        <w:t xml:space="preserve"> 质量保证金</w:t>
      </w:r>
      <w:bookmarkEnd w:id="1017"/>
      <w:bookmarkEnd w:id="1018"/>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15.3.1 承包人提供质量保证金的方式</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质量保证金采用以下第</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2</w:t>
      </w:r>
      <w:r>
        <w:rPr>
          <w:rFonts w:hint="eastAsia" w:ascii="宋体" w:hAnsi="宋体"/>
          <w:color w:val="auto"/>
          <w:szCs w:val="21"/>
          <w:highlight w:val="none"/>
          <w:u w:val="single"/>
        </w:rPr>
        <w:t xml:space="preserve">  </w:t>
      </w:r>
      <w:r>
        <w:rPr>
          <w:rFonts w:hint="eastAsia" w:ascii="宋体" w:hAnsi="宋体"/>
          <w:color w:val="auto"/>
          <w:szCs w:val="21"/>
          <w:highlight w:val="none"/>
        </w:rPr>
        <w:t>种方式：</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（1）质量保证金保函</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1）按招标文件载明的格式或发包人认可的格式向发包人提交不可撤销的见索即付银行保函</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2）出具保函的银行级别：</w:t>
      </w:r>
      <w:r>
        <w:rPr>
          <w:rFonts w:hint="eastAsia" w:ascii="宋体" w:hAnsi="宋体"/>
          <w:color w:val="auto"/>
          <w:szCs w:val="21"/>
          <w:highlight w:val="none"/>
          <w:u w:val="single"/>
        </w:rPr>
        <w:t>地市级及以上国家政策性银行或股份制商业银行的支行或其上级银行</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3）保函金额为：</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4）提交时间：</w:t>
      </w:r>
      <w:r>
        <w:rPr>
          <w:rFonts w:hint="eastAsia" w:ascii="宋体" w:hAnsi="宋体"/>
          <w:color w:val="auto"/>
          <w:szCs w:val="21"/>
          <w:highlight w:val="none"/>
          <w:u w:val="single"/>
        </w:rPr>
        <w:t>工程竣工验收合格后14天内</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承包人提交质量保证金保函的，发包人应同时退还（若有）扣留的作为质量保证金的工程价款、履约担保、低价风险担保；保函金额不得超过工程价款结算总额的3%</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（2）竣工结算价的</w:t>
      </w:r>
      <w:r>
        <w:rPr>
          <w:rFonts w:hint="eastAsia" w:ascii="宋体" w:hAnsi="宋体"/>
          <w:color w:val="auto"/>
          <w:szCs w:val="21"/>
          <w:highlight w:val="none"/>
          <w:u w:val="single"/>
        </w:rPr>
        <w:t xml:space="preserve"> 3% </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（3）其他方式：</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15.3.2 质量保证金的扣留</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质量保证金的扣留采取以下第</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2</w:t>
      </w:r>
      <w:r>
        <w:rPr>
          <w:rFonts w:hint="eastAsia" w:ascii="宋体" w:hAnsi="宋体"/>
          <w:color w:val="auto"/>
          <w:szCs w:val="21"/>
          <w:highlight w:val="none"/>
          <w:u w:val="single"/>
        </w:rPr>
        <w:t xml:space="preserve">  </w:t>
      </w:r>
      <w:r>
        <w:rPr>
          <w:rFonts w:hint="eastAsia" w:ascii="宋体" w:hAnsi="宋体"/>
          <w:color w:val="auto"/>
          <w:szCs w:val="21"/>
          <w:highlight w:val="none"/>
        </w:rPr>
        <w:t>种方式：</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（1）在支付工程进度款时逐次扣留，在此情形下，质量保证金的计算基数不包括预付款的支付、扣回以及价格调整的金额；</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（2）工程竣工结算时一次性扣留质量保证金；</w:t>
      </w:r>
    </w:p>
    <w:p>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（3）</w:t>
      </w:r>
      <w:r>
        <w:rPr>
          <w:rFonts w:hint="eastAsia" w:ascii="宋体" w:hAnsi="宋体"/>
          <w:color w:val="auto"/>
          <w:szCs w:val="21"/>
          <w:highlight w:val="none"/>
          <w:u w:val="single"/>
        </w:rPr>
        <w:t xml:space="preserve">其他扣留方式：        </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15.3.3质量保证金的退还</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（1）在发包人颁发缺陷责任期终止证书之日起14天内退还。</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（2）缺陷责任期内，承包人认真履行合同约定的责任，到期后，承包人可向发包人申请返还质量保证金。</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（3）质量保证金是否支付利息采取以下</w:t>
      </w:r>
      <w:r>
        <w:rPr>
          <w:rFonts w:hint="eastAsia" w:ascii="宋体" w:hAnsi="宋体"/>
          <w:color w:val="auto"/>
          <w:szCs w:val="21"/>
          <w:highlight w:val="none"/>
          <w:u w:val="single"/>
        </w:rPr>
        <w:t>第②种</w:t>
      </w:r>
      <w:r>
        <w:rPr>
          <w:rFonts w:hint="eastAsia" w:ascii="宋体" w:hAnsi="宋体"/>
          <w:color w:val="auto"/>
          <w:szCs w:val="21"/>
          <w:highlight w:val="none"/>
        </w:rPr>
        <w:t>方式：</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①按照中国人民银行  年  月公布的5年期贷款市场报价利率支付利息</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②不采用</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019" w:name="_Toc532375663"/>
      <w:bookmarkStart w:id="1020" w:name="_Toc532377400"/>
      <w:r>
        <w:rPr>
          <w:rFonts w:hint="eastAsia"/>
          <w:color w:val="auto"/>
          <w:sz w:val="21"/>
          <w:szCs w:val="21"/>
          <w:highlight w:val="none"/>
        </w:rPr>
        <w:t>15.4 保修</w:t>
      </w:r>
      <w:bookmarkEnd w:id="1019"/>
      <w:bookmarkEnd w:id="1020"/>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15.4.1 保修责任</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工程保修期为：</w:t>
      </w:r>
      <w:bookmarkStart w:id="1021" w:name="_Hlk524381274"/>
      <w:r>
        <w:rPr>
          <w:rFonts w:hint="eastAsia" w:ascii="宋体" w:hAnsi="宋体"/>
          <w:color w:val="auto"/>
          <w:szCs w:val="21"/>
          <w:highlight w:val="none"/>
        </w:rPr>
        <w:t>按照附件1《工程质量保修书》的规定执行。</w:t>
      </w:r>
      <w:bookmarkEnd w:id="1021"/>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15.4.3 修复通知</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承包人收到保修通知并到达工程现场的合理时间：</w:t>
      </w:r>
      <w:r>
        <w:rPr>
          <w:rFonts w:hint="eastAsia" w:ascii="宋体" w:hAnsi="宋体"/>
          <w:color w:val="auto"/>
          <w:szCs w:val="21"/>
          <w:highlight w:val="none"/>
          <w:u w:val="single"/>
        </w:rPr>
        <w:t xml:space="preserve">  小时内，最长不能超过  小时</w:t>
      </w:r>
      <w:r>
        <w:rPr>
          <w:rFonts w:hint="eastAsia" w:ascii="宋体" w:hAnsi="宋体"/>
          <w:color w:val="auto"/>
          <w:szCs w:val="21"/>
          <w:highlight w:val="none"/>
        </w:rPr>
        <w:t>。</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022" w:name="_Toc351203648"/>
      <w:bookmarkStart w:id="1023" w:name="_Toc532375664"/>
      <w:bookmarkStart w:id="1024" w:name="_Toc532377401"/>
      <w:r>
        <w:rPr>
          <w:rFonts w:hint="eastAsia"/>
          <w:color w:val="auto"/>
          <w:kern w:val="2"/>
          <w:sz w:val="21"/>
          <w:szCs w:val="21"/>
          <w:highlight w:val="none"/>
        </w:rPr>
        <w:t>16. 违约</w:t>
      </w:r>
      <w:bookmarkEnd w:id="1022"/>
      <w:bookmarkEnd w:id="1023"/>
      <w:bookmarkEnd w:id="1024"/>
    </w:p>
    <w:p>
      <w:pPr>
        <w:pStyle w:val="7"/>
        <w:spacing w:before="0" w:beforeAutospacing="0" w:after="0" w:afterAutospacing="0" w:line="360" w:lineRule="auto"/>
        <w:ind w:firstLine="422" w:firstLineChars="200"/>
        <w:rPr>
          <w:color w:val="auto"/>
          <w:sz w:val="21"/>
          <w:szCs w:val="21"/>
          <w:highlight w:val="none"/>
        </w:rPr>
      </w:pPr>
      <w:bookmarkStart w:id="1025" w:name="_Toc532377402"/>
      <w:r>
        <w:rPr>
          <w:rFonts w:hint="eastAsia"/>
          <w:color w:val="auto"/>
          <w:sz w:val="21"/>
          <w:szCs w:val="21"/>
          <w:highlight w:val="none"/>
        </w:rPr>
        <w:t>16.1 发包人违约</w:t>
      </w:r>
      <w:bookmarkEnd w:id="1025"/>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16.1.1 发包人违约的情形</w:t>
      </w:r>
    </w:p>
    <w:p>
      <w:pPr>
        <w:spacing w:line="360" w:lineRule="auto"/>
        <w:ind w:firstLine="420" w:firstLineChars="200"/>
        <w:rPr>
          <w:rFonts w:ascii="宋体" w:hAnsi="宋体"/>
          <w:color w:val="auto"/>
          <w:szCs w:val="21"/>
          <w:highlight w:val="none"/>
        </w:rPr>
      </w:pPr>
      <w:r>
        <w:rPr>
          <w:rFonts w:hint="eastAsia" w:ascii="宋体" w:hAnsi="宋体" w:cs="Microsoft Sans Serif"/>
          <w:color w:val="auto"/>
          <w:kern w:val="0"/>
          <w:szCs w:val="21"/>
          <w:highlight w:val="none"/>
        </w:rPr>
        <w:t>除通用合同条款约定外，发包人违约的其他情形：</w:t>
      </w:r>
    </w:p>
    <w:p>
      <w:pPr>
        <w:spacing w:line="360" w:lineRule="auto"/>
        <w:ind w:firstLine="420" w:firstLineChars="200"/>
        <w:rPr>
          <w:rFonts w:ascii="宋体" w:hAnsi="宋体"/>
          <w:color w:val="auto"/>
          <w:szCs w:val="21"/>
          <w:highlight w:val="none"/>
        </w:rPr>
      </w:pPr>
      <w:r>
        <w:rPr>
          <w:rFonts w:hint="eastAsia" w:ascii="宋体" w:hAnsi="宋体" w:cs="Microsoft Sans Serif"/>
          <w:color w:val="auto"/>
          <w:kern w:val="0"/>
          <w:szCs w:val="21"/>
          <w:highlight w:val="none"/>
        </w:rPr>
        <w:t>（1）根据专用合同条款7.5.1项因发包人原因导致工期延误的；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（2）因发包人原因未能及时办理完毕合同约定的许可、批准或备案的；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（3）因监理人未能按合同约定发出指示、指示延误或发出了错误指示而导致承包人费用增加和（或）工期延误的；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（4）根据5.3.3发包人或监理人要求重新检查的，经检查证明工程质量符合合同要求的，并由此产生增加的费用和（或）延误的工期的；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（5）因发包人原因造成工程质量未达到合同约定标准的；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（6）由于发包人原因对承包人造成的人员人身伤亡和财产损失的；</w:t>
      </w:r>
    </w:p>
    <w:p>
      <w:pPr>
        <w:pStyle w:val="66"/>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（7）因发包人原因导致工程无法按期办理竣工验收或竣工结算的；</w:t>
      </w:r>
    </w:p>
    <w:p>
      <w:pPr>
        <w:pStyle w:val="66"/>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（8）发包人无正当理由未按约定退还履约担保、低价风险担保、预付款担保或质量保证金的；</w:t>
      </w:r>
    </w:p>
    <w:p>
      <w:pPr>
        <w:pStyle w:val="66"/>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（9）发包人不当提取履约担保、低价风险担保或质量保证金的；</w:t>
      </w:r>
    </w:p>
    <w:p>
      <w:pPr>
        <w:pStyle w:val="66"/>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（10）发包人未按合同约定接收全部或部分工作的；</w:t>
      </w:r>
    </w:p>
    <w:p>
      <w:pPr>
        <w:pStyle w:val="66"/>
        <w:spacing w:line="360" w:lineRule="auto"/>
        <w:jc w:val="left"/>
        <w:rPr>
          <w:rFonts w:ascii="宋体" w:hAnsi="宋体" w:cs="Microsoft Sans Serif"/>
          <w:color w:val="auto"/>
          <w:kern w:val="0"/>
          <w:sz w:val="21"/>
          <w:szCs w:val="21"/>
          <w:highlight w:val="none"/>
          <w:u w:val="single"/>
        </w:rPr>
      </w:pPr>
      <w:r>
        <w:rPr>
          <w:rFonts w:hint="eastAsia" w:ascii="宋体" w:hAnsi="宋体" w:cs="Microsoft Sans Serif"/>
          <w:color w:val="auto"/>
          <w:kern w:val="0"/>
          <w:sz w:val="21"/>
          <w:szCs w:val="21"/>
          <w:highlight w:val="none"/>
        </w:rPr>
        <w:t>（11）发包人未按合同约定办理保险的；</w:t>
      </w:r>
    </w:p>
    <w:p>
      <w:pPr>
        <w:snapToGrid w:val="0"/>
        <w:spacing w:line="360" w:lineRule="auto"/>
        <w:ind w:firstLine="420" w:firstLineChars="200"/>
        <w:jc w:val="left"/>
        <w:rPr>
          <w:rFonts w:hint="eastAsia" w:ascii="宋体" w:hAnsi="宋体" w:cs="Microsoft Sans Serif"/>
          <w:color w:val="auto"/>
          <w:kern w:val="0"/>
          <w:szCs w:val="21"/>
          <w:highlight w:val="none"/>
        </w:rPr>
      </w:pPr>
      <w:r>
        <w:rPr>
          <w:rFonts w:hint="eastAsia" w:ascii="宋体" w:hAnsi="宋体" w:cs="Microsoft Sans Serif"/>
          <w:color w:val="auto"/>
          <w:kern w:val="0"/>
          <w:szCs w:val="21"/>
          <w:highlight w:val="none"/>
          <w:u w:val="single"/>
        </w:rPr>
        <w:t xml:space="preserve">（12）其他：    </w:t>
      </w:r>
      <w:r>
        <w:rPr>
          <w:rFonts w:hint="eastAsia" w:ascii="宋体" w:hAnsi="宋体" w:cs="Microsoft Sans Serif"/>
          <w:color w:val="auto"/>
          <w:kern w:val="0"/>
          <w:szCs w:val="21"/>
          <w:highlight w:val="none"/>
          <w:u w:val="single"/>
          <w:lang w:val="en-US" w:eastAsia="zh-CN"/>
        </w:rPr>
        <w:t>/</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p>
      <w:pPr>
        <w:adjustRightInd w:val="0"/>
        <w:snapToGrid w:val="0"/>
        <w:ind w:firstLine="482"/>
        <w:rPr>
          <w:rFonts w:hint="eastAsia" w:ascii="宋体" w:hAnsi="宋体" w:eastAsia="宋体" w:cs="Microsoft Sans Serif"/>
          <w:color w:val="auto"/>
          <w:kern w:val="0"/>
          <w:szCs w:val="21"/>
          <w:highlight w:val="none"/>
        </w:rPr>
      </w:pPr>
      <w:r>
        <w:rPr>
          <w:rFonts w:hint="eastAsia" w:ascii="宋体" w:hAnsi="宋体"/>
          <w:color w:val="auto"/>
          <w:szCs w:val="21"/>
          <w:highlight w:val="none"/>
        </w:rPr>
        <w:t>16.1.</w:t>
      </w:r>
      <w:r>
        <w:rPr>
          <w:rFonts w:hint="eastAsia" w:ascii="宋体" w:hAnsi="宋体"/>
          <w:color w:val="auto"/>
          <w:szCs w:val="21"/>
          <w:highlight w:val="none"/>
          <w:lang w:val="en-US" w:eastAsia="zh-CN"/>
        </w:rPr>
        <w:t>2</w:t>
      </w:r>
      <w:r>
        <w:rPr>
          <w:rFonts w:hint="default" w:ascii="宋体" w:hAnsi="宋体" w:eastAsia="宋体" w:cs="Microsoft Sans Serif"/>
          <w:color w:val="auto"/>
          <w:kern w:val="0"/>
          <w:szCs w:val="21"/>
          <w:highlight w:val="none"/>
          <w:lang w:val="en-US" w:eastAsia="zh-CN"/>
        </w:rPr>
        <w:t>双方均同意，以合同协议书尾部及专用合同条款中各方预留的地址和联系方式作为双方指定的送达地址和通知方式，一方在本协议项下向对方发出的任何书面通知、要求或其他书面材料，应当按照上述地址和方式进行送达。发出方按照对方指定地址将寄送材料交付邮寄机关或快递公司邮寄后的第3日，即为送达；发出方以电话、微信、电子邮件等方式发送的，以对方收到之日起视为送达。如果任何一方的送达地址和通知方式发生变更，则该方应在变更发生之日起3个工作日内，以书面的方式通知对方。如变更送达地址的一方，未按上述约定通知对方的，则原约定的送达地址和通知方式仍为有效送达地址和通知方式。</w:t>
      </w:r>
    </w:p>
    <w:p>
      <w:pPr>
        <w:pStyle w:val="66"/>
        <w:spacing w:line="360" w:lineRule="auto"/>
        <w:rPr>
          <w:rFonts w:ascii="宋体" w:hAnsi="宋体"/>
          <w:color w:val="auto"/>
          <w:sz w:val="21"/>
          <w:szCs w:val="21"/>
          <w:highlight w:val="none"/>
        </w:rPr>
      </w:pPr>
      <w:r>
        <w:rPr>
          <w:rFonts w:hint="eastAsia" w:ascii="宋体" w:hAnsi="宋体"/>
          <w:color w:val="auto"/>
          <w:sz w:val="21"/>
          <w:szCs w:val="21"/>
          <w:highlight w:val="none"/>
        </w:rPr>
        <w:t>16.1.</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发包人违约的责任</w:t>
      </w:r>
    </w:p>
    <w:p>
      <w:pPr>
        <w:widowControl/>
        <w:adjustRightInd w:val="0"/>
        <w:snapToGrid w:val="0"/>
        <w:spacing w:line="360" w:lineRule="auto"/>
        <w:ind w:firstLine="482"/>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（1）因发包人原因未能及时办理完毕前述许可、批准或备案的违约责任：对工期影响超过28天的将按超过天数予以顺延工期。</w:t>
      </w:r>
    </w:p>
    <w:p>
      <w:pPr>
        <w:widowControl/>
        <w:adjustRightInd w:val="0"/>
        <w:snapToGrid w:val="0"/>
        <w:spacing w:line="360" w:lineRule="auto"/>
        <w:ind w:firstLine="482"/>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（2）因监理人未能按合同约定发出指示、指示延误或发出了错误指示而导致承包人费用增加和（或）工期延误的，由此对工期影响超过28天的将按超过天数予以顺延工期。</w:t>
      </w:r>
    </w:p>
    <w:p>
      <w:pPr>
        <w:widowControl/>
        <w:adjustRightInd w:val="0"/>
        <w:snapToGrid w:val="0"/>
        <w:spacing w:line="360" w:lineRule="auto"/>
        <w:ind w:firstLine="482"/>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（3）因发包人原因导致工期延误的违约责任：由此对工期影响超过28天的将按超过天数予以顺延工期。</w:t>
      </w:r>
    </w:p>
    <w:p>
      <w:pPr>
        <w:widowControl/>
        <w:adjustRightInd w:val="0"/>
        <w:snapToGrid w:val="0"/>
        <w:spacing w:line="360" w:lineRule="auto"/>
        <w:ind w:firstLine="482"/>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（4）因发包人原因导致开始工作日期延误的违约责任：</w:t>
      </w:r>
      <w:r>
        <w:rPr>
          <w:rFonts w:hint="default" w:ascii="Times New Roman" w:hAnsi="Times New Roman" w:cs="Times New Roman"/>
          <w:color w:val="auto"/>
          <w:kern w:val="0"/>
          <w:highlight w:val="none"/>
          <w:u w:val="single"/>
        </w:rPr>
        <w:t>无</w:t>
      </w:r>
      <w:r>
        <w:rPr>
          <w:rFonts w:hint="default" w:ascii="Times New Roman" w:hAnsi="Times New Roman" w:cs="Times New Roman"/>
          <w:color w:val="auto"/>
          <w:kern w:val="0"/>
          <w:highlight w:val="none"/>
        </w:rPr>
        <w:t>。</w:t>
      </w:r>
    </w:p>
    <w:p>
      <w:pPr>
        <w:widowControl/>
        <w:adjustRightInd w:val="0"/>
        <w:snapToGrid w:val="0"/>
        <w:spacing w:line="360" w:lineRule="auto"/>
        <w:ind w:firstLine="482"/>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（5）根据5.3.3项发包人或监理人要求重新检查的，经检查证明工程质量符合合同要求的，发包方应承担的责任：</w:t>
      </w:r>
      <w:r>
        <w:rPr>
          <w:rFonts w:hint="default" w:ascii="Times New Roman" w:hAnsi="Times New Roman" w:cs="Times New Roman"/>
          <w:color w:val="auto"/>
          <w:kern w:val="0"/>
          <w:highlight w:val="none"/>
          <w:u w:val="single"/>
        </w:rPr>
        <w:t>无</w:t>
      </w:r>
      <w:r>
        <w:rPr>
          <w:rFonts w:hint="default" w:ascii="Times New Roman" w:hAnsi="Times New Roman" w:cs="Times New Roman"/>
          <w:color w:val="auto"/>
          <w:kern w:val="0"/>
          <w:highlight w:val="none"/>
        </w:rPr>
        <w:t>。</w:t>
      </w:r>
    </w:p>
    <w:p>
      <w:pPr>
        <w:widowControl/>
        <w:adjustRightInd w:val="0"/>
        <w:snapToGrid w:val="0"/>
        <w:spacing w:line="360" w:lineRule="auto"/>
        <w:ind w:firstLine="48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（6）因发包人原因未按合同约定支付合同价款的违约责任：发包人应向承包人支付违约金，自应当支付之日起90天后开始计算违约金，计算公式：</w:t>
      </w:r>
      <w:r>
        <w:rPr>
          <w:rFonts w:hint="default" w:ascii="Times New Roman" w:hAnsi="Times New Roman" w:cs="Times New Roman"/>
          <w:color w:val="auto"/>
          <w:kern w:val="0"/>
          <w:highlight w:val="none"/>
          <w:u w:val="single"/>
        </w:rPr>
        <w:t>违约金=应付未付金额×中国人民银行同期存款年利率/360天×逾期天数（自第91天起计算）（按单利计算）</w:t>
      </w:r>
      <w:r>
        <w:rPr>
          <w:rFonts w:hint="default" w:ascii="Times New Roman" w:hAnsi="Times New Roman" w:cs="Times New Roman"/>
          <w:color w:val="auto"/>
          <w:kern w:val="0"/>
          <w:highlight w:val="none"/>
        </w:rPr>
        <w:t>。</w:t>
      </w:r>
    </w:p>
    <w:p>
      <w:pPr>
        <w:widowControl/>
        <w:adjustRightInd w:val="0"/>
        <w:snapToGrid w:val="0"/>
        <w:spacing w:line="360" w:lineRule="auto"/>
        <w:ind w:firstLine="48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（7）发包人违反合同约定，自行实施被取消的工作或转由他人实施的违约责任：</w:t>
      </w:r>
      <w:r>
        <w:rPr>
          <w:rFonts w:hint="default" w:ascii="Times New Roman" w:hAnsi="Times New Roman" w:cs="Times New Roman"/>
          <w:color w:val="auto"/>
          <w:kern w:val="0"/>
          <w:highlight w:val="none"/>
          <w:u w:val="single"/>
        </w:rPr>
        <w:t>无</w:t>
      </w:r>
      <w:r>
        <w:rPr>
          <w:rFonts w:hint="default" w:ascii="Times New Roman" w:hAnsi="Times New Roman" w:cs="Times New Roman"/>
          <w:color w:val="auto"/>
          <w:kern w:val="0"/>
          <w:highlight w:val="none"/>
        </w:rPr>
        <w:t>。</w:t>
      </w:r>
    </w:p>
    <w:p>
      <w:pPr>
        <w:widowControl/>
        <w:adjustRightInd w:val="0"/>
        <w:snapToGrid w:val="0"/>
        <w:spacing w:line="360" w:lineRule="auto"/>
        <w:ind w:firstLine="48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（8）发包人提供的材料、工程设备的规格、数量或质量不符合合同约定，或因发包人原因导致交货日期延误或交货地点变更等情况的违约责任：对工期影响超过28天的将按超过天数予以顺延工期。</w:t>
      </w:r>
    </w:p>
    <w:p>
      <w:pPr>
        <w:widowControl/>
        <w:adjustRightInd w:val="0"/>
        <w:snapToGrid w:val="0"/>
        <w:spacing w:line="360" w:lineRule="auto"/>
        <w:ind w:firstLine="48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（9）发包人未按合同约定接收全部或部分工作的违约责任：</w:t>
      </w:r>
      <w:r>
        <w:rPr>
          <w:rFonts w:hint="default" w:ascii="Times New Roman" w:hAnsi="Times New Roman" w:cs="Times New Roman"/>
          <w:color w:val="auto"/>
          <w:kern w:val="0"/>
          <w:highlight w:val="none"/>
          <w:u w:val="single"/>
        </w:rPr>
        <w:t>无</w:t>
      </w:r>
      <w:r>
        <w:rPr>
          <w:rFonts w:hint="default" w:ascii="Times New Roman" w:hAnsi="Times New Roman" w:cs="Times New Roman"/>
          <w:color w:val="auto"/>
          <w:kern w:val="0"/>
          <w:highlight w:val="none"/>
        </w:rPr>
        <w:t>。</w:t>
      </w:r>
    </w:p>
    <w:p>
      <w:pPr>
        <w:widowControl/>
        <w:adjustRightInd w:val="0"/>
        <w:snapToGrid w:val="0"/>
        <w:spacing w:line="360" w:lineRule="auto"/>
        <w:ind w:firstLine="48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（10）因发包人违反合同约定造成工程暂停施工的违约责任：对工期影响超过28天的将按超过天数予以顺延工期。</w:t>
      </w:r>
    </w:p>
    <w:p>
      <w:pPr>
        <w:widowControl/>
        <w:adjustRightInd w:val="0"/>
        <w:snapToGrid w:val="0"/>
        <w:spacing w:line="360" w:lineRule="auto"/>
        <w:ind w:firstLine="48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（11）发包人无正当理由没有在约定期限内发出复工指示，导致承包人无法复工的违约责任：对工期影响超过28天的将按超过天数予以顺延工期。</w:t>
      </w:r>
    </w:p>
    <w:p>
      <w:pPr>
        <w:pStyle w:val="23"/>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kern w:val="0"/>
          <w:highlight w:val="none"/>
        </w:rPr>
        <w:t>（12）其他：</w:t>
      </w:r>
      <w:r>
        <w:rPr>
          <w:rFonts w:hint="default" w:ascii="Times New Roman" w:hAnsi="Times New Roman" w:cs="Times New Roman"/>
          <w:color w:val="auto"/>
          <w:kern w:val="0"/>
          <w:highlight w:val="none"/>
          <w:u w:val="single"/>
        </w:rPr>
        <w:t>/</w:t>
      </w:r>
      <w:r>
        <w:rPr>
          <w:rFonts w:hint="default" w:ascii="Times New Roman" w:hAnsi="Times New Roman" w:cs="Times New Roman"/>
          <w:color w:val="auto"/>
          <w:kern w:val="0"/>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16.1.3 因发包人违约解除合同</w:t>
      </w:r>
    </w:p>
    <w:p>
      <w:pPr>
        <w:autoSpaceDE w:val="0"/>
        <w:autoSpaceDN w:val="0"/>
        <w:adjustRightIn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因发包人违约并致使合同目的不能实现的，承包人有权解除合同：</w:t>
      </w:r>
    </w:p>
    <w:p>
      <w:pPr>
        <w:autoSpaceDE w:val="0"/>
        <w:autoSpaceDN w:val="0"/>
        <w:adjustRightIn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（1）因发包人原因延迟支付合同价款超过180天的；</w:t>
      </w:r>
    </w:p>
    <w:p>
      <w:pPr>
        <w:autoSpaceDE w:val="0"/>
        <w:autoSpaceDN w:val="0"/>
        <w:adjustRightIn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（2）因发包人原因导致工期延误超过90天的；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（3）因发包人第16.1.2（5）违约情形导致暂停施工满56天，且发包人仍未纠正其违约行为的；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（4）其他未履行合同项下的义务构成对合同的实质性违约，并且在收到承包人要求说明其违约并予以补救的通知后56天内仍未补救该实质性违约的；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w:t>
      </w:r>
      <w:r>
        <w:rPr>
          <w:rFonts w:hint="eastAsia" w:ascii="宋体" w:hAnsi="宋体" w:cs="Microsoft Sans Serif"/>
          <w:color w:val="auto"/>
          <w:kern w:val="0"/>
          <w:szCs w:val="21"/>
          <w:highlight w:val="none"/>
          <w:u w:val="single"/>
        </w:rPr>
        <w:t>合同约定的承包人有权解除合同的其他情形</w:t>
      </w:r>
      <w:r>
        <w:rPr>
          <w:rFonts w:hint="eastAsia" w:ascii="宋体" w:hAnsi="宋体" w:cs="Microsoft Sans Serif"/>
          <w:color w:val="auto"/>
          <w:kern w:val="0"/>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16.1.4 因发包人违约解除合同后的付款</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承包人按照本款约定解除合同的，发包人应在解除合同后28天内支付下列款项，并解除履约担保、低价风险担保、预付款担保：</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（1）合同解除前所完成工作的价款；</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（2）承包人为工程施工订购并已付款的材料、工程设备和其他物品的价款；</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（3）承包人撤离施工现场以及遣散承包人人员的款项；</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（4）按照合同约定在合同解除前应支付的违约金；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（5）按照合同约定应当支付给承包人的其他款项；</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（6）按照合同约定应退还的质量保证金；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（7）因解除合同给承包人造成的损失；</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w:t>
      </w:r>
      <w:r>
        <w:rPr>
          <w:rFonts w:hint="eastAsia" w:ascii="宋体" w:hAnsi="宋体" w:cs="Microsoft Sans Serif"/>
          <w:color w:val="auto"/>
          <w:kern w:val="0"/>
          <w:szCs w:val="21"/>
          <w:highlight w:val="none"/>
          <w:u w:val="single"/>
        </w:rPr>
        <w:t xml:space="preserve">        。</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合同当事人未能就解除合同后的结清达成一致的，按照第20条〔争议解决〕的约定处理。</w:t>
      </w:r>
    </w:p>
    <w:p>
      <w:pPr>
        <w:snapToGrid w:val="0"/>
        <w:spacing w:line="360" w:lineRule="auto"/>
        <w:ind w:firstLine="420" w:firstLineChars="200"/>
        <w:jc w:val="left"/>
        <w:rPr>
          <w:rFonts w:ascii="宋体" w:hAnsi="宋体" w:cs="Microsoft Sans Serif"/>
          <w:color w:val="auto"/>
          <w:kern w:val="0"/>
          <w:szCs w:val="21"/>
          <w:highlight w:val="none"/>
          <w:u w:val="single"/>
        </w:rPr>
      </w:pPr>
      <w:r>
        <w:rPr>
          <w:rFonts w:hint="eastAsia" w:ascii="宋体" w:hAnsi="宋体" w:cs="Microsoft Sans Serif"/>
          <w:color w:val="auto"/>
          <w:kern w:val="0"/>
          <w:szCs w:val="21"/>
          <w:highlight w:val="none"/>
        </w:rPr>
        <w:t>承包人应妥善做好已完工程和与工程有关的已购材料、工程设备的保护和移交工作，并将施工设备和人员撤出施工现场，发包人应为承包人撤出提供必要条件。</w:t>
      </w:r>
    </w:p>
    <w:p>
      <w:pPr>
        <w:pStyle w:val="7"/>
        <w:spacing w:before="0" w:beforeAutospacing="0" w:after="0" w:afterAutospacing="0" w:line="360" w:lineRule="auto"/>
        <w:ind w:firstLine="422" w:firstLineChars="200"/>
        <w:rPr>
          <w:color w:val="auto"/>
          <w:sz w:val="21"/>
          <w:szCs w:val="21"/>
          <w:highlight w:val="none"/>
        </w:rPr>
      </w:pPr>
      <w:bookmarkStart w:id="1026" w:name="_Toc532377403"/>
      <w:r>
        <w:rPr>
          <w:rFonts w:hint="eastAsia"/>
          <w:color w:val="auto"/>
          <w:sz w:val="21"/>
          <w:szCs w:val="21"/>
          <w:highlight w:val="none"/>
        </w:rPr>
        <w:t>16.2 承包人违约</w:t>
      </w:r>
      <w:bookmarkEnd w:id="1026"/>
    </w:p>
    <w:p>
      <w:pPr>
        <w:snapToGrid w:val="0"/>
        <w:spacing w:line="360" w:lineRule="auto"/>
        <w:ind w:firstLine="420" w:firstLineChars="200"/>
        <w:jc w:val="left"/>
        <w:rPr>
          <w:rFonts w:ascii="宋体" w:hAnsi="宋体" w:cs="Microsoft Sans Serif"/>
          <w:color w:val="auto"/>
          <w:kern w:val="0"/>
          <w:szCs w:val="21"/>
          <w:highlight w:val="none"/>
        </w:rPr>
      </w:pPr>
      <w:bookmarkStart w:id="1027" w:name="_Hlk524380579"/>
      <w:r>
        <w:rPr>
          <w:rFonts w:hint="eastAsia" w:ascii="宋体" w:hAnsi="宋体" w:cs="Microsoft Sans Serif"/>
          <w:color w:val="auto"/>
          <w:kern w:val="0"/>
          <w:szCs w:val="21"/>
          <w:highlight w:val="none"/>
        </w:rPr>
        <w:t>16.2.1 承包人违约的情形</w:t>
      </w:r>
    </w:p>
    <w:p>
      <w:pPr>
        <w:snapToGrid w:val="0"/>
        <w:spacing w:line="360" w:lineRule="auto"/>
        <w:ind w:firstLine="420" w:firstLineChars="200"/>
        <w:jc w:val="left"/>
        <w:rPr>
          <w:rFonts w:ascii="宋体" w:hAnsi="宋体" w:cs="Microsoft Sans Serif"/>
          <w:color w:val="auto"/>
          <w:kern w:val="0"/>
          <w:szCs w:val="21"/>
          <w:highlight w:val="none"/>
          <w:u w:val="single"/>
        </w:rPr>
      </w:pPr>
      <w:r>
        <w:rPr>
          <w:rFonts w:hint="eastAsia" w:ascii="宋体" w:hAnsi="宋体" w:cs="Microsoft Sans Serif"/>
          <w:color w:val="auto"/>
          <w:kern w:val="0"/>
          <w:szCs w:val="21"/>
          <w:highlight w:val="none"/>
        </w:rPr>
        <w:t>除通用合同条款约定外，承包人违约的其他情形：</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（1）承包人未按合同约定提交履约担保或质量保证金的；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（2）承包人未能按期开工的；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（3）承包人未按投标文件或监理人的要求及时配备称职的主要管理人员，或承包人未按经审定的施工组织设计配备或更换关键施工设备的；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（4）承包人有安全问题或有违反安全管理规章制度情况的；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（5）承包人在缺陷责任期及保修期内，未能在合理期限对工程缺陷进行修复，或拒绝按发包人要求进行修复的；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（6）承包人拖欠其工人或所雇人员工资或报酬，导致其工人或所雇人员向有关部门投诉、控告、检举或以聚集等方式讨要工资或报酬的；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（7）承包人不配合发包人、监理人及发包人委托的工程造价咨询服务单位结算审核或承包人其他原因导致未按期完成工程竣工结算的；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（8）承包人违反合同约定进行转包或违法分包的；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（9）承包人未按合同约定移交全部或部分工作的；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（10）承包人未按合同约定购买保险的；</w:t>
      </w:r>
    </w:p>
    <w:p>
      <w:pPr>
        <w:snapToGrid w:val="0"/>
        <w:spacing w:line="360" w:lineRule="auto"/>
        <w:ind w:firstLine="420" w:firstLineChars="200"/>
        <w:jc w:val="left"/>
        <w:rPr>
          <w:rFonts w:ascii="宋体" w:hAnsi="宋体"/>
          <w:color w:val="auto"/>
          <w:szCs w:val="21"/>
          <w:highlight w:val="none"/>
        </w:rPr>
      </w:pPr>
      <w:r>
        <w:rPr>
          <w:rFonts w:hint="eastAsia" w:ascii="宋体" w:hAnsi="宋体" w:cs="Microsoft Sans Serif"/>
          <w:color w:val="auto"/>
          <w:kern w:val="0"/>
          <w:szCs w:val="21"/>
          <w:highlight w:val="none"/>
        </w:rPr>
        <w:t>（11）项目经理若有以下情形，属于承包人违约：</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1）项目经理不按承诺到岗的；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2）每月在施工现场的天数少于约定天数的；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3）承包人未提交项目经理劳动合同和社会保险证明的；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4）未经批准，擅自离开施工现场（超过约定时间）的；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5）未经批准，擅自变更项目经理的；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6）按照渝建发〔2015〕35号文的要求，施工期间，项目经理因在一个记分周期内累计记分达到12分，被建设行政主管部门依法责令停止执业的；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7）发包人有正当理由认为项目经理不称职/不履职，且承包人在约定时间内不予更换的；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8）其他双方约定的情形：</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（12）技术负责人若有以下情形，属于承包人违约：</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1）每月在施工现场的天数少于约定天数的；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2）承包人未提交技术负责人劳动合同和社会保险证明的；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3）未经批准，擅自离开施工现场（超过约定时间）的；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4）未经批准，擅自变更技术负责人的；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5）发包人有正当理由认为技术负责人不称职/不履职，且承包人在约定时间内不予更换的；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6）其他双方约定的情形：</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（13）主要施工管理人员若有以下情形，属于承包人违约：</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1）承包人未提交主要施工管理人员劳动合同和社会保险证明的；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2）未经批准，擅自离开施工现场（超过约定时间）的；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3）未经批准，擅自变更主要施工管理人员的；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4）发包人有正当理由认为主要施工管理人员不称职/不履职，且承包人在约定时间内不予更换的；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5）其他双方约定的情形：</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bookmarkEnd w:id="1027"/>
    <w:p>
      <w:pPr>
        <w:adjustRightInd w:val="0"/>
        <w:snapToGrid w:val="0"/>
        <w:spacing w:line="360" w:lineRule="auto"/>
        <w:ind w:firstLine="420" w:firstLineChars="200"/>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14）发包人在合同签订前对承包人已标价工程量清单清标时发现承包人的工程量清单综合单价报价超过招标时给出的工程量清单综合单价最高限价，结算时拒不接受发包人以发出的工程量清单综合单价最高限价为基础，按照承包人的中标总报价与本工程的总价最高限价的下浮比例进行同比例下调的。</w:t>
      </w:r>
    </w:p>
    <w:p>
      <w:pPr>
        <w:spacing w:line="300" w:lineRule="auto"/>
        <w:ind w:firstLine="420" w:firstLineChars="200"/>
        <w:rPr>
          <w:rFonts w:hint="default" w:ascii="Times New Roman" w:hAnsi="Times New Roman" w:cs="Times New Roman"/>
          <w:color w:val="auto"/>
          <w:szCs w:val="21"/>
          <w:highlight w:val="none"/>
        </w:rPr>
      </w:pPr>
      <w:r>
        <w:rPr>
          <w:rFonts w:hint="eastAsia" w:ascii="宋体" w:hAnsi="宋体" w:cs="Microsoft Sans Serif"/>
          <w:color w:val="auto"/>
          <w:kern w:val="0"/>
          <w:szCs w:val="21"/>
          <w:highlight w:val="none"/>
        </w:rPr>
        <w:t>（15）</w:t>
      </w:r>
      <w:r>
        <w:rPr>
          <w:rFonts w:hint="default" w:ascii="Times New Roman" w:hAnsi="Times New Roman" w:cs="Times New Roman"/>
          <w:color w:val="auto"/>
          <w:szCs w:val="21"/>
          <w:highlight w:val="none"/>
        </w:rPr>
        <w:t>由于承包人不按施工及验收规范施工，工程施工质量不符合要求，或使用不符合本合同约定的材料，不听从发包人和</w:t>
      </w:r>
      <w:r>
        <w:rPr>
          <w:rFonts w:hint="eastAsia" w:ascii="Times New Roman" w:hAnsi="Times New Roman" w:cs="Times New Roman"/>
          <w:color w:val="auto"/>
          <w:szCs w:val="21"/>
          <w:highlight w:val="none"/>
          <w:lang w:val="en-US" w:eastAsia="zh-CN"/>
        </w:rPr>
        <w:t>监理人</w:t>
      </w:r>
      <w:r>
        <w:rPr>
          <w:rFonts w:hint="default" w:ascii="Times New Roman" w:hAnsi="Times New Roman" w:cs="Times New Roman"/>
          <w:color w:val="auto"/>
          <w:szCs w:val="21"/>
          <w:highlight w:val="none"/>
        </w:rPr>
        <w:t>的指令；</w:t>
      </w:r>
    </w:p>
    <w:p>
      <w:pPr>
        <w:adjustRightInd w:val="0"/>
        <w:snapToGrid w:val="0"/>
        <w:spacing w:line="360" w:lineRule="auto"/>
        <w:ind w:firstLine="420" w:firstLineChars="200"/>
        <w:rPr>
          <w:rFonts w:hint="default" w:ascii="宋体" w:hAnsi="宋体" w:eastAsia="宋体" w:cs="Microsoft Sans Serif"/>
          <w:color w:val="auto"/>
          <w:kern w:val="0"/>
          <w:szCs w:val="21"/>
          <w:highlight w:val="none"/>
          <w:lang w:val="en-US" w:eastAsia="zh-CN"/>
        </w:rPr>
      </w:pPr>
      <w:r>
        <w:rPr>
          <w:rFonts w:hint="eastAsia" w:ascii="宋体" w:hAnsi="宋体" w:cs="Microsoft Sans Serif"/>
          <w:color w:val="auto"/>
          <w:kern w:val="0"/>
          <w:szCs w:val="21"/>
          <w:highlight w:val="none"/>
          <w:lang w:eastAsia="zh-CN"/>
        </w:rPr>
        <w:t>（</w:t>
      </w:r>
      <w:r>
        <w:rPr>
          <w:rFonts w:hint="eastAsia" w:ascii="宋体" w:hAnsi="宋体" w:cs="Microsoft Sans Serif"/>
          <w:color w:val="auto"/>
          <w:kern w:val="0"/>
          <w:szCs w:val="21"/>
          <w:highlight w:val="none"/>
          <w:lang w:val="en-US" w:eastAsia="zh-CN"/>
        </w:rPr>
        <w:t>16</w:t>
      </w:r>
      <w:r>
        <w:rPr>
          <w:rFonts w:hint="eastAsia" w:ascii="宋体" w:hAnsi="宋体" w:cs="Microsoft Sans Serif"/>
          <w:color w:val="auto"/>
          <w:kern w:val="0"/>
          <w:szCs w:val="21"/>
          <w:highlight w:val="none"/>
          <w:lang w:eastAsia="zh-CN"/>
        </w:rPr>
        <w:t>）</w:t>
      </w:r>
      <w:r>
        <w:rPr>
          <w:rFonts w:hint="default" w:ascii="Times New Roman" w:hAnsi="Times New Roman" w:cs="Times New Roman"/>
          <w:color w:val="auto"/>
          <w:szCs w:val="21"/>
          <w:highlight w:val="none"/>
        </w:rPr>
        <w:t>承包人现场管理混乱，工程工期不满足要求，且不服从发包人和监理的管理、协调</w:t>
      </w:r>
      <w:r>
        <w:rPr>
          <w:rFonts w:hint="eastAsia" w:ascii="Times New Roman" w:hAnsi="Times New Roman" w:cs="Times New Roman"/>
          <w:color w:val="auto"/>
          <w:szCs w:val="21"/>
          <w:highlight w:val="none"/>
          <w:lang w:eastAsia="zh-CN"/>
        </w:rPr>
        <w:t>；</w:t>
      </w:r>
    </w:p>
    <w:p>
      <w:pPr>
        <w:spacing w:line="300" w:lineRule="auto"/>
        <w:ind w:firstLine="420" w:firstLineChars="200"/>
        <w:rPr>
          <w:rFonts w:hint="default" w:ascii="Times New Roman" w:hAnsi="Times New Roman" w:cs="Times New Roman"/>
          <w:color w:val="auto"/>
          <w:szCs w:val="21"/>
          <w:highlight w:val="none"/>
        </w:rPr>
      </w:pPr>
      <w:r>
        <w:rPr>
          <w:rFonts w:hint="eastAsia" w:ascii="宋体" w:hAnsi="宋体" w:cs="Microsoft Sans Serif"/>
          <w:color w:val="auto"/>
          <w:kern w:val="0"/>
          <w:szCs w:val="21"/>
          <w:highlight w:val="none"/>
          <w:lang w:eastAsia="zh-CN"/>
        </w:rPr>
        <w:t>（</w:t>
      </w:r>
      <w:r>
        <w:rPr>
          <w:rFonts w:hint="eastAsia" w:ascii="宋体" w:hAnsi="宋体" w:cs="Microsoft Sans Serif"/>
          <w:color w:val="auto"/>
          <w:kern w:val="0"/>
          <w:szCs w:val="21"/>
          <w:highlight w:val="none"/>
          <w:lang w:val="en-US" w:eastAsia="zh-CN"/>
        </w:rPr>
        <w:t>17</w:t>
      </w:r>
      <w:r>
        <w:rPr>
          <w:rFonts w:hint="eastAsia" w:ascii="宋体" w:hAnsi="宋体" w:cs="Microsoft Sans Serif"/>
          <w:color w:val="auto"/>
          <w:kern w:val="0"/>
          <w:szCs w:val="21"/>
          <w:highlight w:val="none"/>
          <w:lang w:eastAsia="zh-CN"/>
        </w:rPr>
        <w:t>）</w:t>
      </w:r>
      <w:r>
        <w:rPr>
          <w:rFonts w:hint="default" w:ascii="Times New Roman" w:hAnsi="Times New Roman" w:cs="Times New Roman"/>
          <w:color w:val="auto"/>
          <w:szCs w:val="21"/>
          <w:highlight w:val="none"/>
        </w:rPr>
        <w:t xml:space="preserve">承包人不按有关安全文明施工的要求和规定施工等。  </w:t>
      </w:r>
    </w:p>
    <w:p>
      <w:pPr>
        <w:widowControl/>
        <w:spacing w:line="300" w:lineRule="auto"/>
        <w:ind w:firstLine="420" w:firstLineChars="200"/>
        <w:jc w:val="left"/>
        <w:rPr>
          <w:rFonts w:hint="default" w:ascii="Times New Roman" w:hAnsi="Times New Roman" w:cs="Times New Roman"/>
          <w:color w:val="auto"/>
          <w:szCs w:val="21"/>
          <w:highlight w:val="none"/>
        </w:rPr>
      </w:pPr>
      <w:r>
        <w:rPr>
          <w:rFonts w:hint="eastAsia" w:ascii="宋体" w:hAnsi="宋体" w:cs="Microsoft Sans Serif"/>
          <w:color w:val="auto"/>
          <w:kern w:val="0"/>
          <w:szCs w:val="21"/>
          <w:highlight w:val="none"/>
          <w:lang w:eastAsia="zh-CN"/>
        </w:rPr>
        <w:t>（</w:t>
      </w:r>
      <w:r>
        <w:rPr>
          <w:rFonts w:hint="eastAsia" w:ascii="宋体" w:hAnsi="宋体" w:cs="Microsoft Sans Serif"/>
          <w:color w:val="auto"/>
          <w:kern w:val="0"/>
          <w:szCs w:val="21"/>
          <w:highlight w:val="none"/>
          <w:lang w:val="en-US" w:eastAsia="zh-CN"/>
        </w:rPr>
        <w:t>18</w:t>
      </w:r>
      <w:r>
        <w:rPr>
          <w:rFonts w:hint="eastAsia" w:ascii="宋体" w:hAnsi="宋体" w:cs="Microsoft Sans Serif"/>
          <w:color w:val="auto"/>
          <w:kern w:val="0"/>
          <w:szCs w:val="21"/>
          <w:highlight w:val="none"/>
          <w:lang w:eastAsia="zh-CN"/>
        </w:rPr>
        <w:t>）</w:t>
      </w:r>
      <w:r>
        <w:rPr>
          <w:rFonts w:hint="default" w:ascii="Times New Roman" w:hAnsi="Times New Roman" w:cs="Times New Roman"/>
          <w:color w:val="auto"/>
          <w:szCs w:val="21"/>
          <w:highlight w:val="none"/>
        </w:rPr>
        <w:t>承包人在进行最终施工验收前应向发包人提供装修场所甲醛等有害气体检测报告，所提供的检测报告应满足国家或者行业的规范、规定，若承包人所提供的检测报告不满足的，则发包人有权要求承包人进行整改，直至最后的验收合格为止，且承包人应赔偿发包人所有的损失。</w:t>
      </w:r>
    </w:p>
    <w:p>
      <w:pPr>
        <w:spacing w:line="300" w:lineRule="auto"/>
        <w:ind w:firstLine="420" w:firstLineChars="200"/>
        <w:rPr>
          <w:rFonts w:hint="default" w:ascii="Times New Roman" w:hAnsi="Times New Roman" w:cs="Times New Roman"/>
          <w:color w:val="auto"/>
          <w:szCs w:val="21"/>
          <w:highlight w:val="none"/>
        </w:rPr>
      </w:pPr>
      <w:r>
        <w:rPr>
          <w:rFonts w:hint="eastAsia" w:ascii="宋体" w:hAnsi="宋体" w:cs="Microsoft Sans Serif"/>
          <w:color w:val="auto"/>
          <w:kern w:val="0"/>
          <w:szCs w:val="21"/>
          <w:highlight w:val="none"/>
          <w:lang w:eastAsia="zh-CN"/>
        </w:rPr>
        <w:t>（</w:t>
      </w:r>
      <w:r>
        <w:rPr>
          <w:rFonts w:hint="eastAsia" w:ascii="宋体" w:hAnsi="宋体" w:cs="Microsoft Sans Serif"/>
          <w:color w:val="auto"/>
          <w:kern w:val="0"/>
          <w:szCs w:val="21"/>
          <w:highlight w:val="none"/>
          <w:lang w:val="en-US" w:eastAsia="zh-CN"/>
        </w:rPr>
        <w:t>19</w:t>
      </w:r>
      <w:r>
        <w:rPr>
          <w:rFonts w:hint="eastAsia" w:ascii="宋体" w:hAnsi="宋体" w:cs="Microsoft Sans Serif"/>
          <w:color w:val="auto"/>
          <w:kern w:val="0"/>
          <w:szCs w:val="21"/>
          <w:highlight w:val="none"/>
          <w:lang w:eastAsia="zh-CN"/>
        </w:rPr>
        <w:t>）</w:t>
      </w:r>
      <w:r>
        <w:rPr>
          <w:rFonts w:hint="default" w:ascii="Times New Roman" w:hAnsi="Times New Roman" w:cs="Times New Roman"/>
          <w:color w:val="auto"/>
          <w:szCs w:val="21"/>
          <w:highlight w:val="none"/>
        </w:rPr>
        <w:t>因承包人的原因，不能在约定工期内完工的，应当提前10日告知发包人。且每逾期完工一日，承包人应当向发包人支付10000元/日作为违约金；逾期超过15日的，应当支付发包人20000元/日；逾期超过30日的，发包人有权解除合同，并要求承包人赔偿损失。</w:t>
      </w:r>
    </w:p>
    <w:p>
      <w:pPr>
        <w:pStyle w:val="45"/>
        <w:rPr>
          <w:rFonts w:hint="eastAsia" w:ascii="宋体" w:hAnsi="宋体" w:cs="Microsoft Sans Serif"/>
          <w:color w:val="auto"/>
          <w:kern w:val="0"/>
          <w:szCs w:val="21"/>
          <w:highlight w:val="none"/>
          <w:lang w:eastAsia="zh-CN"/>
        </w:rPr>
      </w:pPr>
      <w:r>
        <w:rPr>
          <w:rFonts w:hint="eastAsia" w:ascii="宋体" w:hAnsi="宋体" w:eastAsia="宋体" w:cs="Microsoft Sans Serif"/>
          <w:color w:val="auto"/>
          <w:kern w:val="0"/>
          <w:sz w:val="21"/>
          <w:szCs w:val="21"/>
          <w:highlight w:val="none"/>
          <w:lang w:val="en-US" w:eastAsia="zh-CN" w:bidi="ar-SA"/>
        </w:rPr>
        <w:t>（</w:t>
      </w:r>
      <w:r>
        <w:rPr>
          <w:rFonts w:hint="eastAsia" w:eastAsia="宋体" w:cs="Microsoft Sans Serif"/>
          <w:color w:val="auto"/>
          <w:kern w:val="0"/>
          <w:sz w:val="21"/>
          <w:szCs w:val="21"/>
          <w:highlight w:val="none"/>
          <w:lang w:val="en-US" w:eastAsia="zh-CN" w:bidi="ar-SA"/>
        </w:rPr>
        <w:t>20</w:t>
      </w:r>
      <w:r>
        <w:rPr>
          <w:rFonts w:hint="eastAsia" w:ascii="宋体" w:hAnsi="宋体" w:eastAsia="宋体" w:cs="Microsoft Sans Serif"/>
          <w:color w:val="auto"/>
          <w:kern w:val="0"/>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未经发包人书面同意，承包人转包、分包的，发包人有权解除合同，并要求承包人赔偿损失。</w:t>
      </w:r>
    </w:p>
    <w:p>
      <w:pPr>
        <w:adjustRightInd w:val="0"/>
        <w:snapToGrid w:val="0"/>
        <w:spacing w:line="360" w:lineRule="auto"/>
        <w:ind w:firstLine="420" w:firstLineChars="200"/>
        <w:rPr>
          <w:rFonts w:ascii="宋体" w:hAnsi="宋体" w:cs="Microsoft Sans Serif"/>
          <w:color w:val="auto"/>
          <w:kern w:val="0"/>
          <w:szCs w:val="21"/>
          <w:highlight w:val="none"/>
        </w:rPr>
      </w:pPr>
      <w:r>
        <w:rPr>
          <w:rFonts w:hint="eastAsia" w:ascii="宋体" w:hAnsi="宋体" w:eastAsia="宋体" w:cs="Microsoft Sans Serif"/>
          <w:color w:val="auto"/>
          <w:kern w:val="0"/>
          <w:sz w:val="21"/>
          <w:szCs w:val="21"/>
          <w:highlight w:val="none"/>
          <w:lang w:val="en-US" w:eastAsia="zh-CN" w:bidi="ar-SA"/>
        </w:rPr>
        <w:t>（</w:t>
      </w:r>
      <w:r>
        <w:rPr>
          <w:rFonts w:hint="eastAsia" w:eastAsia="宋体" w:cs="Microsoft Sans Serif"/>
          <w:color w:val="auto"/>
          <w:kern w:val="0"/>
          <w:sz w:val="21"/>
          <w:szCs w:val="21"/>
          <w:highlight w:val="none"/>
          <w:lang w:val="en-US" w:eastAsia="zh-CN" w:bidi="ar-SA"/>
        </w:rPr>
        <w:t>21</w:t>
      </w:r>
      <w:r>
        <w:rPr>
          <w:rFonts w:hint="eastAsia" w:ascii="宋体" w:hAnsi="宋体" w:eastAsia="宋体" w:cs="Microsoft Sans Serif"/>
          <w:color w:val="auto"/>
          <w:kern w:val="0"/>
          <w:sz w:val="21"/>
          <w:szCs w:val="21"/>
          <w:highlight w:val="none"/>
          <w:lang w:val="en-US" w:eastAsia="zh-CN" w:bidi="ar-SA"/>
        </w:rPr>
        <w:t>）</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p>
      <w:pPr>
        <w:adjustRightInd w:val="0"/>
        <w:snapToGrid w:val="0"/>
        <w:spacing w:line="360" w:lineRule="auto"/>
        <w:ind w:firstLine="420" w:firstLineChars="200"/>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16.2.2 承包人违约的责任</w:t>
      </w:r>
    </w:p>
    <w:p>
      <w:pPr>
        <w:adjustRightInd w:val="0"/>
        <w:snapToGrid w:val="0"/>
        <w:spacing w:line="360" w:lineRule="auto"/>
        <w:ind w:firstLine="420" w:firstLineChars="200"/>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承包人违约责任的承担方式和计算方法：</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（1）承包人未按合同约定提交履约担保、质量保证金的违约责任：承包人应支付违约金，</w:t>
      </w:r>
      <w:r>
        <w:rPr>
          <w:rFonts w:hint="eastAsia" w:ascii="宋体" w:hAnsi="宋体" w:cs="Microsoft Sans Serif"/>
          <w:color w:val="auto"/>
          <w:szCs w:val="21"/>
          <w:highlight w:val="none"/>
        </w:rPr>
        <w:t>违约金的计算方法：</w:t>
      </w:r>
      <w:r>
        <w:rPr>
          <w:rFonts w:hint="eastAsia" w:ascii="宋体" w:hAnsi="宋体" w:cs="Microsoft Sans Serif"/>
          <w:color w:val="auto"/>
          <w:kern w:val="0"/>
          <w:szCs w:val="21"/>
          <w:highlight w:val="none"/>
        </w:rPr>
        <w:t>每延误1天，承包人按</w:t>
      </w:r>
      <w:r>
        <w:rPr>
          <w:rFonts w:hint="eastAsia" w:ascii="宋体" w:hAnsi="宋体" w:cs="Microsoft Sans Serif"/>
          <w:color w:val="auto"/>
          <w:kern w:val="0"/>
          <w:szCs w:val="21"/>
          <w:highlight w:val="none"/>
          <w:u w:val="single"/>
        </w:rPr>
        <w:t xml:space="preserve">  （5000～50000）元/天</w:t>
      </w:r>
      <w:r>
        <w:rPr>
          <w:rFonts w:hint="eastAsia" w:ascii="宋体" w:hAnsi="宋体" w:cs="Microsoft Sans Serif"/>
          <w:color w:val="auto"/>
          <w:kern w:val="0"/>
          <w:szCs w:val="21"/>
          <w:highlight w:val="none"/>
        </w:rPr>
        <w:t>计算违约金，累计违约金上限：</w:t>
      </w:r>
      <w:r>
        <w:rPr>
          <w:rFonts w:hint="eastAsia" w:ascii="宋体" w:hAnsi="宋体" w:cs="Microsoft Sans Serif"/>
          <w:color w:val="auto"/>
          <w:kern w:val="0"/>
          <w:szCs w:val="21"/>
          <w:highlight w:val="none"/>
          <w:u w:val="single"/>
        </w:rPr>
        <w:t xml:space="preserve">  万元（不超过签约合同价的3%）</w:t>
      </w:r>
      <w:r>
        <w:rPr>
          <w:rFonts w:hint="eastAsia" w:ascii="宋体" w:hAnsi="宋体" w:cs="Microsoft Sans Serif"/>
          <w:color w:val="auto"/>
          <w:kern w:val="0"/>
          <w:szCs w:val="21"/>
          <w:highlight w:val="none"/>
          <w:lang w:val="zh-CN"/>
        </w:rPr>
        <w:t>。</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（2）承包人违反合同约定进行转包或违法分包的违约责任：按照违反合同约定进行转包和（或）违法分包相应转包和（或）分包合同的合同金额的</w:t>
      </w:r>
      <w:r>
        <w:rPr>
          <w:rFonts w:hint="eastAsia" w:ascii="宋体" w:hAnsi="宋体" w:cs="Microsoft Sans Serif"/>
          <w:color w:val="auto"/>
          <w:kern w:val="0"/>
          <w:szCs w:val="21"/>
          <w:highlight w:val="none"/>
          <w:u w:val="single"/>
        </w:rPr>
        <w:t xml:space="preserve">  （5～10）%</w:t>
      </w:r>
      <w:r>
        <w:rPr>
          <w:rFonts w:hint="eastAsia" w:ascii="宋体" w:hAnsi="宋体" w:cs="Microsoft Sans Serif"/>
          <w:color w:val="auto"/>
          <w:kern w:val="0"/>
          <w:szCs w:val="21"/>
          <w:highlight w:val="none"/>
        </w:rPr>
        <w:t>支付违约金，违法转/分包商应在7天内撤离出场。</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（3）承包人违反合同约定采购和使用不合格的材料和工程设备的违约责任：按照违反合同约定采购和使用不合格的材料和（或）工程设备相应合同金额的</w:t>
      </w:r>
      <w:r>
        <w:rPr>
          <w:rFonts w:hint="eastAsia" w:ascii="宋体" w:hAnsi="宋体" w:cs="Microsoft Sans Serif"/>
          <w:color w:val="auto"/>
          <w:kern w:val="0"/>
          <w:szCs w:val="21"/>
          <w:highlight w:val="none"/>
          <w:u w:val="single"/>
        </w:rPr>
        <w:t xml:space="preserve">  （5～10）%</w:t>
      </w:r>
      <w:r>
        <w:rPr>
          <w:rFonts w:hint="eastAsia" w:ascii="宋体" w:hAnsi="宋体" w:cs="Microsoft Sans Serif"/>
          <w:color w:val="auto"/>
          <w:kern w:val="0"/>
          <w:szCs w:val="21"/>
          <w:highlight w:val="none"/>
        </w:rPr>
        <w:t>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（4）因承包人原因导致工程质量不符合规定或合同要求的违约责任：承包人退还已支付工程质量不符合合同要求工程的工程款，并按照工程质量不符合合同要求工程相应合同金额的</w:t>
      </w:r>
      <w:r>
        <w:rPr>
          <w:rFonts w:hint="eastAsia" w:ascii="宋体" w:hAnsi="宋体" w:cs="Microsoft Sans Serif"/>
          <w:color w:val="auto"/>
          <w:kern w:val="0"/>
          <w:szCs w:val="21"/>
          <w:highlight w:val="none"/>
          <w:u w:val="single"/>
        </w:rPr>
        <w:t xml:space="preserve">  （5～10）%</w:t>
      </w:r>
      <w:r>
        <w:rPr>
          <w:rFonts w:hint="eastAsia" w:ascii="宋体" w:hAnsi="宋体" w:cs="Microsoft Sans Serif"/>
          <w:color w:val="auto"/>
          <w:kern w:val="0"/>
          <w:szCs w:val="21"/>
          <w:highlight w:val="none"/>
        </w:rPr>
        <w:t>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（5）承包人违反材料与设备的约定，未经批准，擅自将已按照合同约定进入施工现场的材料或设备撤离施工现场的违约责任：按照承包人擅自撤离施工现场材料和（或）设备相应合同金额的</w:t>
      </w:r>
      <w:r>
        <w:rPr>
          <w:rFonts w:hint="eastAsia" w:ascii="宋体" w:hAnsi="宋体" w:cs="Microsoft Sans Serif"/>
          <w:color w:val="auto"/>
          <w:kern w:val="0"/>
          <w:szCs w:val="21"/>
          <w:highlight w:val="none"/>
          <w:u w:val="single"/>
        </w:rPr>
        <w:t xml:space="preserve">  （1～5）%</w:t>
      </w:r>
      <w:r>
        <w:rPr>
          <w:rFonts w:hint="eastAsia" w:ascii="宋体" w:hAnsi="宋体" w:cs="Microsoft Sans Serif"/>
          <w:color w:val="auto"/>
          <w:kern w:val="0"/>
          <w:szCs w:val="21"/>
          <w:highlight w:val="none"/>
        </w:rPr>
        <w:t>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（6）因承包人原因造成工期延误的违约承担方式和计算方法：由承包人承担由此增加的费用，</w:t>
      </w:r>
      <w:r>
        <w:rPr>
          <w:rFonts w:hint="eastAsia" w:ascii="宋体" w:hAnsi="宋体" w:cs="Microsoft Sans Serif"/>
          <w:color w:val="auto"/>
          <w:szCs w:val="21"/>
          <w:highlight w:val="none"/>
        </w:rPr>
        <w:t>由此导致工期延误的，工期不予顺延；逾期竣工违约金的计算方法：</w:t>
      </w:r>
      <w:r>
        <w:rPr>
          <w:rFonts w:hint="eastAsia" w:ascii="宋体" w:hAnsi="宋体" w:cs="Microsoft Sans Serif"/>
          <w:color w:val="auto"/>
          <w:kern w:val="0"/>
          <w:szCs w:val="21"/>
          <w:highlight w:val="none"/>
        </w:rPr>
        <w:t>每延误1天，承包人按</w:t>
      </w:r>
      <w:r>
        <w:rPr>
          <w:rFonts w:hint="eastAsia" w:ascii="宋体" w:hAnsi="宋体" w:cs="Microsoft Sans Serif"/>
          <w:color w:val="auto"/>
          <w:kern w:val="0"/>
          <w:szCs w:val="21"/>
          <w:highlight w:val="none"/>
          <w:u w:val="single"/>
        </w:rPr>
        <w:t xml:space="preserve">  （5000～50000）元/天</w:t>
      </w:r>
      <w:r>
        <w:rPr>
          <w:rFonts w:hint="eastAsia" w:ascii="宋体" w:hAnsi="宋体" w:cs="Microsoft Sans Serif"/>
          <w:color w:val="auto"/>
          <w:kern w:val="0"/>
          <w:szCs w:val="21"/>
          <w:highlight w:val="none"/>
        </w:rPr>
        <w:t>计算逾期竣工违约金，累计违约金上限：</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u w:val="single"/>
          <w:lang w:val="en-US" w:eastAsia="zh-CN"/>
        </w:rPr>
        <w:t>/</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万元（不超过签约合同价的3%）</w:t>
      </w:r>
      <w:r>
        <w:rPr>
          <w:rFonts w:hint="eastAsia" w:ascii="宋体" w:hAnsi="宋体" w:cs="Microsoft Sans Serif"/>
          <w:color w:val="auto"/>
          <w:kern w:val="0"/>
          <w:szCs w:val="21"/>
          <w:highlight w:val="none"/>
          <w:lang w:val="zh-CN"/>
        </w:rPr>
        <w:t>；</w:t>
      </w:r>
      <w:r>
        <w:rPr>
          <w:rFonts w:hint="eastAsia" w:ascii="宋体" w:hAnsi="宋体" w:cs="Microsoft Sans Serif"/>
          <w:color w:val="auto"/>
          <w:kern w:val="0"/>
          <w:szCs w:val="21"/>
          <w:highlight w:val="none"/>
        </w:rPr>
        <w:t>承包人支付逾期竣工违约金后，不免除承包人继续完成工程及修补缺陷的义务。</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（7）承包人在缺陷责任期及保修期内，未能在合理期限对工程缺陷进行修复，或拒绝按发包人要求进行修复的违约责任：按照发包人修复缺陷费用的</w:t>
      </w:r>
      <w:r>
        <w:rPr>
          <w:rFonts w:hint="eastAsia" w:ascii="宋体" w:hAnsi="宋体" w:cs="Microsoft Sans Serif"/>
          <w:color w:val="auto"/>
          <w:kern w:val="0"/>
          <w:szCs w:val="21"/>
          <w:highlight w:val="none"/>
          <w:u w:val="single"/>
        </w:rPr>
        <w:t xml:space="preserve">  （0.5～2）%</w:t>
      </w:r>
      <w:r>
        <w:rPr>
          <w:rFonts w:hint="eastAsia" w:ascii="宋体" w:hAnsi="宋体" w:cs="Microsoft Sans Serif"/>
          <w:color w:val="auto"/>
          <w:kern w:val="0"/>
          <w:szCs w:val="21"/>
          <w:highlight w:val="none"/>
        </w:rPr>
        <w:t>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（8）承包人明确表示或者以其行为表明不履行合同主要义务的违约责任：按签约合同价的</w:t>
      </w:r>
      <w:r>
        <w:rPr>
          <w:rFonts w:hint="eastAsia" w:ascii="宋体" w:hAnsi="宋体" w:cs="Microsoft Sans Serif"/>
          <w:color w:val="auto"/>
          <w:kern w:val="0"/>
          <w:szCs w:val="21"/>
          <w:highlight w:val="none"/>
          <w:u w:val="single"/>
        </w:rPr>
        <w:t xml:space="preserve">  （5～10）%</w:t>
      </w:r>
      <w:r>
        <w:rPr>
          <w:rFonts w:hint="eastAsia" w:ascii="宋体" w:hAnsi="宋体" w:cs="Microsoft Sans Serif"/>
          <w:color w:val="auto"/>
          <w:kern w:val="0"/>
          <w:szCs w:val="21"/>
          <w:highlight w:val="none"/>
        </w:rPr>
        <w:t>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（9）承包人未能按照合同约定履行其他义务的违约责任：按</w:t>
      </w:r>
      <w:r>
        <w:rPr>
          <w:rFonts w:hint="eastAsia" w:ascii="宋体" w:hAnsi="宋体" w:cs="Microsoft Sans Serif"/>
          <w:color w:val="auto"/>
          <w:kern w:val="0"/>
          <w:szCs w:val="21"/>
          <w:highlight w:val="none"/>
          <w:u w:val="single"/>
        </w:rPr>
        <w:t>（500～5000）元/次</w:t>
      </w:r>
      <w:r>
        <w:rPr>
          <w:rFonts w:hint="eastAsia" w:ascii="宋体" w:hAnsi="宋体" w:cs="Microsoft Sans Serif"/>
          <w:color w:val="auto"/>
          <w:kern w:val="0"/>
          <w:szCs w:val="21"/>
          <w:highlight w:val="none"/>
        </w:rPr>
        <w:t>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（10）承包人未能按期开工的违约责任：按合同价</w:t>
      </w:r>
      <w:r>
        <w:rPr>
          <w:rFonts w:hint="eastAsia" w:ascii="宋体" w:hAnsi="宋体" w:cs="Microsoft Sans Serif"/>
          <w:color w:val="auto"/>
          <w:kern w:val="0"/>
          <w:szCs w:val="21"/>
          <w:highlight w:val="none"/>
          <w:u w:val="single"/>
        </w:rPr>
        <w:t>0.2‰/天</w:t>
      </w:r>
      <w:r>
        <w:rPr>
          <w:rFonts w:hint="eastAsia" w:ascii="宋体" w:hAnsi="宋体" w:cs="Microsoft Sans Serif"/>
          <w:color w:val="auto"/>
          <w:kern w:val="0"/>
          <w:szCs w:val="21"/>
          <w:highlight w:val="none"/>
        </w:rPr>
        <w:t>支付违约金，本项违约金累计限额为签约合同价的</w:t>
      </w:r>
      <w:r>
        <w:rPr>
          <w:rFonts w:hint="eastAsia" w:ascii="宋体" w:hAnsi="宋体" w:cs="Microsoft Sans Serif"/>
          <w:color w:val="auto"/>
          <w:kern w:val="0"/>
          <w:szCs w:val="21"/>
          <w:highlight w:val="none"/>
          <w:u w:val="single"/>
        </w:rPr>
        <w:t xml:space="preserve"> 1 %</w:t>
      </w:r>
      <w:r>
        <w:rPr>
          <w:rFonts w:hint="eastAsia" w:ascii="宋体" w:hAnsi="宋体" w:cs="Microsoft Sans Serif"/>
          <w:color w:val="auto"/>
          <w:kern w:val="0"/>
          <w:szCs w:val="21"/>
          <w:highlight w:val="none"/>
        </w:rPr>
        <w:t>。</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（11）承包人未按经审定的施工组织设计配备或更换关键施工设备的违约责任：按</w:t>
      </w:r>
      <w:r>
        <w:rPr>
          <w:rFonts w:hint="eastAsia" w:ascii="宋体" w:hAnsi="宋体" w:cs="Microsoft Sans Serif"/>
          <w:color w:val="auto"/>
          <w:kern w:val="0"/>
          <w:szCs w:val="21"/>
          <w:highlight w:val="none"/>
          <w:u w:val="single"/>
        </w:rPr>
        <w:t xml:space="preserve">  （5000～50000）元/台·次</w:t>
      </w:r>
      <w:r>
        <w:rPr>
          <w:rFonts w:hint="eastAsia" w:ascii="宋体" w:hAnsi="宋体" w:cs="Microsoft Sans Serif"/>
          <w:color w:val="auto"/>
          <w:kern w:val="0"/>
          <w:szCs w:val="21"/>
          <w:highlight w:val="none"/>
        </w:rPr>
        <w:t>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（12）承包人有安全问题或有违反安全管理规章制度情况的违约责任：根据具体情节，按签约合同价的</w:t>
      </w:r>
      <w:r>
        <w:rPr>
          <w:rFonts w:hint="eastAsia" w:ascii="宋体" w:hAnsi="宋体" w:cs="Microsoft Sans Serif"/>
          <w:color w:val="auto"/>
          <w:kern w:val="0"/>
          <w:szCs w:val="21"/>
          <w:highlight w:val="none"/>
          <w:u w:val="single"/>
        </w:rPr>
        <w:t>0.5‰～4‰/次</w:t>
      </w:r>
      <w:r>
        <w:rPr>
          <w:rFonts w:hint="eastAsia" w:ascii="宋体" w:hAnsi="宋体" w:cs="Microsoft Sans Serif"/>
          <w:color w:val="auto"/>
          <w:kern w:val="0"/>
          <w:szCs w:val="21"/>
          <w:highlight w:val="none"/>
        </w:rPr>
        <w:t>支付违约金（累计不超过签约合同价的1%，详见附件9安全管理协议）。</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（13）承包人拖欠其工人或所雇人员工资或报酬，导致其工人或所雇人员向有关部门投诉、控告、检举或以聚集等方式讨要工资或报酬的违约责任：根据具体情节，按违约金额</w:t>
      </w:r>
      <w:r>
        <w:rPr>
          <w:rFonts w:hint="eastAsia" w:ascii="宋体" w:hAnsi="宋体" w:cs="Microsoft Sans Serif"/>
          <w:color w:val="auto"/>
          <w:kern w:val="0"/>
          <w:szCs w:val="21"/>
          <w:highlight w:val="none"/>
          <w:u w:val="single"/>
        </w:rPr>
        <w:t xml:space="preserve">  （50000～200000）元/次</w:t>
      </w:r>
      <w:r>
        <w:rPr>
          <w:rFonts w:hint="eastAsia" w:ascii="宋体" w:hAnsi="宋体" w:cs="Microsoft Sans Serif"/>
          <w:color w:val="auto"/>
          <w:kern w:val="0"/>
          <w:szCs w:val="21"/>
          <w:highlight w:val="none"/>
        </w:rPr>
        <w:t>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（14）承包人不配合发包人、监理人及发包人委托的工程造价咨询服务单位结算审核的违约责任：根据具体情节，按</w:t>
      </w:r>
      <w:r>
        <w:rPr>
          <w:rFonts w:hint="eastAsia" w:ascii="宋体" w:hAnsi="宋体" w:cs="Microsoft Sans Serif"/>
          <w:color w:val="auto"/>
          <w:kern w:val="0"/>
          <w:szCs w:val="21"/>
          <w:highlight w:val="none"/>
          <w:u w:val="single"/>
        </w:rPr>
        <w:t xml:space="preserve">  （10000～100000）元/次</w:t>
      </w:r>
      <w:r>
        <w:rPr>
          <w:rFonts w:hint="eastAsia" w:ascii="宋体" w:hAnsi="宋体" w:cs="Microsoft Sans Serif"/>
          <w:color w:val="auto"/>
          <w:kern w:val="0"/>
          <w:szCs w:val="21"/>
          <w:highlight w:val="none"/>
        </w:rPr>
        <w:t>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（15）承包人未按合同约定移交全部和部分工程的违约责任：由承包人承担工程照管、成品保护、保管等与工程有关的各种费用，并按结算金额或违约部分结算金额的</w:t>
      </w:r>
      <w:r>
        <w:rPr>
          <w:rFonts w:hint="eastAsia" w:ascii="宋体" w:hAnsi="宋体" w:cs="Microsoft Sans Serif"/>
          <w:color w:val="auto"/>
          <w:kern w:val="0"/>
          <w:szCs w:val="21"/>
          <w:highlight w:val="none"/>
          <w:u w:val="single"/>
        </w:rPr>
        <w:t>0.5～1‰</w:t>
      </w:r>
      <w:r>
        <w:rPr>
          <w:rFonts w:hint="eastAsia" w:ascii="宋体" w:hAnsi="宋体" w:cs="Microsoft Sans Serif"/>
          <w:color w:val="auto"/>
          <w:kern w:val="0"/>
          <w:szCs w:val="21"/>
          <w:highlight w:val="none"/>
        </w:rPr>
        <w:t>支付违约金。</w:t>
      </w:r>
    </w:p>
    <w:p>
      <w:pPr>
        <w:snapToGrid w:val="0"/>
        <w:spacing w:line="360" w:lineRule="auto"/>
        <w:ind w:firstLine="420" w:firstLineChars="200"/>
        <w:jc w:val="left"/>
        <w:rPr>
          <w:rFonts w:hint="eastAsia" w:ascii="宋体" w:hAnsi="宋体" w:cs="Microsoft Sans Serif"/>
          <w:color w:val="auto"/>
          <w:szCs w:val="21"/>
          <w:highlight w:val="none"/>
        </w:rPr>
      </w:pPr>
      <w:r>
        <w:rPr>
          <w:rFonts w:hint="eastAsia" w:ascii="宋体" w:hAnsi="宋体" w:cs="Microsoft Sans Serif"/>
          <w:color w:val="auto"/>
          <w:szCs w:val="21"/>
          <w:highlight w:val="none"/>
        </w:rPr>
        <w:t>（16）承包人未按合同约定购买保险的违约责任：除按18.6.2项约定执行外，每延迟1天，按</w:t>
      </w:r>
      <w:r>
        <w:rPr>
          <w:rFonts w:hint="eastAsia" w:ascii="宋体" w:hAnsi="宋体" w:cs="Microsoft Sans Serif"/>
          <w:color w:val="auto"/>
          <w:szCs w:val="21"/>
          <w:highlight w:val="none"/>
          <w:u w:val="single"/>
        </w:rPr>
        <w:t>500元/天</w:t>
      </w:r>
      <w:r>
        <w:rPr>
          <w:rFonts w:hint="eastAsia" w:ascii="宋体" w:hAnsi="宋体" w:cs="Microsoft Sans Serif"/>
          <w:color w:val="auto"/>
          <w:szCs w:val="21"/>
          <w:highlight w:val="none"/>
        </w:rPr>
        <w:t>支付违约金。</w:t>
      </w:r>
    </w:p>
    <w:p>
      <w:pPr>
        <w:pStyle w:val="77"/>
        <w:widowControl/>
        <w:spacing w:line="360" w:lineRule="auto"/>
        <w:jc w:val="left"/>
        <w:textAlignment w:val="top"/>
        <w:rPr>
          <w:rFonts w:hint="default" w:ascii="宋体" w:hAnsi="宋体" w:eastAsia="宋体" w:cs="Microsoft Sans Serif"/>
          <w:color w:val="auto"/>
          <w:kern w:val="2"/>
          <w:sz w:val="21"/>
          <w:szCs w:val="21"/>
          <w:highlight w:val="none"/>
          <w:lang w:val="en-US" w:eastAsia="zh-CN" w:bidi="ar-SA"/>
        </w:rPr>
      </w:pPr>
      <w:r>
        <w:rPr>
          <w:rFonts w:hint="eastAsia" w:ascii="宋体" w:hAnsi="宋体" w:eastAsia="宋体" w:cs="Microsoft Sans Serif"/>
          <w:color w:val="auto"/>
          <w:kern w:val="2"/>
          <w:sz w:val="21"/>
          <w:szCs w:val="21"/>
          <w:highlight w:val="none"/>
          <w:lang w:val="en-US" w:eastAsia="zh-CN" w:bidi="ar-SA"/>
        </w:rPr>
        <w:t>（17）</w:t>
      </w:r>
      <w:r>
        <w:rPr>
          <w:rFonts w:hint="default" w:ascii="宋体" w:hAnsi="宋体" w:eastAsia="宋体" w:cs="Microsoft Sans Serif"/>
          <w:color w:val="auto"/>
          <w:kern w:val="2"/>
          <w:sz w:val="21"/>
          <w:szCs w:val="21"/>
          <w:highlight w:val="none"/>
          <w:lang w:val="en-US" w:eastAsia="zh-CN" w:bidi="ar-SA"/>
        </w:rPr>
        <w:t>本工程竣工，按《建筑工程施工质量验收统一标准》（GB50300-2001）及有关的施工验收规范验收，工程质量应一次验收达到合格。工程质量一次验收达不到合格，承包人需在发包人指定的时间内返修达到合格，同时支付发包人本合同结算总造价的1‰的质量违约金；若经整改后仍不合格，承包人应向发包人赔偿本合同结算价款造价的5‰的违约金，并应赔偿由此给发包人造成的损失。</w:t>
      </w:r>
    </w:p>
    <w:p>
      <w:pPr>
        <w:pStyle w:val="45"/>
        <w:rPr>
          <w:rFonts w:hint="default" w:ascii="Times New Roman" w:hAnsi="Times New Roman" w:cs="Times New Roman"/>
          <w:color w:val="auto"/>
          <w:sz w:val="21"/>
          <w:szCs w:val="21"/>
          <w:highlight w:val="none"/>
        </w:rPr>
      </w:pPr>
      <w:r>
        <w:rPr>
          <w:rFonts w:hint="eastAsia" w:ascii="宋体" w:hAnsi="宋体" w:eastAsia="宋体" w:cs="Microsoft Sans Serif"/>
          <w:color w:val="auto"/>
          <w:kern w:val="2"/>
          <w:sz w:val="21"/>
          <w:szCs w:val="21"/>
          <w:highlight w:val="none"/>
          <w:lang w:val="en-US" w:eastAsia="zh-CN" w:bidi="ar-SA"/>
        </w:rPr>
        <w:t>（18）</w:t>
      </w:r>
      <w:r>
        <w:rPr>
          <w:rFonts w:hint="default" w:ascii="Times New Roman" w:hAnsi="Times New Roman" w:cs="Times New Roman"/>
          <w:color w:val="auto"/>
          <w:sz w:val="21"/>
          <w:szCs w:val="21"/>
          <w:highlight w:val="none"/>
        </w:rPr>
        <w:t>在上级职能部门、行政主管部门，发包人及监理单位依照《建筑施工安全检查标准》（JGJ59-2011）的例行安全文明检查中，若达不到《建筑施工安全检查标准》（JGJ59-2011）合格标准，每发生一次，处承包人</w:t>
      </w:r>
      <w:r>
        <w:rPr>
          <w:rFonts w:hint="eastAsia" w:ascii="Times New Roman" w:hAnsi="Times New Roman" w:cs="Times New Roman"/>
          <w:color w:val="auto"/>
          <w:sz w:val="21"/>
          <w:szCs w:val="21"/>
          <w:highlight w:val="none"/>
          <w:lang w:eastAsia="zh-CN"/>
        </w:rPr>
        <w:t>违约金</w:t>
      </w:r>
      <w:r>
        <w:rPr>
          <w:rFonts w:hint="default" w:ascii="Times New Roman" w:hAnsi="Times New Roman" w:cs="Times New Roman"/>
          <w:color w:val="auto"/>
          <w:sz w:val="21"/>
          <w:szCs w:val="21"/>
          <w:highlight w:val="none"/>
        </w:rPr>
        <w:t>2000元。</w:t>
      </w:r>
    </w:p>
    <w:p>
      <w:pPr>
        <w:pStyle w:val="45"/>
        <w:rPr>
          <w:rFonts w:hint="default" w:ascii="Times New Roman" w:hAnsi="Times New Roman" w:eastAsia="宋体" w:cs="Times New Roman"/>
          <w:color w:val="auto"/>
          <w:sz w:val="21"/>
          <w:szCs w:val="21"/>
          <w:highlight w:val="none"/>
        </w:rPr>
      </w:pPr>
      <w:r>
        <w:rPr>
          <w:rFonts w:hint="eastAsia" w:ascii="宋体" w:hAnsi="宋体" w:eastAsia="宋体" w:cs="Microsoft Sans Serif"/>
          <w:color w:val="auto"/>
          <w:kern w:val="2"/>
          <w:sz w:val="21"/>
          <w:szCs w:val="21"/>
          <w:highlight w:val="none"/>
          <w:lang w:val="en-US" w:eastAsia="zh-CN" w:bidi="ar-SA"/>
        </w:rPr>
        <w:t>（1</w:t>
      </w:r>
      <w:r>
        <w:rPr>
          <w:rFonts w:hint="eastAsia" w:eastAsia="宋体" w:cs="Microsoft Sans Serif"/>
          <w:color w:val="auto"/>
          <w:kern w:val="2"/>
          <w:sz w:val="21"/>
          <w:szCs w:val="21"/>
          <w:highlight w:val="none"/>
          <w:lang w:val="en-US" w:eastAsia="zh-CN" w:bidi="ar-SA"/>
        </w:rPr>
        <w:t>9</w:t>
      </w:r>
      <w:r>
        <w:rPr>
          <w:rFonts w:hint="eastAsia" w:ascii="宋体" w:hAnsi="宋体" w:eastAsia="宋体" w:cs="Microsoft Sans Serif"/>
          <w:color w:val="auto"/>
          <w:kern w:val="2"/>
          <w:sz w:val="21"/>
          <w:szCs w:val="21"/>
          <w:highlight w:val="none"/>
          <w:lang w:val="en-US" w:eastAsia="zh-CN" w:bidi="ar-SA"/>
        </w:rPr>
        <w:t>）</w:t>
      </w:r>
      <w:r>
        <w:rPr>
          <w:rFonts w:hint="default" w:ascii="Times New Roman" w:hAnsi="Times New Roman" w:eastAsia="宋体" w:cs="Times New Roman"/>
          <w:color w:val="auto"/>
          <w:sz w:val="21"/>
          <w:szCs w:val="21"/>
          <w:highlight w:val="none"/>
        </w:rPr>
        <w:t>现场安全文明施工经市安检站依照《建筑施工安全检查标准》（JGJ59-2011）检查，每发生一次要求停工整改的，每发生一次，处承包人</w:t>
      </w:r>
      <w:r>
        <w:rPr>
          <w:rFonts w:hint="eastAsia" w:ascii="Times New Roman" w:hAnsi="Times New Roman" w:eastAsia="宋体" w:cs="Times New Roman"/>
          <w:color w:val="auto"/>
          <w:sz w:val="21"/>
          <w:szCs w:val="21"/>
          <w:highlight w:val="none"/>
          <w:lang w:eastAsia="zh-CN"/>
        </w:rPr>
        <w:t>违约金</w:t>
      </w:r>
      <w:r>
        <w:rPr>
          <w:rFonts w:hint="default" w:ascii="Times New Roman" w:hAnsi="Times New Roman" w:eastAsia="宋体" w:cs="Times New Roman"/>
          <w:color w:val="auto"/>
          <w:sz w:val="21"/>
          <w:szCs w:val="21"/>
          <w:highlight w:val="none"/>
        </w:rPr>
        <w:t>5000元。</w:t>
      </w:r>
    </w:p>
    <w:p>
      <w:pPr>
        <w:pStyle w:val="77"/>
        <w:widowControl/>
        <w:spacing w:line="360" w:lineRule="auto"/>
        <w:jc w:val="left"/>
        <w:textAlignment w:val="top"/>
        <w:rPr>
          <w:rFonts w:hint="default" w:ascii="Times New Roman" w:hAnsi="Times New Roman" w:cs="Times New Roman"/>
          <w:color w:val="auto"/>
          <w:sz w:val="21"/>
          <w:szCs w:val="21"/>
          <w:highlight w:val="none"/>
        </w:rPr>
      </w:pPr>
      <w:r>
        <w:rPr>
          <w:rFonts w:hint="eastAsia" w:ascii="宋体" w:hAnsi="宋体" w:eastAsia="宋体" w:cs="Microsoft Sans Serif"/>
          <w:color w:val="auto"/>
          <w:kern w:val="2"/>
          <w:sz w:val="21"/>
          <w:szCs w:val="21"/>
          <w:highlight w:val="none"/>
          <w:lang w:val="en-US" w:eastAsia="zh-CN" w:bidi="ar-SA"/>
        </w:rPr>
        <w:t>（20）</w:t>
      </w:r>
      <w:r>
        <w:rPr>
          <w:rFonts w:hint="default" w:ascii="宋体" w:hAnsi="宋体" w:eastAsia="宋体" w:cs="Microsoft Sans Serif"/>
          <w:color w:val="auto"/>
          <w:kern w:val="2"/>
          <w:sz w:val="21"/>
          <w:szCs w:val="21"/>
          <w:highlight w:val="none"/>
          <w:lang w:val="en-US" w:eastAsia="zh-CN" w:bidi="ar-SA"/>
        </w:rPr>
        <w:t>承</w:t>
      </w:r>
      <w:r>
        <w:rPr>
          <w:rFonts w:hint="default" w:ascii="Times New Roman" w:hAnsi="Times New Roman" w:cs="Times New Roman"/>
          <w:color w:val="auto"/>
          <w:sz w:val="21"/>
          <w:szCs w:val="21"/>
          <w:highlight w:val="none"/>
        </w:rPr>
        <w:t>包人不严格按《建设工程质量管理条例》、《工程建设标准强制性条文》执行。在施工中违反《工程建设标准强制性条文》的有关规定或不按设计施工图纸、审核批准的施工组织设计和施工方案及现行施工验收规范和施工操作规程施工，经发包人或监理单位发现，除承包人应立即纠正整改外，处</w:t>
      </w:r>
      <w:r>
        <w:rPr>
          <w:rFonts w:hint="eastAsia" w:ascii="Times New Roman" w:hAnsi="Times New Roman" w:cs="Times New Roman"/>
          <w:color w:val="auto"/>
          <w:sz w:val="21"/>
          <w:szCs w:val="21"/>
          <w:highlight w:val="none"/>
          <w:lang w:eastAsia="zh-CN"/>
        </w:rPr>
        <w:t>违约金</w:t>
      </w:r>
      <w:r>
        <w:rPr>
          <w:rFonts w:hint="default" w:ascii="Times New Roman" w:hAnsi="Times New Roman" w:cs="Times New Roman"/>
          <w:color w:val="auto"/>
          <w:sz w:val="21"/>
          <w:szCs w:val="21"/>
          <w:highlight w:val="none"/>
        </w:rPr>
        <w:t>5000元/次。</w:t>
      </w:r>
    </w:p>
    <w:p>
      <w:pPr>
        <w:pStyle w:val="77"/>
        <w:widowControl/>
        <w:spacing w:line="360" w:lineRule="auto"/>
        <w:jc w:val="left"/>
        <w:textAlignment w:val="top"/>
        <w:rPr>
          <w:rFonts w:hint="default" w:ascii="Times New Roman" w:hAnsi="Times New Roman" w:cs="Times New Roman"/>
          <w:color w:val="auto"/>
          <w:sz w:val="21"/>
          <w:szCs w:val="21"/>
          <w:highlight w:val="none"/>
        </w:rPr>
      </w:pPr>
      <w:r>
        <w:rPr>
          <w:rFonts w:hint="eastAsia" w:ascii="宋体" w:hAnsi="宋体" w:eastAsia="宋体" w:cs="Microsoft Sans Serif"/>
          <w:color w:val="auto"/>
          <w:kern w:val="2"/>
          <w:sz w:val="21"/>
          <w:szCs w:val="21"/>
          <w:highlight w:val="none"/>
          <w:lang w:val="en-US" w:eastAsia="zh-CN" w:bidi="ar-SA"/>
        </w:rPr>
        <w:t>（21）</w:t>
      </w:r>
      <w:r>
        <w:rPr>
          <w:rFonts w:hint="default" w:ascii="Times New Roman" w:hAnsi="Times New Roman" w:cs="Times New Roman"/>
          <w:color w:val="auto"/>
          <w:sz w:val="21"/>
          <w:szCs w:val="21"/>
          <w:highlight w:val="none"/>
        </w:rPr>
        <w:t>承包人施工中对各工序施工质量自检后，经发包人、监理或质检站复查，发现还有分项、分部工程不符合《建筑工程施工质量验收统一标准》及有关的施工验收规范的有关规定，每发生一次处</w:t>
      </w:r>
      <w:r>
        <w:rPr>
          <w:rFonts w:hint="eastAsia" w:ascii="Times New Roman" w:hAnsi="Times New Roman" w:cs="Times New Roman"/>
          <w:color w:val="auto"/>
          <w:sz w:val="21"/>
          <w:szCs w:val="21"/>
          <w:highlight w:val="none"/>
          <w:lang w:eastAsia="zh-CN"/>
        </w:rPr>
        <w:t>违约金</w:t>
      </w:r>
      <w:r>
        <w:rPr>
          <w:rFonts w:hint="default" w:ascii="Times New Roman" w:hAnsi="Times New Roman" w:cs="Times New Roman"/>
          <w:color w:val="auto"/>
          <w:sz w:val="21"/>
          <w:szCs w:val="21"/>
          <w:highlight w:val="none"/>
        </w:rPr>
        <w:t>2000元。</w:t>
      </w:r>
    </w:p>
    <w:p>
      <w:pPr>
        <w:pStyle w:val="45"/>
        <w:rPr>
          <w:rFonts w:hint="default" w:ascii="Times New Roman" w:hAnsi="Times New Roman" w:cs="Times New Roman"/>
          <w:color w:val="auto"/>
          <w:sz w:val="21"/>
          <w:szCs w:val="21"/>
          <w:highlight w:val="none"/>
        </w:rPr>
      </w:pPr>
      <w:r>
        <w:rPr>
          <w:rFonts w:hint="eastAsia" w:ascii="宋体" w:hAnsi="宋体" w:eastAsia="宋体" w:cs="Microsoft Sans Serif"/>
          <w:color w:val="auto"/>
          <w:kern w:val="2"/>
          <w:sz w:val="21"/>
          <w:szCs w:val="21"/>
          <w:highlight w:val="none"/>
          <w:lang w:val="en-US" w:eastAsia="zh-CN" w:bidi="ar-SA"/>
        </w:rPr>
        <w:t>（2</w:t>
      </w:r>
      <w:r>
        <w:rPr>
          <w:rFonts w:hint="eastAsia" w:eastAsia="宋体" w:cs="Microsoft Sans Serif"/>
          <w:color w:val="auto"/>
          <w:kern w:val="2"/>
          <w:sz w:val="21"/>
          <w:szCs w:val="21"/>
          <w:highlight w:val="none"/>
          <w:lang w:val="en-US" w:eastAsia="zh-CN" w:bidi="ar-SA"/>
        </w:rPr>
        <w:t>2</w:t>
      </w:r>
      <w:r>
        <w:rPr>
          <w:rFonts w:hint="eastAsia" w:ascii="宋体" w:hAnsi="宋体" w:eastAsia="宋体" w:cs="Microsoft Sans Serif"/>
          <w:color w:val="auto"/>
          <w:kern w:val="2"/>
          <w:sz w:val="21"/>
          <w:szCs w:val="21"/>
          <w:highlight w:val="none"/>
          <w:lang w:val="en-US" w:eastAsia="zh-CN" w:bidi="ar-SA"/>
        </w:rPr>
        <w:t>）</w:t>
      </w:r>
      <w:r>
        <w:rPr>
          <w:rFonts w:hint="default" w:ascii="Times New Roman" w:hAnsi="Times New Roman" w:cs="Times New Roman"/>
          <w:color w:val="auto"/>
          <w:sz w:val="21"/>
          <w:szCs w:val="21"/>
          <w:highlight w:val="none"/>
        </w:rPr>
        <w:t>承包人在施工过程中有不执行《工程建设标准强制性条文》规定，被质监站或发包人检查发现，每发生一次，处</w:t>
      </w:r>
      <w:r>
        <w:rPr>
          <w:rFonts w:hint="eastAsia" w:ascii="Times New Roman" w:hAnsi="Times New Roman" w:cs="Times New Roman"/>
          <w:color w:val="auto"/>
          <w:sz w:val="21"/>
          <w:szCs w:val="21"/>
          <w:highlight w:val="none"/>
          <w:lang w:eastAsia="zh-CN"/>
        </w:rPr>
        <w:t>违约金</w:t>
      </w:r>
      <w:r>
        <w:rPr>
          <w:rFonts w:hint="default" w:ascii="Times New Roman" w:hAnsi="Times New Roman" w:cs="Times New Roman"/>
          <w:color w:val="auto"/>
          <w:sz w:val="21"/>
          <w:szCs w:val="21"/>
          <w:highlight w:val="none"/>
        </w:rPr>
        <w:t>2000元。</w:t>
      </w:r>
    </w:p>
    <w:p>
      <w:pPr>
        <w:pStyle w:val="45"/>
        <w:rPr>
          <w:rFonts w:hint="default" w:ascii="Times New Roman" w:hAnsi="Times New Roman" w:eastAsia="宋体" w:cs="Times New Roman"/>
          <w:color w:val="auto"/>
          <w:sz w:val="21"/>
          <w:szCs w:val="21"/>
          <w:highlight w:val="none"/>
        </w:rPr>
      </w:pPr>
      <w:r>
        <w:rPr>
          <w:rFonts w:hint="eastAsia" w:ascii="宋体" w:hAnsi="宋体" w:eastAsia="宋体" w:cs="Microsoft Sans Serif"/>
          <w:color w:val="auto"/>
          <w:kern w:val="2"/>
          <w:sz w:val="21"/>
          <w:szCs w:val="21"/>
          <w:highlight w:val="none"/>
          <w:lang w:val="en-US" w:eastAsia="zh-CN" w:bidi="ar-SA"/>
        </w:rPr>
        <w:t>（2</w:t>
      </w:r>
      <w:r>
        <w:rPr>
          <w:rFonts w:hint="eastAsia" w:eastAsia="宋体" w:cs="Microsoft Sans Serif"/>
          <w:color w:val="auto"/>
          <w:kern w:val="2"/>
          <w:sz w:val="21"/>
          <w:szCs w:val="21"/>
          <w:highlight w:val="none"/>
          <w:lang w:val="en-US" w:eastAsia="zh-CN" w:bidi="ar-SA"/>
        </w:rPr>
        <w:t>3</w:t>
      </w:r>
      <w:r>
        <w:rPr>
          <w:rFonts w:hint="eastAsia" w:ascii="宋体" w:hAnsi="宋体" w:eastAsia="宋体" w:cs="Microsoft Sans Serif"/>
          <w:color w:val="auto"/>
          <w:kern w:val="2"/>
          <w:sz w:val="21"/>
          <w:szCs w:val="21"/>
          <w:highlight w:val="none"/>
          <w:lang w:val="en-US" w:eastAsia="zh-CN" w:bidi="ar-SA"/>
        </w:rPr>
        <w:t>）</w:t>
      </w:r>
      <w:r>
        <w:rPr>
          <w:rFonts w:hint="default" w:ascii="Times New Roman" w:hAnsi="Times New Roman" w:eastAsia="宋体" w:cs="Times New Roman"/>
          <w:color w:val="auto"/>
          <w:sz w:val="21"/>
          <w:szCs w:val="21"/>
          <w:highlight w:val="none"/>
        </w:rPr>
        <w:t>承包人应高度尊重监理单位履行职责，在施工过程中，承包人不服从监理单位的监督、协调管理，监理单位有权建议发包人对承包人进行处理，对不合作的单位或个人，发包人将责令其无条件退出施工现场或单方解除施工合同，所有经济损失和责任由承包人承担。</w:t>
      </w:r>
    </w:p>
    <w:p>
      <w:pPr>
        <w:pStyle w:val="45"/>
        <w:rPr>
          <w:rFonts w:hint="default" w:ascii="Times New Roman" w:hAnsi="Times New Roman" w:cs="Times New Roman"/>
          <w:color w:val="auto"/>
          <w:sz w:val="21"/>
          <w:szCs w:val="21"/>
          <w:highlight w:val="none"/>
        </w:rPr>
      </w:pPr>
      <w:r>
        <w:rPr>
          <w:rFonts w:hint="eastAsia" w:ascii="宋体" w:hAnsi="宋体" w:eastAsia="宋体" w:cs="Microsoft Sans Serif"/>
          <w:color w:val="auto"/>
          <w:kern w:val="2"/>
          <w:sz w:val="21"/>
          <w:szCs w:val="21"/>
          <w:highlight w:val="none"/>
          <w:lang w:val="en-US" w:eastAsia="zh-CN" w:bidi="ar-SA"/>
        </w:rPr>
        <w:t>（2</w:t>
      </w:r>
      <w:r>
        <w:rPr>
          <w:rFonts w:hint="eastAsia" w:eastAsia="宋体" w:cs="Microsoft Sans Serif"/>
          <w:color w:val="auto"/>
          <w:kern w:val="2"/>
          <w:sz w:val="21"/>
          <w:szCs w:val="21"/>
          <w:highlight w:val="none"/>
          <w:lang w:val="en-US" w:eastAsia="zh-CN" w:bidi="ar-SA"/>
        </w:rPr>
        <w:t>4</w:t>
      </w:r>
      <w:r>
        <w:rPr>
          <w:rFonts w:hint="eastAsia" w:ascii="宋体" w:hAnsi="宋体" w:eastAsia="宋体" w:cs="Microsoft Sans Serif"/>
          <w:color w:val="auto"/>
          <w:kern w:val="2"/>
          <w:sz w:val="21"/>
          <w:szCs w:val="21"/>
          <w:highlight w:val="none"/>
          <w:lang w:val="en-US" w:eastAsia="zh-CN" w:bidi="ar-SA"/>
        </w:rPr>
        <w:t>）</w:t>
      </w:r>
      <w:r>
        <w:rPr>
          <w:rFonts w:hint="default" w:ascii="Times New Roman" w:hAnsi="Times New Roman" w:cs="Times New Roman"/>
          <w:color w:val="auto"/>
          <w:sz w:val="21"/>
          <w:szCs w:val="21"/>
          <w:highlight w:val="none"/>
        </w:rPr>
        <w:t>承包人必须遵从发包人和监理在项目实施过程中的相关管理规定及管理制度，并遵从发包人和监理对现场总平面布置的控制，进行相应的施工平面布置，违反总平面规划将受到处罚由此造成承包人的一切损失由承包人负责。</w:t>
      </w:r>
    </w:p>
    <w:p>
      <w:pPr>
        <w:pStyle w:val="45"/>
        <w:rPr>
          <w:rFonts w:hint="default" w:ascii="Times New Roman" w:hAnsi="Times New Roman" w:cs="Times New Roman"/>
          <w:color w:val="auto"/>
          <w:sz w:val="21"/>
          <w:szCs w:val="21"/>
          <w:highlight w:val="none"/>
        </w:rPr>
      </w:pPr>
      <w:r>
        <w:rPr>
          <w:rFonts w:hint="eastAsia" w:ascii="宋体" w:hAnsi="宋体" w:eastAsia="宋体" w:cs="Microsoft Sans Serif"/>
          <w:color w:val="auto"/>
          <w:kern w:val="2"/>
          <w:sz w:val="21"/>
          <w:szCs w:val="21"/>
          <w:highlight w:val="none"/>
          <w:lang w:val="en-US" w:eastAsia="zh-CN" w:bidi="ar-SA"/>
        </w:rPr>
        <w:t>（2</w:t>
      </w:r>
      <w:r>
        <w:rPr>
          <w:rFonts w:hint="eastAsia" w:eastAsia="宋体" w:cs="Microsoft Sans Serif"/>
          <w:color w:val="auto"/>
          <w:kern w:val="2"/>
          <w:sz w:val="21"/>
          <w:szCs w:val="21"/>
          <w:highlight w:val="none"/>
          <w:lang w:val="en-US" w:eastAsia="zh-CN" w:bidi="ar-SA"/>
        </w:rPr>
        <w:t>5</w:t>
      </w:r>
      <w:r>
        <w:rPr>
          <w:rFonts w:hint="eastAsia" w:ascii="宋体" w:hAnsi="宋体" w:eastAsia="宋体" w:cs="Microsoft Sans Serif"/>
          <w:color w:val="auto"/>
          <w:kern w:val="2"/>
          <w:sz w:val="21"/>
          <w:szCs w:val="21"/>
          <w:highlight w:val="none"/>
          <w:lang w:val="en-US" w:eastAsia="zh-CN" w:bidi="ar-SA"/>
        </w:rPr>
        <w:t>）</w:t>
      </w:r>
      <w:r>
        <w:rPr>
          <w:rFonts w:hint="default" w:ascii="Times New Roman" w:hAnsi="Times New Roman" w:cs="Times New Roman"/>
          <w:color w:val="auto"/>
          <w:sz w:val="21"/>
          <w:szCs w:val="21"/>
          <w:highlight w:val="none"/>
        </w:rPr>
        <w:t>如施工图出现重大修改时，发包人发放修改后的新版施工图，并书面通知承包人。如承包人未按时将旧版施工图作废，或承包人未及时按新版施工图施工，造成工程实体与新版施工图不符而产生的一切经济损失由承包人承担。</w:t>
      </w:r>
    </w:p>
    <w:p>
      <w:pPr>
        <w:pStyle w:val="45"/>
        <w:rPr>
          <w:rFonts w:hint="default" w:ascii="Times New Roman" w:hAnsi="Times New Roman" w:cs="Times New Roman"/>
          <w:color w:val="auto"/>
          <w:sz w:val="21"/>
          <w:szCs w:val="21"/>
          <w:highlight w:val="none"/>
        </w:rPr>
      </w:pPr>
      <w:r>
        <w:rPr>
          <w:rFonts w:hint="eastAsia" w:ascii="宋体" w:hAnsi="宋体" w:eastAsia="宋体" w:cs="Microsoft Sans Serif"/>
          <w:color w:val="auto"/>
          <w:kern w:val="2"/>
          <w:sz w:val="21"/>
          <w:szCs w:val="21"/>
          <w:highlight w:val="none"/>
          <w:lang w:val="en-US" w:eastAsia="zh-CN" w:bidi="ar-SA"/>
        </w:rPr>
        <w:t>（2</w:t>
      </w:r>
      <w:r>
        <w:rPr>
          <w:rFonts w:hint="eastAsia" w:eastAsia="宋体" w:cs="Microsoft Sans Serif"/>
          <w:color w:val="auto"/>
          <w:kern w:val="2"/>
          <w:sz w:val="21"/>
          <w:szCs w:val="21"/>
          <w:highlight w:val="none"/>
          <w:lang w:val="en-US" w:eastAsia="zh-CN" w:bidi="ar-SA"/>
        </w:rPr>
        <w:t>6</w:t>
      </w:r>
      <w:r>
        <w:rPr>
          <w:rFonts w:hint="eastAsia" w:ascii="宋体" w:hAnsi="宋体" w:eastAsia="宋体" w:cs="Microsoft Sans Serif"/>
          <w:color w:val="auto"/>
          <w:kern w:val="2"/>
          <w:sz w:val="21"/>
          <w:szCs w:val="21"/>
          <w:highlight w:val="none"/>
          <w:lang w:val="en-US" w:eastAsia="zh-CN" w:bidi="ar-SA"/>
        </w:rPr>
        <w:t>）</w:t>
      </w:r>
      <w:r>
        <w:rPr>
          <w:rFonts w:hint="default" w:ascii="Times New Roman" w:hAnsi="Times New Roman" w:cs="Times New Roman"/>
          <w:color w:val="auto"/>
          <w:sz w:val="21"/>
          <w:szCs w:val="21"/>
          <w:highlight w:val="none"/>
        </w:rPr>
        <w:t>承包人根据发包人制定的项目总进度计划编制详细的施工总进度计划发包人审批，施工过程中若承包人调整施工总进度计划，必须将调整计划报发包人审批同意方可执行。</w:t>
      </w:r>
    </w:p>
    <w:p>
      <w:pPr>
        <w:pStyle w:val="45"/>
        <w:rPr>
          <w:rFonts w:hint="default" w:ascii="Times New Roman" w:hAnsi="Times New Roman" w:cs="Times New Roman"/>
          <w:color w:val="auto"/>
          <w:sz w:val="21"/>
          <w:szCs w:val="21"/>
          <w:highlight w:val="none"/>
        </w:rPr>
      </w:pPr>
      <w:r>
        <w:rPr>
          <w:rFonts w:hint="eastAsia" w:ascii="宋体" w:hAnsi="宋体" w:eastAsia="宋体" w:cs="Microsoft Sans Serif"/>
          <w:color w:val="auto"/>
          <w:kern w:val="2"/>
          <w:sz w:val="21"/>
          <w:szCs w:val="21"/>
          <w:highlight w:val="none"/>
          <w:lang w:val="en-US" w:eastAsia="zh-CN" w:bidi="ar-SA"/>
        </w:rPr>
        <w:t>（2</w:t>
      </w:r>
      <w:r>
        <w:rPr>
          <w:rFonts w:hint="eastAsia" w:eastAsia="宋体" w:cs="Microsoft Sans Serif"/>
          <w:color w:val="auto"/>
          <w:kern w:val="2"/>
          <w:sz w:val="21"/>
          <w:szCs w:val="21"/>
          <w:highlight w:val="none"/>
          <w:lang w:val="en-US" w:eastAsia="zh-CN" w:bidi="ar-SA"/>
        </w:rPr>
        <w:t>7</w:t>
      </w:r>
      <w:r>
        <w:rPr>
          <w:rFonts w:hint="eastAsia" w:ascii="宋体" w:hAnsi="宋体" w:eastAsia="宋体" w:cs="Microsoft Sans Serif"/>
          <w:color w:val="auto"/>
          <w:kern w:val="2"/>
          <w:sz w:val="21"/>
          <w:szCs w:val="21"/>
          <w:highlight w:val="none"/>
          <w:lang w:val="en-US" w:eastAsia="zh-CN" w:bidi="ar-SA"/>
        </w:rPr>
        <w:t>）</w:t>
      </w:r>
      <w:r>
        <w:rPr>
          <w:rFonts w:hint="default" w:ascii="Times New Roman" w:hAnsi="Times New Roman" w:cs="Times New Roman"/>
          <w:color w:val="auto"/>
          <w:sz w:val="21"/>
          <w:szCs w:val="21"/>
          <w:highlight w:val="none"/>
        </w:rPr>
        <w:t>在办理结算中，承包人若擅自伪造、涂改资料、弄虚作假或串通造假、虚增工程价款，发包人不予认可，并按照虚增工程价款的2倍赔偿给发包人。</w:t>
      </w:r>
    </w:p>
    <w:p>
      <w:pPr>
        <w:pStyle w:val="45"/>
        <w:rPr>
          <w:rFonts w:hint="default" w:ascii="Times New Roman" w:hAnsi="Times New Roman" w:cs="Times New Roman"/>
          <w:color w:val="auto"/>
          <w:sz w:val="21"/>
          <w:szCs w:val="21"/>
          <w:highlight w:val="none"/>
        </w:rPr>
      </w:pPr>
      <w:r>
        <w:rPr>
          <w:rFonts w:hint="eastAsia" w:ascii="宋体" w:hAnsi="宋体" w:eastAsia="宋体" w:cs="Microsoft Sans Serif"/>
          <w:color w:val="auto"/>
          <w:kern w:val="2"/>
          <w:sz w:val="21"/>
          <w:szCs w:val="21"/>
          <w:highlight w:val="none"/>
          <w:lang w:val="en-US" w:eastAsia="zh-CN" w:bidi="ar-SA"/>
        </w:rPr>
        <w:t>（2</w:t>
      </w:r>
      <w:r>
        <w:rPr>
          <w:rFonts w:hint="eastAsia" w:eastAsia="宋体" w:cs="Microsoft Sans Serif"/>
          <w:color w:val="auto"/>
          <w:kern w:val="2"/>
          <w:sz w:val="21"/>
          <w:szCs w:val="21"/>
          <w:highlight w:val="none"/>
          <w:lang w:val="en-US" w:eastAsia="zh-CN" w:bidi="ar-SA"/>
        </w:rPr>
        <w:t>8</w:t>
      </w:r>
      <w:r>
        <w:rPr>
          <w:rFonts w:hint="eastAsia" w:ascii="宋体" w:hAnsi="宋体" w:eastAsia="宋体" w:cs="Microsoft Sans Serif"/>
          <w:color w:val="auto"/>
          <w:kern w:val="2"/>
          <w:sz w:val="21"/>
          <w:szCs w:val="21"/>
          <w:highlight w:val="none"/>
          <w:lang w:val="en-US" w:eastAsia="zh-CN" w:bidi="ar-SA"/>
        </w:rPr>
        <w:t>）</w:t>
      </w:r>
      <w:r>
        <w:rPr>
          <w:rFonts w:hint="default" w:ascii="Times New Roman" w:hAnsi="Times New Roman" w:cs="Times New Roman"/>
          <w:color w:val="auto"/>
          <w:sz w:val="21"/>
          <w:szCs w:val="21"/>
          <w:highlight w:val="none"/>
        </w:rPr>
        <w:t>承包人应在工程竣工验收合格后30天内上报工程结算资料</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承包人上报的工程结算要求准确，不得高估冒算。</w:t>
      </w:r>
    </w:p>
    <w:p>
      <w:pPr>
        <w:tabs>
          <w:tab w:val="left" w:pos="3840"/>
          <w:tab w:val="left" w:pos="5300"/>
        </w:tabs>
        <w:autoSpaceDE w:val="0"/>
        <w:autoSpaceDN w:val="0"/>
        <w:adjustRightInd w:val="0"/>
        <w:snapToGrid w:val="0"/>
        <w:spacing w:line="460" w:lineRule="exact"/>
        <w:ind w:firstLine="420" w:firstLineChars="200"/>
        <w:rPr>
          <w:rFonts w:hint="default" w:ascii="Times New Roman" w:hAnsi="Times New Roman" w:cs="Times New Roman"/>
          <w:color w:val="auto"/>
          <w:szCs w:val="21"/>
          <w:highlight w:val="none"/>
        </w:rPr>
      </w:pPr>
      <w:r>
        <w:rPr>
          <w:rFonts w:hint="eastAsia" w:ascii="宋体" w:hAnsi="宋体" w:eastAsia="宋体" w:cs="Microsoft Sans Serif"/>
          <w:color w:val="auto"/>
          <w:kern w:val="2"/>
          <w:sz w:val="21"/>
          <w:szCs w:val="21"/>
          <w:highlight w:val="none"/>
          <w:lang w:val="en-US" w:eastAsia="zh-CN" w:bidi="ar-SA"/>
        </w:rPr>
        <w:t>（29）</w:t>
      </w:r>
      <w:r>
        <w:rPr>
          <w:rFonts w:hint="default" w:ascii="Times New Roman" w:hAnsi="Times New Roman" w:cs="Times New Roman"/>
          <w:color w:val="auto"/>
          <w:szCs w:val="21"/>
          <w:highlight w:val="none"/>
        </w:rPr>
        <w:t>在协议书约定的时间未按时竣工的，承担违约金</w:t>
      </w:r>
      <w:r>
        <w:rPr>
          <w:rFonts w:hint="eastAsia" w:ascii="Times New Roman" w:hAnsi="Times New Roman" w:cs="Times New Roman"/>
          <w:color w:val="auto"/>
          <w:szCs w:val="21"/>
          <w:highlight w:val="none"/>
          <w:lang w:val="en-US" w:eastAsia="zh-CN"/>
        </w:rPr>
        <w:t>3</w:t>
      </w:r>
      <w:r>
        <w:rPr>
          <w:rFonts w:hint="default" w:ascii="Times New Roman" w:hAnsi="Times New Roman" w:cs="Times New Roman"/>
          <w:color w:val="auto"/>
          <w:szCs w:val="21"/>
          <w:highlight w:val="none"/>
        </w:rPr>
        <w:t>0000元/天，</w:t>
      </w:r>
      <w:r>
        <w:rPr>
          <w:rFonts w:hint="default" w:ascii="宋体" w:hAnsi="宋体" w:eastAsia="宋体" w:cs="Times New Roman"/>
          <w:bCs/>
          <w:color w:val="auto"/>
          <w:szCs w:val="21"/>
          <w:highlight w:val="none"/>
        </w:rPr>
        <w:t>发包人同意延期的，以</w:t>
      </w:r>
      <w:r>
        <w:rPr>
          <w:rFonts w:hint="eastAsia" w:ascii="宋体" w:hAnsi="宋体" w:eastAsia="宋体" w:cs="Times New Roman"/>
          <w:bCs/>
          <w:color w:val="auto"/>
          <w:szCs w:val="21"/>
          <w:highlight w:val="none"/>
          <w:lang w:val="en-US" w:eastAsia="zh-CN"/>
        </w:rPr>
        <w:t>双方签订补充协议确定的延期时间</w:t>
      </w:r>
      <w:r>
        <w:rPr>
          <w:rFonts w:hint="default" w:ascii="宋体" w:hAnsi="宋体" w:eastAsia="宋体" w:cs="Times New Roman"/>
          <w:bCs/>
          <w:color w:val="auto"/>
          <w:szCs w:val="21"/>
          <w:highlight w:val="none"/>
        </w:rPr>
        <w:t>为准</w:t>
      </w:r>
      <w:r>
        <w:rPr>
          <w:rFonts w:hint="default" w:ascii="Times New Roman" w:hAnsi="Times New Roman" w:cs="Times New Roman"/>
          <w:color w:val="auto"/>
          <w:szCs w:val="21"/>
          <w:highlight w:val="none"/>
        </w:rPr>
        <w:t>。</w:t>
      </w:r>
    </w:p>
    <w:p>
      <w:pPr>
        <w:pStyle w:val="23"/>
        <w:ind w:firstLine="420" w:firstLineChars="200"/>
        <w:rPr>
          <w:rFonts w:hint="eastAsia" w:ascii="Times New Roman" w:hAnsi="Times New Roman" w:cs="Times New Roman"/>
          <w:color w:val="auto"/>
          <w:sz w:val="21"/>
          <w:szCs w:val="21"/>
          <w:highlight w:val="none"/>
          <w:lang w:val="en-US" w:eastAsia="zh-CN"/>
        </w:rPr>
      </w:pPr>
      <w:r>
        <w:rPr>
          <w:rFonts w:hint="eastAsia" w:ascii="宋体" w:hAnsi="宋体" w:eastAsia="宋体" w:cs="Microsoft Sans Serif"/>
          <w:color w:val="auto"/>
          <w:kern w:val="2"/>
          <w:sz w:val="21"/>
          <w:szCs w:val="21"/>
          <w:highlight w:val="none"/>
          <w:lang w:val="en-US" w:eastAsia="zh-CN" w:bidi="ar-SA"/>
        </w:rPr>
        <w:t>（30）</w:t>
      </w:r>
      <w:r>
        <w:rPr>
          <w:rFonts w:hint="default" w:ascii="Times New Roman" w:hAnsi="Times New Roman" w:cs="Times New Roman"/>
          <w:color w:val="auto"/>
          <w:highlight w:val="none"/>
        </w:rPr>
        <w:t>若因承包人违约导致发包人解除合同的，承包人除按上述约定承 担违约责任外，发包人有权要求承包人按合同总价的百分之二十支付违约金”。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w:t>
      </w:r>
      <w:r>
        <w:rPr>
          <w:rFonts w:hint="eastAsia" w:ascii="宋体" w:hAnsi="宋体" w:cs="Microsoft Sans Serif"/>
          <w:color w:val="auto"/>
          <w:kern w:val="0"/>
          <w:szCs w:val="21"/>
          <w:highlight w:val="none"/>
          <w:lang w:val="en-US" w:eastAsia="zh-CN"/>
        </w:rPr>
        <w:t>31</w:t>
      </w:r>
      <w:r>
        <w:rPr>
          <w:rFonts w:hint="eastAsia" w:ascii="宋体" w:hAnsi="宋体" w:cs="Microsoft Sans Serif"/>
          <w:color w:val="auto"/>
          <w:kern w:val="0"/>
          <w:szCs w:val="21"/>
          <w:highlight w:val="none"/>
        </w:rPr>
        <w:t>）发生第16.2.1项（11）目、16.2.1项（12）目、16.2.1项（13）目违约情形的违约责任：除承担由此增加的费用和工期延误的责任，承包人应向发包人支付违约金：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1）项目经理违约承担方式和计算方法：对于第16.2.1项（11）目的情形，每发现一次，根据具体情节，按</w:t>
      </w:r>
      <w:r>
        <w:rPr>
          <w:rFonts w:hint="eastAsia" w:ascii="宋体" w:hAnsi="宋体" w:cs="Microsoft Sans Serif"/>
          <w:color w:val="auto"/>
          <w:kern w:val="0"/>
          <w:szCs w:val="21"/>
          <w:highlight w:val="none"/>
          <w:u w:val="single"/>
        </w:rPr>
        <w:t>1000～30000元/天·次</w:t>
      </w:r>
      <w:r>
        <w:rPr>
          <w:rFonts w:hint="eastAsia" w:ascii="宋体" w:hAnsi="宋体" w:cs="Microsoft Sans Serif"/>
          <w:color w:val="auto"/>
          <w:kern w:val="0"/>
          <w:szCs w:val="21"/>
          <w:highlight w:val="none"/>
        </w:rPr>
        <w:t>计算违约金；项目经理不按承诺到岗的（</w:t>
      </w:r>
      <w:r>
        <w:rPr>
          <w:rFonts w:ascii="宋体" w:hAnsi="宋体" w:cs="Microsoft Sans Serif"/>
          <w:color w:val="auto"/>
          <w:kern w:val="0"/>
          <w:szCs w:val="21"/>
          <w:highlight w:val="none"/>
        </w:rPr>
        <w:t>3.2.3项约定的情形除外</w:t>
      </w:r>
      <w:r>
        <w:rPr>
          <w:rFonts w:hint="eastAsia" w:ascii="宋体" w:hAnsi="宋体" w:cs="Microsoft Sans Serif"/>
          <w:color w:val="auto"/>
          <w:kern w:val="0"/>
          <w:szCs w:val="21"/>
          <w:highlight w:val="none"/>
        </w:rPr>
        <w:t>），按履约保证金的</w:t>
      </w:r>
      <w:r>
        <w:rPr>
          <w:rFonts w:hint="eastAsia" w:ascii="宋体" w:hAnsi="宋体" w:cs="Microsoft Sans Serif"/>
          <w:color w:val="auto"/>
          <w:kern w:val="0"/>
          <w:szCs w:val="21"/>
          <w:highlight w:val="none"/>
          <w:u w:val="single"/>
        </w:rPr>
        <w:t>（50～100）%</w:t>
      </w:r>
      <w:r>
        <w:rPr>
          <w:rFonts w:hint="eastAsia" w:ascii="宋体" w:hAnsi="宋体" w:cs="Microsoft Sans Serif"/>
          <w:color w:val="auto"/>
          <w:kern w:val="0"/>
          <w:szCs w:val="21"/>
          <w:highlight w:val="none"/>
        </w:rPr>
        <w:t>支付违约金，并解除合同；擅自更换项目经理的，按签约合同价的</w:t>
      </w:r>
      <w:r>
        <w:rPr>
          <w:rFonts w:hint="eastAsia" w:ascii="宋体" w:hAnsi="宋体" w:cs="Microsoft Sans Serif"/>
          <w:color w:val="auto"/>
          <w:kern w:val="0"/>
          <w:szCs w:val="21"/>
          <w:highlight w:val="none"/>
          <w:u w:val="single"/>
        </w:rPr>
        <w:t>（0.5～3）%/人·次</w:t>
      </w:r>
      <w:r>
        <w:rPr>
          <w:rFonts w:hint="eastAsia" w:ascii="宋体" w:hAnsi="宋体" w:cs="Microsoft Sans Serif"/>
          <w:color w:val="auto"/>
          <w:kern w:val="0"/>
          <w:szCs w:val="21"/>
          <w:highlight w:val="none"/>
        </w:rPr>
        <w:t>支付违约金，每次不低于</w:t>
      </w:r>
      <w:r>
        <w:rPr>
          <w:rFonts w:hint="eastAsia" w:ascii="宋体" w:hAnsi="宋体" w:cs="Microsoft Sans Serif"/>
          <w:color w:val="auto"/>
          <w:kern w:val="0"/>
          <w:szCs w:val="21"/>
          <w:highlight w:val="none"/>
          <w:u w:val="single"/>
        </w:rPr>
        <w:t>20万</w:t>
      </w:r>
      <w:r>
        <w:rPr>
          <w:rFonts w:hint="eastAsia" w:ascii="宋体" w:hAnsi="宋体" w:cs="Microsoft Sans Serif"/>
          <w:color w:val="auto"/>
          <w:kern w:val="0"/>
          <w:szCs w:val="21"/>
          <w:highlight w:val="none"/>
        </w:rPr>
        <w:t>，累计不超过</w:t>
      </w:r>
      <w:r>
        <w:rPr>
          <w:rFonts w:hint="eastAsia" w:ascii="宋体" w:hAnsi="宋体" w:cs="Microsoft Sans Serif"/>
          <w:color w:val="auto"/>
          <w:kern w:val="0"/>
          <w:szCs w:val="21"/>
          <w:highlight w:val="none"/>
          <w:u w:val="single"/>
        </w:rPr>
        <w:t>200万</w:t>
      </w:r>
      <w:r>
        <w:rPr>
          <w:rFonts w:hint="eastAsia" w:ascii="宋体" w:hAnsi="宋体" w:cs="Microsoft Sans Serif"/>
          <w:color w:val="auto"/>
          <w:kern w:val="0"/>
          <w:szCs w:val="21"/>
          <w:highlight w:val="none"/>
        </w:rPr>
        <w:t>；项目经理被责令停止执业的，按签约合同价的</w:t>
      </w:r>
      <w:r>
        <w:rPr>
          <w:rFonts w:hint="eastAsia" w:ascii="宋体" w:hAnsi="宋体" w:cs="Microsoft Sans Serif"/>
          <w:color w:val="auto"/>
          <w:kern w:val="0"/>
          <w:szCs w:val="21"/>
          <w:highlight w:val="none"/>
          <w:u w:val="single"/>
        </w:rPr>
        <w:t>（0.5～3）%/人·次</w:t>
      </w:r>
      <w:r>
        <w:rPr>
          <w:rFonts w:hint="eastAsia" w:ascii="宋体" w:hAnsi="宋体" w:cs="Microsoft Sans Serif"/>
          <w:color w:val="auto"/>
          <w:kern w:val="0"/>
          <w:szCs w:val="21"/>
          <w:highlight w:val="none"/>
        </w:rPr>
        <w:t>支付违约金，每次不低于</w:t>
      </w:r>
      <w:r>
        <w:rPr>
          <w:rFonts w:hint="eastAsia" w:ascii="宋体" w:hAnsi="宋体" w:cs="Microsoft Sans Serif"/>
          <w:color w:val="auto"/>
          <w:kern w:val="0"/>
          <w:szCs w:val="21"/>
          <w:highlight w:val="none"/>
          <w:u w:val="single"/>
        </w:rPr>
        <w:t>20万</w:t>
      </w:r>
      <w:r>
        <w:rPr>
          <w:rFonts w:hint="eastAsia" w:ascii="宋体" w:hAnsi="宋体" w:cs="Microsoft Sans Serif"/>
          <w:color w:val="auto"/>
          <w:kern w:val="0"/>
          <w:szCs w:val="21"/>
          <w:highlight w:val="none"/>
        </w:rPr>
        <w:t>，累计不超过</w:t>
      </w:r>
      <w:r>
        <w:rPr>
          <w:rFonts w:hint="eastAsia" w:ascii="宋体" w:hAnsi="宋体" w:cs="Microsoft Sans Serif"/>
          <w:color w:val="auto"/>
          <w:kern w:val="0"/>
          <w:szCs w:val="21"/>
          <w:highlight w:val="none"/>
          <w:u w:val="single"/>
        </w:rPr>
        <w:t>200万</w:t>
      </w:r>
      <w:r>
        <w:rPr>
          <w:rFonts w:hint="eastAsia" w:ascii="宋体" w:hAnsi="宋体" w:cs="Microsoft Sans Serif"/>
          <w:color w:val="auto"/>
          <w:kern w:val="0"/>
          <w:szCs w:val="21"/>
          <w:highlight w:val="none"/>
        </w:rPr>
        <w:t>；项目经理被责令停止执业的，按签约合同价的</w:t>
      </w:r>
      <w:r>
        <w:rPr>
          <w:rFonts w:hint="eastAsia" w:ascii="宋体" w:hAnsi="宋体" w:cs="Microsoft Sans Serif"/>
          <w:color w:val="auto"/>
          <w:kern w:val="0"/>
          <w:szCs w:val="21"/>
          <w:highlight w:val="none"/>
          <w:u w:val="single"/>
        </w:rPr>
        <w:t>（0.5～3）%/人•次</w:t>
      </w:r>
      <w:r>
        <w:rPr>
          <w:rFonts w:hint="eastAsia" w:ascii="宋体" w:hAnsi="宋体" w:cs="Microsoft Sans Serif"/>
          <w:color w:val="auto"/>
          <w:kern w:val="0"/>
          <w:szCs w:val="21"/>
          <w:highlight w:val="none"/>
        </w:rPr>
        <w:t>支付违约金，每次不低于</w:t>
      </w:r>
      <w:r>
        <w:rPr>
          <w:rFonts w:hint="eastAsia" w:ascii="宋体" w:hAnsi="宋体" w:cs="Microsoft Sans Serif"/>
          <w:color w:val="auto"/>
          <w:kern w:val="0"/>
          <w:szCs w:val="21"/>
          <w:highlight w:val="none"/>
          <w:u w:val="single"/>
        </w:rPr>
        <w:t>20</w:t>
      </w:r>
      <w:r>
        <w:rPr>
          <w:rFonts w:hint="eastAsia" w:ascii="宋体" w:hAnsi="宋体" w:cs="Microsoft Sans Serif"/>
          <w:color w:val="auto"/>
          <w:kern w:val="0"/>
          <w:szCs w:val="21"/>
          <w:highlight w:val="none"/>
        </w:rPr>
        <w:t>万，累计不超过</w:t>
      </w:r>
      <w:r>
        <w:rPr>
          <w:rFonts w:hint="eastAsia" w:ascii="宋体" w:hAnsi="宋体" w:cs="Microsoft Sans Serif"/>
          <w:color w:val="auto"/>
          <w:kern w:val="0"/>
          <w:szCs w:val="21"/>
          <w:highlight w:val="none"/>
          <w:u w:val="single"/>
        </w:rPr>
        <w:t>200</w:t>
      </w:r>
      <w:r>
        <w:rPr>
          <w:rFonts w:hint="eastAsia" w:ascii="宋体" w:hAnsi="宋体" w:cs="Microsoft Sans Serif"/>
          <w:color w:val="auto"/>
          <w:kern w:val="0"/>
          <w:szCs w:val="21"/>
          <w:highlight w:val="none"/>
        </w:rPr>
        <w:t>万。</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2）主要技术负责人违约承担方式和计算方法：对于第16.2.1项（12）目的六种情形，每发现一次，根据具体情节，按</w:t>
      </w:r>
      <w:r>
        <w:rPr>
          <w:rFonts w:hint="eastAsia" w:ascii="宋体" w:hAnsi="宋体" w:cs="Microsoft Sans Serif"/>
          <w:color w:val="auto"/>
          <w:kern w:val="0"/>
          <w:szCs w:val="21"/>
          <w:highlight w:val="none"/>
          <w:u w:val="single"/>
        </w:rPr>
        <w:t>1000～30000元/天·次</w:t>
      </w:r>
      <w:r>
        <w:rPr>
          <w:rFonts w:hint="eastAsia" w:ascii="宋体" w:hAnsi="宋体" w:cs="Microsoft Sans Serif"/>
          <w:color w:val="auto"/>
          <w:kern w:val="0"/>
          <w:szCs w:val="21"/>
          <w:highlight w:val="none"/>
        </w:rPr>
        <w:t>计算违约金；擅自更换主要技术负责人的，按签约合同价的</w:t>
      </w:r>
      <w:r>
        <w:rPr>
          <w:rFonts w:hint="eastAsia" w:ascii="宋体" w:hAnsi="宋体" w:cs="Microsoft Sans Serif"/>
          <w:color w:val="auto"/>
          <w:kern w:val="0"/>
          <w:szCs w:val="21"/>
          <w:highlight w:val="none"/>
          <w:u w:val="single"/>
        </w:rPr>
        <w:t>（0.5～2）%/人·次</w:t>
      </w:r>
      <w:r>
        <w:rPr>
          <w:rFonts w:hint="eastAsia" w:ascii="宋体" w:hAnsi="宋体" w:cs="Microsoft Sans Serif"/>
          <w:color w:val="auto"/>
          <w:kern w:val="0"/>
          <w:szCs w:val="21"/>
          <w:highlight w:val="none"/>
        </w:rPr>
        <w:t>支付违约金，每次不低于</w:t>
      </w:r>
      <w:r>
        <w:rPr>
          <w:rFonts w:hint="eastAsia" w:ascii="宋体" w:hAnsi="宋体" w:cs="Microsoft Sans Serif"/>
          <w:color w:val="auto"/>
          <w:kern w:val="0"/>
          <w:szCs w:val="21"/>
          <w:highlight w:val="none"/>
          <w:u w:val="single"/>
        </w:rPr>
        <w:t>10万</w:t>
      </w:r>
      <w:r>
        <w:rPr>
          <w:rFonts w:hint="eastAsia" w:ascii="宋体" w:hAnsi="宋体" w:cs="Microsoft Sans Serif"/>
          <w:color w:val="auto"/>
          <w:kern w:val="0"/>
          <w:szCs w:val="21"/>
          <w:highlight w:val="none"/>
        </w:rPr>
        <w:t>，累计不超过</w:t>
      </w:r>
      <w:r>
        <w:rPr>
          <w:rFonts w:hint="eastAsia" w:ascii="宋体" w:hAnsi="宋体" w:cs="Microsoft Sans Serif"/>
          <w:color w:val="auto"/>
          <w:kern w:val="0"/>
          <w:szCs w:val="21"/>
          <w:highlight w:val="none"/>
          <w:u w:val="single"/>
        </w:rPr>
        <w:t>100万</w:t>
      </w:r>
      <w:r>
        <w:rPr>
          <w:rFonts w:hint="eastAsia" w:ascii="宋体" w:hAnsi="宋体" w:cs="Microsoft Sans Serif"/>
          <w:color w:val="auto"/>
          <w:kern w:val="0"/>
          <w:szCs w:val="21"/>
          <w:highlight w:val="none"/>
        </w:rPr>
        <w:t>。</w:t>
      </w:r>
    </w:p>
    <w:p>
      <w:pPr>
        <w:snapToGrid w:val="0"/>
        <w:spacing w:line="360" w:lineRule="auto"/>
        <w:ind w:firstLine="420" w:firstLineChars="200"/>
        <w:jc w:val="left"/>
        <w:rPr>
          <w:rFonts w:ascii="宋体" w:hAnsi="宋体"/>
          <w:color w:val="auto"/>
          <w:szCs w:val="21"/>
          <w:highlight w:val="none"/>
        </w:rPr>
      </w:pPr>
      <w:r>
        <w:rPr>
          <w:rFonts w:hint="eastAsia" w:ascii="宋体" w:hAnsi="宋体" w:cs="Microsoft Sans Serif"/>
          <w:color w:val="auto"/>
          <w:kern w:val="0"/>
          <w:szCs w:val="21"/>
          <w:highlight w:val="none"/>
        </w:rPr>
        <w:t>3）主要施工管理人员违约承担方式和计算方法：对于第16.2.1项（13）目的五种情形，每发现一次，根据具体情节，按</w:t>
      </w:r>
      <w:r>
        <w:rPr>
          <w:rFonts w:hint="eastAsia" w:ascii="宋体" w:hAnsi="宋体" w:cs="Microsoft Sans Serif"/>
          <w:color w:val="auto"/>
          <w:kern w:val="0"/>
          <w:szCs w:val="21"/>
          <w:highlight w:val="none"/>
          <w:u w:val="single"/>
        </w:rPr>
        <w:t>500～10000元/天·次</w:t>
      </w:r>
      <w:r>
        <w:rPr>
          <w:rFonts w:hint="eastAsia" w:ascii="宋体" w:hAnsi="宋体" w:cs="Microsoft Sans Serif"/>
          <w:color w:val="auto"/>
          <w:kern w:val="0"/>
          <w:szCs w:val="21"/>
          <w:highlight w:val="none"/>
        </w:rPr>
        <w:t>计算违约金。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w:t>
      </w:r>
      <w:r>
        <w:rPr>
          <w:rFonts w:hint="eastAsia" w:ascii="宋体" w:hAnsi="宋体" w:cs="Microsoft Sans Serif"/>
          <w:color w:val="auto"/>
          <w:kern w:val="0"/>
          <w:szCs w:val="21"/>
          <w:highlight w:val="none"/>
          <w:lang w:val="en-US" w:eastAsia="zh-CN"/>
        </w:rPr>
        <w:t>32</w:t>
      </w:r>
      <w:r>
        <w:rPr>
          <w:rFonts w:hint="eastAsia" w:ascii="宋体" w:hAnsi="宋体" w:cs="Microsoft Sans Serif"/>
          <w:color w:val="auto"/>
          <w:kern w:val="0"/>
          <w:szCs w:val="21"/>
          <w:highlight w:val="none"/>
        </w:rPr>
        <w:t>）</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bookmarkStart w:id="1028" w:name="_Hlk524380347"/>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szCs w:val="21"/>
          <w:highlight w:val="none"/>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w:t>
      </w:r>
      <w:r>
        <w:rPr>
          <w:rFonts w:hint="eastAsia" w:ascii="宋体" w:hAnsi="宋体" w:cs="Microsoft Sans Serif"/>
          <w:color w:val="auto"/>
          <w:kern w:val="0"/>
          <w:szCs w:val="21"/>
          <w:highlight w:val="none"/>
        </w:rPr>
        <w:t>16.2.2项第（1）目承担违约责任</w:t>
      </w:r>
      <w:r>
        <w:rPr>
          <w:rFonts w:hint="eastAsia" w:ascii="宋体" w:hAnsi="宋体" w:cs="Microsoft Sans Serif"/>
          <w:color w:val="auto"/>
          <w:szCs w:val="21"/>
          <w:highlight w:val="none"/>
        </w:rPr>
        <w:t>，并从应付或到期应付给承包人的任何款项中或采用其他方法，扣除该违约金。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szCs w:val="21"/>
          <w:highlight w:val="none"/>
        </w:rPr>
        <w:t>承包人必须及时纠正违约行为并采取积极措施，满足合同要求，自行承担与纠正违约行为有关的人身伤亡、罚款、索赔、损失补偿、诉讼费用及其他一切责任，工期不予顺延</w:t>
      </w:r>
      <w:r>
        <w:rPr>
          <w:rFonts w:hint="eastAsia" w:ascii="宋体" w:hAnsi="宋体" w:cs="Microsoft Sans Serif"/>
          <w:color w:val="auto"/>
          <w:kern w:val="0"/>
          <w:szCs w:val="21"/>
          <w:highlight w:val="none"/>
        </w:rPr>
        <w:t>，承担由此给</w:t>
      </w:r>
      <w:r>
        <w:rPr>
          <w:rFonts w:hint="eastAsia" w:ascii="宋体" w:hAnsi="宋体" w:cs="Microsoft Sans Serif"/>
          <w:color w:val="auto"/>
          <w:szCs w:val="21"/>
          <w:highlight w:val="none"/>
        </w:rPr>
        <w:t>发包人造成的经济损失。</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szCs w:val="21"/>
          <w:highlight w:val="none"/>
        </w:rPr>
        <w:t>承包人承担承包范围的工程质量、安全、环保责任，因承包人原因引起的质量、安全、环保等事故由承包人承担相应的法律后果。</w:t>
      </w:r>
    </w:p>
    <w:bookmarkEnd w:id="1028"/>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16.2.3 因承包人违约解除合同</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因承包人违约并致使合同目的不能实现的，发包人有权解除合同：</w:t>
      </w:r>
    </w:p>
    <w:p>
      <w:pPr>
        <w:pStyle w:val="66"/>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（1）未按合同约定延迟提供履约担保、质量保证金超过14天的；</w:t>
      </w:r>
    </w:p>
    <w:p>
      <w:pPr>
        <w:pStyle w:val="66"/>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（2）未按合同约定购买保险且经催告后超过56天的；</w:t>
      </w:r>
    </w:p>
    <w:p>
      <w:pPr>
        <w:pStyle w:val="66"/>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（3）因承包人原因导致开工时间累计延误超过56天的；</w:t>
      </w:r>
    </w:p>
    <w:p>
      <w:pPr>
        <w:pStyle w:val="66"/>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（4）因承包人原因导致工期延误超过90天的；</w:t>
      </w:r>
    </w:p>
    <w:p>
      <w:pPr>
        <w:pStyle w:val="66"/>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（5）发生第21.2款〔退出机制〕约定的情形的；</w:t>
      </w:r>
    </w:p>
    <w:p>
      <w:pPr>
        <w:pStyle w:val="66"/>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（6）监理人发出整改通知后，承包人在监理人限定的期限内仍不纠正违约行为的；</w:t>
      </w:r>
    </w:p>
    <w:p>
      <w:pPr>
        <w:pStyle w:val="66"/>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（7）承包人进入清算或者严重资不抵债且无法履行合同的；</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（8）违反适用法律而被相关政府部门依法吊销营业执照、责令停业、清算或宣布破产、责令关闭的；</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（9）承包人未履行合同项下的义务构成对合同的实质性违约，并且在收到发包人要求说明其违约并予以补救的通知后56天内仍未能补救该实质性违约的；</w:t>
      </w:r>
    </w:p>
    <w:p>
      <w:pPr>
        <w:pStyle w:val="66"/>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（10）</w:t>
      </w:r>
      <w:r>
        <w:rPr>
          <w:rFonts w:hint="eastAsia" w:ascii="宋体" w:hAnsi="宋体" w:cs="Microsoft Sans Serif"/>
          <w:color w:val="auto"/>
          <w:kern w:val="0"/>
          <w:sz w:val="21"/>
          <w:szCs w:val="21"/>
          <w:highlight w:val="none"/>
          <w:u w:val="single"/>
        </w:rPr>
        <w:t>合同约定的发包人有权解除合同的其他情形</w:t>
      </w:r>
      <w:r>
        <w:rPr>
          <w:rFonts w:hint="eastAsia" w:ascii="宋体" w:hAnsi="宋体" w:cs="Microsoft Sans Serif"/>
          <w:color w:val="auto"/>
          <w:kern w:val="0"/>
          <w:sz w:val="21"/>
          <w:szCs w:val="21"/>
          <w:highlight w:val="none"/>
        </w:rPr>
        <w:t>。</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16.2.4因承包人违约解除合同后的处理</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因承包人违约导致合同解除的，合同当事人应在合同解除后56天内完成估价、付款和清算，并按以下约定执行：</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（1）合同解除后，按第14.2款结算审定方式确定承包人实际完成工作对应的合同价款，以及承包人已提供的材料、工程设备、施工设备和临时工程等的价值；</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（2）合同解除后，承包人应支付违约金；</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（3）合同解除后，赔偿因解除合同给发包人造成的损失；</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（4）合同解除后，承包人应按照发包人要求和监理人的指示完成现场的清理和撤离。</w:t>
      </w:r>
    </w:p>
    <w:p>
      <w:pPr>
        <w:spacing w:line="360" w:lineRule="auto"/>
        <w:ind w:firstLine="420" w:firstLineChars="200"/>
        <w:jc w:val="left"/>
        <w:rPr>
          <w:rFonts w:ascii="宋体" w:hAnsi="宋体"/>
          <w:color w:val="auto"/>
          <w:szCs w:val="21"/>
          <w:highlight w:val="none"/>
        </w:rPr>
      </w:pPr>
      <w:r>
        <w:rPr>
          <w:rFonts w:hint="eastAsia" w:ascii="宋体" w:hAnsi="宋体" w:cs="Microsoft Sans Serif"/>
          <w:color w:val="auto"/>
          <w:kern w:val="0"/>
          <w:szCs w:val="21"/>
          <w:highlight w:val="none"/>
        </w:rPr>
        <w:t>（5）</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因承包人违约导致解除合同的，发包人有权暂停对承包人的付款，查清各项付款和已扣款项。发包人和承包人未能就合同解除后的清算和款项支付达成一致的，按照第20条〔争议解决〕的约定处理。</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1015"/>
    <w:bookmarkEnd w:id="1016"/>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029" w:name="_Toc532377404"/>
      <w:bookmarkStart w:id="1030" w:name="_Toc351203649"/>
      <w:bookmarkStart w:id="1031" w:name="_Toc532375665"/>
      <w:bookmarkStart w:id="1032" w:name="_Hlk528928440"/>
      <w:r>
        <w:rPr>
          <w:rFonts w:hint="eastAsia"/>
          <w:color w:val="auto"/>
          <w:kern w:val="2"/>
          <w:sz w:val="21"/>
          <w:szCs w:val="21"/>
          <w:highlight w:val="none"/>
        </w:rPr>
        <w:t>17. 不可抗力</w:t>
      </w:r>
      <w:bookmarkEnd w:id="1029"/>
      <w:bookmarkEnd w:id="1030"/>
      <w:bookmarkEnd w:id="1031"/>
    </w:p>
    <w:p>
      <w:pPr>
        <w:pStyle w:val="7"/>
        <w:spacing w:before="0" w:beforeAutospacing="0" w:after="0" w:afterAutospacing="0" w:line="360" w:lineRule="auto"/>
        <w:ind w:firstLine="422" w:firstLineChars="200"/>
        <w:rPr>
          <w:color w:val="auto"/>
          <w:sz w:val="21"/>
          <w:szCs w:val="21"/>
          <w:highlight w:val="none"/>
        </w:rPr>
      </w:pPr>
      <w:bookmarkStart w:id="1033" w:name="_Toc532375666"/>
      <w:bookmarkStart w:id="1034" w:name="_Toc532377405"/>
      <w:r>
        <w:rPr>
          <w:rFonts w:hint="eastAsia"/>
          <w:color w:val="auto"/>
          <w:sz w:val="21"/>
          <w:szCs w:val="21"/>
          <w:highlight w:val="none"/>
        </w:rPr>
        <w:t>17.1 不可抗力的确认</w:t>
      </w:r>
      <w:bookmarkEnd w:id="1033"/>
      <w:bookmarkEnd w:id="1034"/>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除通用合同条款约定的不可抗力事件之外，视为不可抗力的其他情形：</w:t>
      </w:r>
      <w:bookmarkStart w:id="1035" w:name="_Hlk524379638"/>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（1）洪水、火山爆发、山崩、山体滑坡、泥石流、龙卷风、隧道内不可预测的突发性地质灾害等自然灾害；</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（2）骚乱、戒严、封锁、禁运、恐怖行为、等社会行为，但承包人或其分包人派遣与雇佣的人员由于合同工程施工原因引起的除外；</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（3）不能合理预见的重大交通阻滞、停运、交通事故，非双方责任引起的火灾、爆炸、船舶撞击等情形；</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（4）化学或放射性污染或核辐射；</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（5）环保治理等政府行为导致项目停工的。</w:t>
      </w:r>
      <w:bookmarkEnd w:id="1035"/>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036" w:name="_Toc532377406"/>
      <w:bookmarkStart w:id="1037" w:name="_Toc532375667"/>
      <w:bookmarkStart w:id="1038" w:name="_Toc351203610"/>
      <w:bookmarkStart w:id="1039" w:name="_Toc296346620"/>
      <w:bookmarkStart w:id="1040" w:name="_Toc337558826"/>
      <w:bookmarkStart w:id="1041" w:name="_Toc296503119"/>
      <w:r>
        <w:rPr>
          <w:rFonts w:hint="eastAsia"/>
          <w:color w:val="auto"/>
          <w:sz w:val="21"/>
          <w:szCs w:val="21"/>
          <w:highlight w:val="none"/>
        </w:rPr>
        <w:t>17.3 不可抗力后果的承担</w:t>
      </w:r>
      <w:bookmarkEnd w:id="1036"/>
      <w:bookmarkEnd w:id="1037"/>
      <w:bookmarkEnd w:id="1038"/>
    </w:p>
    <w:bookmarkEnd w:id="1039"/>
    <w:bookmarkEnd w:id="1040"/>
    <w:bookmarkEnd w:id="1041"/>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17.3.1 不可抗力引起的后果及造成的损失由合同当事人按照法律规定及合同约定各自承担。不可抗力发生前已完成的工程应当按照合同约定进行计量支付。</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17.3.2 不可抗力导致的人员伤亡、财产损失、费用增加和（或）工期延误等后果，由合同当事人按以下原则承担：</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（1）永久工程、已运至施工现场的施工材料和工程设备的损坏，以及因工程损坏造成的第三方人员伤亡和财产损失由发包人承担；</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（2）承包人施工设备的损坏由承包人承担；</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（3）发包人和承包人承担各自人员伤亡和财产的损失；</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（4）因不可抗力影响承包人履行合同约定的义务，已经引起或将引起工期延误的，应当顺延工期，由此导致承包人停工的费用损失由发包人和承包人合理共担；</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（5）因不可抗力引起或将引起工期延误，发包人要求赶工的，由此增加的赶工费用由发包人承担；</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（6）承包人在停工期间按照发包人要求照管、清理和修复工程的费用由发包人承担；</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（7）不可抗力事件发生后，合同当事人均应采取措施尽量避免和减少损失的扩大，任何一方当事人没有采取有效措施导致损失扩大的，应对扩大的损失承担责任。</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（8）</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042" w:name="_Toc532375668"/>
      <w:bookmarkStart w:id="1043" w:name="_Toc532377407"/>
      <w:r>
        <w:rPr>
          <w:rFonts w:hint="eastAsia"/>
          <w:color w:val="auto"/>
          <w:sz w:val="21"/>
          <w:szCs w:val="21"/>
          <w:highlight w:val="none"/>
        </w:rPr>
        <w:t>17.4 因不可抗力解除合同</w:t>
      </w:r>
      <w:bookmarkEnd w:id="1042"/>
      <w:bookmarkEnd w:id="1043"/>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合同解除后，发包人应在商定或确定发包人应支付款项后</w:t>
      </w:r>
      <w:r>
        <w:rPr>
          <w:rFonts w:hint="eastAsia" w:ascii="宋体" w:hAnsi="宋体"/>
          <w:color w:val="auto"/>
          <w:szCs w:val="21"/>
          <w:highlight w:val="none"/>
          <w:u w:val="single"/>
        </w:rPr>
        <w:t>28</w:t>
      </w:r>
      <w:r>
        <w:rPr>
          <w:rFonts w:hint="eastAsia" w:ascii="宋体" w:hAnsi="宋体"/>
          <w:color w:val="auto"/>
          <w:szCs w:val="21"/>
          <w:highlight w:val="none"/>
        </w:rPr>
        <w:t>天内完成款项的支付。</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044" w:name="_Toc532377408"/>
      <w:bookmarkStart w:id="1045" w:name="_Toc532375669"/>
      <w:bookmarkStart w:id="1046" w:name="_Toc351203650"/>
      <w:r>
        <w:rPr>
          <w:rFonts w:hint="eastAsia"/>
          <w:color w:val="auto"/>
          <w:kern w:val="2"/>
          <w:sz w:val="21"/>
          <w:szCs w:val="21"/>
          <w:highlight w:val="none"/>
        </w:rPr>
        <w:t>18. 保险</w:t>
      </w:r>
      <w:bookmarkEnd w:id="1044"/>
      <w:bookmarkEnd w:id="1045"/>
      <w:bookmarkEnd w:id="1046"/>
    </w:p>
    <w:p>
      <w:pPr>
        <w:pStyle w:val="7"/>
        <w:spacing w:before="0" w:beforeAutospacing="0" w:after="0" w:afterAutospacing="0" w:line="360" w:lineRule="auto"/>
        <w:ind w:firstLine="422" w:firstLineChars="200"/>
        <w:rPr>
          <w:color w:val="auto"/>
          <w:sz w:val="21"/>
          <w:szCs w:val="21"/>
          <w:highlight w:val="none"/>
        </w:rPr>
      </w:pPr>
      <w:bookmarkStart w:id="1047" w:name="_Toc532377409"/>
      <w:bookmarkStart w:id="1048" w:name="_Toc532375670"/>
      <w:r>
        <w:rPr>
          <w:rFonts w:hint="eastAsia"/>
          <w:color w:val="auto"/>
          <w:sz w:val="21"/>
          <w:szCs w:val="21"/>
          <w:highlight w:val="none"/>
        </w:rPr>
        <w:t>18.1 工程保险</w:t>
      </w:r>
      <w:bookmarkEnd w:id="1047"/>
      <w:bookmarkEnd w:id="1048"/>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关于工程保险的特别约定：发包人应投保</w:t>
      </w:r>
      <w:r>
        <w:rPr>
          <w:rFonts w:hint="eastAsia" w:ascii="宋体" w:hAnsi="宋体"/>
          <w:color w:val="auto"/>
          <w:szCs w:val="21"/>
          <w:highlight w:val="none"/>
          <w:u w:val="single"/>
        </w:rPr>
        <w:t>建筑工程一切险或安装工程一切险</w:t>
      </w:r>
      <w:r>
        <w:rPr>
          <w:rFonts w:hint="eastAsia" w:ascii="宋体" w:hAnsi="宋体"/>
          <w:color w:val="auto"/>
          <w:szCs w:val="21"/>
          <w:highlight w:val="none"/>
        </w:rPr>
        <w:t>；发包人委托承包人投保的，因投保产生的保险费和其他相关费用由发包人承担。</w:t>
      </w:r>
    </w:p>
    <w:p>
      <w:pPr>
        <w:pStyle w:val="7"/>
        <w:spacing w:before="0" w:beforeAutospacing="0" w:after="0" w:afterAutospacing="0" w:line="360" w:lineRule="auto"/>
        <w:ind w:firstLine="422" w:firstLineChars="200"/>
        <w:rPr>
          <w:color w:val="auto"/>
          <w:sz w:val="21"/>
          <w:szCs w:val="21"/>
          <w:highlight w:val="none"/>
        </w:rPr>
      </w:pPr>
      <w:bookmarkStart w:id="1049" w:name="_Toc532375671"/>
      <w:bookmarkStart w:id="1050" w:name="_Toc532377410"/>
      <w:r>
        <w:rPr>
          <w:rFonts w:hint="eastAsia"/>
          <w:color w:val="auto"/>
          <w:sz w:val="21"/>
          <w:szCs w:val="21"/>
          <w:highlight w:val="none"/>
        </w:rPr>
        <w:t>18.3 其他保险</w:t>
      </w:r>
      <w:bookmarkEnd w:id="1049"/>
      <w:bookmarkEnd w:id="1050"/>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关于其他保险的约定：</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承包人是否应为其施工设备等办理财产保险：</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安全生产责任险：</w:t>
      </w:r>
      <w:r>
        <w:rPr>
          <w:rFonts w:hint="eastAsia" w:ascii="宋体" w:hAnsi="宋体"/>
          <w:color w:val="auto"/>
          <w:szCs w:val="21"/>
          <w:highlight w:val="none"/>
          <w:u w:val="single"/>
        </w:rPr>
        <w:t>承包人应按《重庆市人民政府办公厅关于在高危行业领域强制推行安全生产责任保险的实施意见》（渝府办法〔2017〕182号）的要求办理安全生产责任保险</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051" w:name="_Toc532375672"/>
      <w:bookmarkStart w:id="1052" w:name="_Toc532377411"/>
      <w:r>
        <w:rPr>
          <w:rFonts w:hint="eastAsia"/>
          <w:color w:val="auto"/>
          <w:sz w:val="21"/>
          <w:szCs w:val="21"/>
          <w:highlight w:val="none"/>
        </w:rPr>
        <w:t>18.7 通知义务</w:t>
      </w:r>
      <w:bookmarkEnd w:id="1051"/>
      <w:bookmarkEnd w:id="1052"/>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关于变更保险合同时的通知义务的约定：</w:t>
      </w:r>
      <w:r>
        <w:rPr>
          <w:rFonts w:hint="eastAsia" w:ascii="宋体" w:hAnsi="宋体"/>
          <w:color w:val="auto"/>
          <w:szCs w:val="21"/>
          <w:highlight w:val="none"/>
          <w:u w:val="single"/>
        </w:rPr>
        <w:t>按通用合同条款执行</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053" w:name="_Toc532375673"/>
      <w:bookmarkStart w:id="1054" w:name="_Toc532377412"/>
      <w:r>
        <w:rPr>
          <w:rFonts w:hint="eastAsia"/>
          <w:color w:val="auto"/>
          <w:sz w:val="21"/>
          <w:szCs w:val="21"/>
          <w:highlight w:val="none"/>
        </w:rPr>
        <w:t>18.8 其他</w:t>
      </w:r>
      <w:bookmarkEnd w:id="1053"/>
      <w:bookmarkEnd w:id="1054"/>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18.8.1 工程开工日前，承包人向发包人提交各项生效的保险证据和保险单副本。未按本项约定提交的，每延后1天，承包人按500元/天支付违约金。</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18.8.2 承包人保险赔偿金不足以补偿发包人损失时，</w:t>
      </w:r>
      <w:bookmarkStart w:id="1055" w:name="_Hlk524378346"/>
      <w:r>
        <w:rPr>
          <w:rFonts w:hint="eastAsia" w:ascii="宋体" w:hAnsi="宋体"/>
          <w:color w:val="auto"/>
          <w:szCs w:val="21"/>
          <w:highlight w:val="none"/>
        </w:rPr>
        <w:t>差额由承包人负责补足</w:t>
      </w:r>
      <w:bookmarkEnd w:id="1055"/>
      <w:r>
        <w:rPr>
          <w:rFonts w:hint="eastAsia" w:ascii="宋体" w:hAnsi="宋体"/>
          <w:color w:val="auto"/>
          <w:szCs w:val="21"/>
          <w:highlight w:val="none"/>
        </w:rPr>
        <w:t>。</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056" w:name="_Toc351203620"/>
      <w:bookmarkStart w:id="1057" w:name="_Toc532375674"/>
      <w:bookmarkStart w:id="1058" w:name="_Toc532377413"/>
      <w:bookmarkStart w:id="1059" w:name="_Toc337558835"/>
      <w:bookmarkStart w:id="1060" w:name="_Toc296346641"/>
      <w:bookmarkStart w:id="1061" w:name="_Toc296503140"/>
      <w:r>
        <w:rPr>
          <w:rFonts w:hint="eastAsia"/>
          <w:color w:val="auto"/>
          <w:kern w:val="2"/>
          <w:sz w:val="21"/>
          <w:szCs w:val="21"/>
          <w:highlight w:val="none"/>
        </w:rPr>
        <w:t>19. 索赔</w:t>
      </w:r>
      <w:bookmarkEnd w:id="1056"/>
      <w:bookmarkEnd w:id="1057"/>
      <w:bookmarkEnd w:id="1058"/>
    </w:p>
    <w:bookmarkEnd w:id="1059"/>
    <w:bookmarkEnd w:id="1060"/>
    <w:bookmarkEnd w:id="1061"/>
    <w:p>
      <w:pPr>
        <w:pStyle w:val="7"/>
        <w:spacing w:before="0" w:beforeAutospacing="0" w:after="0" w:afterAutospacing="0" w:line="360" w:lineRule="auto"/>
        <w:ind w:firstLine="422" w:firstLineChars="200"/>
        <w:rPr>
          <w:color w:val="auto"/>
          <w:sz w:val="21"/>
          <w:szCs w:val="21"/>
          <w:highlight w:val="none"/>
        </w:rPr>
      </w:pPr>
      <w:bookmarkStart w:id="1062" w:name="_Toc532377414"/>
      <w:bookmarkStart w:id="1063" w:name="_Toc532375675"/>
      <w:bookmarkStart w:id="1064" w:name="_Toc351203621"/>
      <w:bookmarkStart w:id="1065" w:name="_Toc296346642"/>
      <w:bookmarkStart w:id="1066" w:name="_Toc296503141"/>
      <w:bookmarkStart w:id="1067" w:name="_Toc337558836"/>
      <w:r>
        <w:rPr>
          <w:rFonts w:hint="eastAsia"/>
          <w:color w:val="auto"/>
          <w:sz w:val="21"/>
          <w:szCs w:val="21"/>
          <w:highlight w:val="none"/>
        </w:rPr>
        <w:t>19.1 承包人的索赔</w:t>
      </w:r>
      <w:bookmarkEnd w:id="1062"/>
      <w:bookmarkEnd w:id="1063"/>
    </w:p>
    <w:p>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根据合同约定，承包人认为有权得到追加付款和（或）延长工期的，应按以下程序向发包人提出索赔：</w:t>
      </w:r>
    </w:p>
    <w:p>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（1）承包人应在索赔事件发生后28天内，向监理人递交索赔意向通知书，并说明发生索赔事件的事由；承包人未在前述28天内发出索赔意向通知书的，丧失要求追加付款和（或）延长工期的权利；</w:t>
      </w:r>
    </w:p>
    <w:p>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（3）索赔事件具有持续影响的，承包人应按监理人要求的合理时间间隔继续递交延续索赔通知，说明持续影响的实际情况和记录，列出累计的追加付款金额和（或）工期延长天数；</w:t>
      </w:r>
    </w:p>
    <w:p>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（4）在索赔事件影响结束后28天内，承包人应向监理人递交最终索赔报告，说明最终要求索赔的追加付款金额和（或）延长的工期，并附必要的记录和证明材料。</w:t>
      </w:r>
    </w:p>
    <w:p>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068" w:name="_Toc532377415"/>
      <w:bookmarkStart w:id="1069" w:name="_Toc532375676"/>
      <w:r>
        <w:rPr>
          <w:rFonts w:hint="eastAsia"/>
          <w:color w:val="auto"/>
          <w:sz w:val="21"/>
          <w:szCs w:val="21"/>
          <w:highlight w:val="none"/>
        </w:rPr>
        <w:t>19.2 对承包人索赔的处理</w:t>
      </w:r>
      <w:bookmarkEnd w:id="1068"/>
      <w:bookmarkEnd w:id="1069"/>
    </w:p>
    <w:p>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对承包人索赔的处理如下：</w:t>
      </w:r>
    </w:p>
    <w:p>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（1）监理人应在收到索赔报告后14天内完成审查并报送发包人。监理人对索赔报告存在异议的，有权要求承包人提交全部原始记录副本</w:t>
      </w:r>
      <w:r>
        <w:rPr>
          <w:rFonts w:hint="eastAsia" w:ascii="宋体" w:hAnsi="宋体"/>
          <w:color w:val="auto"/>
          <w:szCs w:val="21"/>
          <w:highlight w:val="none"/>
        </w:rPr>
        <w:t>；</w:t>
      </w:r>
    </w:p>
    <w:p>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2）发包人应在监理人收到索赔报告或有关索赔的进一步证明材料后的28天内，由监理人向承包人出具经发包人签认的索赔处理结果。发包人逾期未答复的，承包人应以书面形式催告发包人，经承包人三次（每次间隔不少于3天）书面催告后，发包人仍未按期限答复的，则视为认可承包人的索赔要求</w:t>
      </w:r>
      <w:r>
        <w:rPr>
          <w:rFonts w:hint="eastAsia" w:ascii="宋体" w:hAnsi="宋体"/>
          <w:color w:val="auto"/>
          <w:szCs w:val="21"/>
          <w:highlight w:val="none"/>
        </w:rPr>
        <w:t>；</w:t>
      </w:r>
    </w:p>
    <w:p>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（3）承包人接受索赔处理结果的，索赔款项在当期进度款中进行支付；承包人不接受索赔处理结果的，按照第20条〔争议解决〕约定处理</w:t>
      </w:r>
      <w:r>
        <w:rPr>
          <w:rFonts w:hint="eastAsia" w:ascii="宋体" w:hAnsi="宋体"/>
          <w:color w:val="auto"/>
          <w:szCs w:val="21"/>
          <w:highlight w:val="none"/>
        </w:rPr>
        <w:t>；</w:t>
      </w:r>
    </w:p>
    <w:p>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（4）工期延误的关键线路按照经监理人、发包人审批同意的施工组织设计计算</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070" w:name="_Toc532375677"/>
      <w:bookmarkStart w:id="1071" w:name="_Toc532377416"/>
      <w:r>
        <w:rPr>
          <w:rFonts w:hint="eastAsia"/>
          <w:color w:val="auto"/>
          <w:sz w:val="21"/>
          <w:szCs w:val="21"/>
          <w:highlight w:val="none"/>
        </w:rPr>
        <w:t>19.3发包人的索赔</w:t>
      </w:r>
      <w:bookmarkEnd w:id="1070"/>
      <w:bookmarkEnd w:id="1071"/>
    </w:p>
    <w:p>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根据合同约定，发包人认为有权得到赔付金额和（或）延长缺陷责任期的，监理人应向承包人发出通知并附有详细的证明。</w:t>
      </w:r>
    </w:p>
    <w:p>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w:t>
      </w:r>
      <w:bookmarkStart w:id="1072" w:name="_Hlk528652769"/>
      <w:r>
        <w:rPr>
          <w:rFonts w:hint="eastAsia" w:ascii="宋体" w:hAnsi="宋体"/>
          <w:color w:val="auto"/>
          <w:szCs w:val="21"/>
          <w:highlight w:val="none"/>
        </w:rPr>
        <w:t>通过监理人向承包人正式递交最终索赔报告</w:t>
      </w:r>
      <w:bookmarkEnd w:id="1072"/>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073" w:name="_Toc532377417"/>
      <w:bookmarkStart w:id="1074" w:name="_Toc532375678"/>
      <w:r>
        <w:rPr>
          <w:rFonts w:hint="eastAsia"/>
          <w:color w:val="auto"/>
          <w:sz w:val="21"/>
          <w:szCs w:val="21"/>
          <w:highlight w:val="none"/>
        </w:rPr>
        <w:t>19.4 对发包人索赔的处理</w:t>
      </w:r>
      <w:bookmarkEnd w:id="1073"/>
      <w:bookmarkEnd w:id="1074"/>
    </w:p>
    <w:p>
      <w:pPr>
        <w:autoSpaceDE w:val="0"/>
        <w:autoSpaceDN w:val="0"/>
        <w:spacing w:line="360" w:lineRule="auto"/>
        <w:ind w:right="105" w:rightChars="50"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对发包人索赔的处理如下：</w:t>
      </w:r>
    </w:p>
    <w:p>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（1）承包人收到发包人提交的索赔报告后，应及时审查索赔报告的内容、查验发包人证明材料；</w:t>
      </w:r>
    </w:p>
    <w:p>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承包人应在收到索赔报告或有关索赔的进一步证明材料后28天内，将索赔处理结果答复发包人。如果承包人未在上述期限内作出答复的，监理人应以书面形式催告承包人，经监理人三次书面催告后，承包人仍未按期限答复的，则视为对发包人索赔要求的认可；</w:t>
      </w:r>
    </w:p>
    <w:p>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（3）承包人接受索赔处理结果的，发包人可从应支付给承包人的合同价款中扣除赔付的金额或延长缺陷责任期；发包人不接受索赔处理结果的，按第20条〔争议解决〕约定处理。</w:t>
      </w:r>
    </w:p>
    <w:p>
      <w:pPr>
        <w:pStyle w:val="7"/>
        <w:spacing w:before="0" w:beforeAutospacing="0" w:after="0" w:afterAutospacing="0" w:line="360" w:lineRule="auto"/>
        <w:ind w:firstLine="422" w:firstLineChars="200"/>
        <w:rPr>
          <w:color w:val="auto"/>
          <w:sz w:val="21"/>
          <w:szCs w:val="21"/>
          <w:highlight w:val="none"/>
        </w:rPr>
      </w:pPr>
      <w:bookmarkStart w:id="1075" w:name="_Toc532377418"/>
      <w:bookmarkStart w:id="1076" w:name="_Toc532375679"/>
      <w:bookmarkStart w:id="1077" w:name="_Hlk528928420"/>
      <w:r>
        <w:rPr>
          <w:rFonts w:hint="eastAsia"/>
          <w:color w:val="auto"/>
          <w:sz w:val="21"/>
          <w:szCs w:val="21"/>
          <w:highlight w:val="none"/>
        </w:rPr>
        <w:t>19.5 提出索赔的期限</w:t>
      </w:r>
      <w:bookmarkEnd w:id="1075"/>
      <w:bookmarkEnd w:id="1076"/>
    </w:p>
    <w:p>
      <w:pPr>
        <w:autoSpaceDE w:val="0"/>
        <w:autoSpaceDN w:val="0"/>
        <w:spacing w:line="360" w:lineRule="auto"/>
        <w:ind w:right="105" w:rightChars="50" w:firstLine="420" w:firstLineChars="200"/>
        <w:jc w:val="left"/>
        <w:rPr>
          <w:rFonts w:ascii="宋体" w:hAnsi="宋体"/>
          <w:color w:val="auto"/>
          <w:szCs w:val="21"/>
          <w:highlight w:val="none"/>
        </w:rPr>
      </w:pPr>
      <w:bookmarkStart w:id="1078" w:name="_Hlk524298376"/>
      <w:r>
        <w:rPr>
          <w:rFonts w:hint="eastAsia" w:ascii="宋体" w:hAnsi="宋体"/>
          <w:color w:val="auto"/>
          <w:szCs w:val="21"/>
          <w:highlight w:val="none"/>
        </w:rPr>
        <w:t>任一索赔事件发生后28天内，承包人/发包人未向对方发出索赔意向通知书的，视为其已放弃索赔权，无权再就该索赔事项提出任何索赔。</w:t>
      </w:r>
    </w:p>
    <w:bookmarkEnd w:id="1064"/>
    <w:bookmarkEnd w:id="1065"/>
    <w:bookmarkEnd w:id="1066"/>
    <w:bookmarkEnd w:id="1067"/>
    <w:bookmarkEnd w:id="1077"/>
    <w:bookmarkEnd w:id="1078"/>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079" w:name="_Toc532377419"/>
      <w:bookmarkStart w:id="1080" w:name="_Toc351203651"/>
      <w:bookmarkStart w:id="1081" w:name="_Toc532375680"/>
      <w:r>
        <w:rPr>
          <w:rFonts w:hint="eastAsia"/>
          <w:color w:val="auto"/>
          <w:kern w:val="2"/>
          <w:sz w:val="21"/>
          <w:szCs w:val="21"/>
          <w:highlight w:val="none"/>
        </w:rPr>
        <w:t>20. 争议解决</w:t>
      </w:r>
      <w:bookmarkEnd w:id="1079"/>
      <w:bookmarkEnd w:id="1080"/>
      <w:bookmarkEnd w:id="1081"/>
    </w:p>
    <w:p>
      <w:pPr>
        <w:pStyle w:val="7"/>
        <w:spacing w:before="0" w:beforeAutospacing="0" w:after="0" w:afterAutospacing="0" w:line="360" w:lineRule="auto"/>
        <w:ind w:firstLine="422" w:firstLineChars="200"/>
        <w:rPr>
          <w:color w:val="auto"/>
          <w:sz w:val="21"/>
          <w:szCs w:val="21"/>
          <w:highlight w:val="none"/>
        </w:rPr>
      </w:pPr>
      <w:bookmarkStart w:id="1082" w:name="_Toc532375681"/>
      <w:bookmarkStart w:id="1083" w:name="_Toc532377420"/>
      <w:r>
        <w:rPr>
          <w:rFonts w:hint="eastAsia"/>
          <w:color w:val="auto"/>
          <w:sz w:val="21"/>
          <w:szCs w:val="21"/>
          <w:highlight w:val="none"/>
        </w:rPr>
        <w:t>20.3 争议评审</w:t>
      </w:r>
      <w:bookmarkEnd w:id="1082"/>
      <w:bookmarkEnd w:id="1083"/>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合同当事人是否同意将工程争议提交争议评审小组决定：</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084" w:name="_Toc532377421"/>
      <w:bookmarkStart w:id="1085" w:name="_Toc532375682"/>
      <w:r>
        <w:rPr>
          <w:rFonts w:hint="eastAsia"/>
          <w:color w:val="auto"/>
          <w:sz w:val="21"/>
          <w:szCs w:val="21"/>
          <w:highlight w:val="none"/>
        </w:rPr>
        <w:t>20.4 仲裁或诉讼</w:t>
      </w:r>
      <w:bookmarkEnd w:id="1084"/>
      <w:bookmarkEnd w:id="1085"/>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因合同及合同有关事项发生的争议，按下列第</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2</w:t>
      </w:r>
      <w:r>
        <w:rPr>
          <w:rFonts w:hint="eastAsia" w:ascii="宋体" w:hAnsi="宋体"/>
          <w:color w:val="auto"/>
          <w:szCs w:val="21"/>
          <w:highlight w:val="none"/>
          <w:u w:val="single"/>
        </w:rPr>
        <w:t xml:space="preserve">  </w:t>
      </w:r>
      <w:r>
        <w:rPr>
          <w:rFonts w:hint="eastAsia" w:ascii="宋体" w:hAnsi="宋体"/>
          <w:color w:val="auto"/>
          <w:szCs w:val="21"/>
          <w:highlight w:val="none"/>
        </w:rPr>
        <w:t>种方式解决：</w:t>
      </w:r>
    </w:p>
    <w:p>
      <w:pPr>
        <w:spacing w:line="360" w:lineRule="auto"/>
        <w:ind w:right="105" w:rightChars="50" w:firstLine="420" w:firstLineChars="200"/>
        <w:jc w:val="left"/>
        <w:rPr>
          <w:rFonts w:ascii="宋体" w:hAnsi="宋体"/>
          <w:color w:val="auto"/>
          <w:szCs w:val="21"/>
          <w:highlight w:val="none"/>
        </w:rPr>
      </w:pPr>
      <w:r>
        <w:rPr>
          <w:rFonts w:ascii="宋体" w:hAnsi="宋体"/>
          <w:color w:val="auto"/>
          <w:szCs w:val="21"/>
          <w:highlight w:val="none"/>
        </w:rPr>
        <w:t>（1）向仲裁委员会申请仲裁；</w:t>
      </w:r>
    </w:p>
    <w:p>
      <w:pPr>
        <w:spacing w:line="360" w:lineRule="auto"/>
        <w:ind w:right="105" w:rightChars="50" w:firstLine="420" w:firstLineChars="200"/>
        <w:jc w:val="left"/>
        <w:rPr>
          <w:rFonts w:ascii="宋体" w:hAnsi="宋体"/>
          <w:color w:val="auto"/>
          <w:szCs w:val="21"/>
          <w:highlight w:val="none"/>
        </w:rPr>
      </w:pPr>
      <w:r>
        <w:rPr>
          <w:rFonts w:ascii="宋体" w:hAnsi="宋体"/>
          <w:color w:val="auto"/>
          <w:szCs w:val="21"/>
          <w:highlight w:val="none"/>
        </w:rPr>
        <w:t>（2）向</w:t>
      </w:r>
      <w:r>
        <w:rPr>
          <w:rFonts w:hint="default" w:ascii="Times New Roman" w:hAnsi="Times New Roman" w:cs="Times New Roman"/>
          <w:color w:val="auto"/>
          <w:kern w:val="0"/>
          <w:szCs w:val="21"/>
          <w:highlight w:val="none"/>
          <w:u w:val="single"/>
        </w:rPr>
        <w:t>发包人所在地</w:t>
      </w:r>
      <w:r>
        <w:rPr>
          <w:rFonts w:ascii="宋体" w:hAnsi="宋体"/>
          <w:color w:val="auto"/>
          <w:szCs w:val="21"/>
          <w:highlight w:val="none"/>
        </w:rPr>
        <w:t>人民法院起诉。</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086" w:name="_Toc532377422"/>
      <w:bookmarkStart w:id="1087" w:name="_Toc532375683"/>
      <w:r>
        <w:rPr>
          <w:rFonts w:hint="eastAsia"/>
          <w:color w:val="auto"/>
          <w:kern w:val="2"/>
          <w:sz w:val="21"/>
          <w:szCs w:val="21"/>
          <w:highlight w:val="none"/>
        </w:rPr>
        <w:t>21. 补充条款</w:t>
      </w:r>
      <w:bookmarkEnd w:id="1086"/>
      <w:bookmarkEnd w:id="1087"/>
    </w:p>
    <w:p>
      <w:pPr>
        <w:pStyle w:val="7"/>
        <w:spacing w:before="0" w:beforeAutospacing="0" w:after="0" w:afterAutospacing="0" w:line="360" w:lineRule="auto"/>
        <w:ind w:firstLine="422" w:firstLineChars="200"/>
        <w:rPr>
          <w:color w:val="auto"/>
          <w:sz w:val="21"/>
          <w:szCs w:val="21"/>
          <w:highlight w:val="none"/>
        </w:rPr>
      </w:pPr>
      <w:bookmarkStart w:id="1088" w:name="_Toc532375684"/>
      <w:bookmarkStart w:id="1089" w:name="_Toc532377423"/>
      <w:r>
        <w:rPr>
          <w:rFonts w:hint="eastAsia"/>
          <w:color w:val="auto"/>
          <w:sz w:val="21"/>
          <w:szCs w:val="21"/>
          <w:highlight w:val="none"/>
        </w:rPr>
        <w:t>21.1 退出机制</w:t>
      </w:r>
      <w:bookmarkEnd w:id="1088"/>
      <w:bookmarkEnd w:id="1089"/>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21.1.1有下列情形之一的，发包人有权解除合同，亦有权兑付履约担保，并对承包人做清退出场处理</w:t>
      </w:r>
      <w:r>
        <w:rPr>
          <w:rFonts w:hint="eastAsia" w:ascii="宋体" w:hAnsi="宋体"/>
          <w:color w:val="auto"/>
          <w:kern w:val="0"/>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（1）因承包人原因造成较大及以上等级生产安全事故或工程质量事故的；</w:t>
      </w:r>
    </w:p>
    <w:p>
      <w:pPr>
        <w:spacing w:line="360" w:lineRule="auto"/>
        <w:ind w:right="105" w:rightChars="50"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（2）因承包人债权债务纠纷或其他纠纷导致工程无法正常施工的。</w:t>
      </w:r>
    </w:p>
    <w:p>
      <w:pPr>
        <w:spacing w:line="360" w:lineRule="auto"/>
        <w:ind w:right="105" w:rightChars="50" w:firstLine="420" w:firstLineChars="200"/>
        <w:jc w:val="left"/>
        <w:rPr>
          <w:rFonts w:hint="default" w:ascii="Times New Roman" w:hAnsi="Times New Roman" w:cs="Times New Roman"/>
          <w:color w:val="auto"/>
          <w:highlight w:val="none"/>
          <w:u w:val="single"/>
        </w:rPr>
      </w:pPr>
      <w:r>
        <w:rPr>
          <w:rFonts w:hint="eastAsia" w:ascii="宋体" w:hAnsi="宋体"/>
          <w:color w:val="auto"/>
          <w:kern w:val="0"/>
          <w:szCs w:val="21"/>
          <w:highlight w:val="none"/>
        </w:rPr>
        <w:t>（3）</w:t>
      </w:r>
      <w:r>
        <w:rPr>
          <w:rFonts w:hint="default" w:ascii="Times New Roman" w:hAnsi="Times New Roman" w:cs="Times New Roman"/>
          <w:color w:val="auto"/>
          <w:highlight w:val="none"/>
          <w:u w:val="single"/>
        </w:rPr>
        <w:t>因承包人原因造成工程质量低劣而未通过发包人、审查单位或相关职能部门的评审或审查，修改2次后仍不能通过的，发包人有权终止合同，取消承包人履行下阶段工作的资格，即解除本合同，且履约保证金不予退还。</w:t>
      </w:r>
    </w:p>
    <w:p>
      <w:pPr>
        <w:widowControl/>
        <w:autoSpaceDE w:val="0"/>
        <w:autoSpaceDN w:val="0"/>
        <w:adjustRightInd w:val="0"/>
        <w:snapToGrid w:val="0"/>
        <w:ind w:firstLine="480"/>
        <w:rPr>
          <w:rFonts w:hint="default" w:ascii="Times New Roman" w:hAnsi="Times New Roman" w:cs="Times New Roman"/>
          <w:color w:val="auto"/>
          <w:highlight w:val="none"/>
          <w:u w:val="single"/>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4</w:t>
      </w:r>
      <w:r>
        <w:rPr>
          <w:rFonts w:hint="eastAsia" w:ascii="宋体" w:hAnsi="宋体" w:eastAsia="宋体" w:cs="Times New Roman"/>
          <w:color w:val="auto"/>
          <w:kern w:val="0"/>
          <w:szCs w:val="21"/>
          <w:highlight w:val="none"/>
        </w:rPr>
        <w:t>）</w:t>
      </w:r>
      <w:r>
        <w:rPr>
          <w:rFonts w:hint="default" w:ascii="Times New Roman" w:hAnsi="Times New Roman" w:cs="Times New Roman"/>
          <w:color w:val="auto"/>
          <w:highlight w:val="none"/>
          <w:u w:val="single"/>
        </w:rPr>
        <w:t>由于发包人的投资决策、项目定位、政策改变等原因，需要停止施工或终止合同的，发包人不承担违约责任，承包人已完成的工程量按</w:t>
      </w:r>
      <w:r>
        <w:rPr>
          <w:rFonts w:hint="eastAsia" w:ascii="宋体" w:hAnsi="宋体"/>
          <w:color w:val="auto"/>
          <w:szCs w:val="21"/>
          <w:highlight w:val="none"/>
          <w:u w:val="single"/>
        </w:rPr>
        <w:t>14.2.1.2</w:t>
      </w:r>
      <w:r>
        <w:rPr>
          <w:rFonts w:hint="default" w:ascii="Times New Roman" w:hAnsi="Times New Roman" w:cs="Times New Roman"/>
          <w:color w:val="auto"/>
          <w:highlight w:val="none"/>
          <w:u w:val="single"/>
        </w:rPr>
        <w:t>目[竣工结算原则]执行。</w:t>
      </w:r>
    </w:p>
    <w:p>
      <w:pPr>
        <w:spacing w:line="360" w:lineRule="auto"/>
        <w:ind w:right="105" w:rightChars="50" w:firstLine="420" w:firstLineChars="200"/>
        <w:jc w:val="left"/>
        <w:rPr>
          <w:rFonts w:hint="default" w:ascii="Times New Roman" w:hAnsi="Times New Roman" w:cs="Times New Roman"/>
          <w:color w:val="auto"/>
          <w:highlight w:val="none"/>
          <w:u w:val="single"/>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5</w:t>
      </w:r>
      <w:r>
        <w:rPr>
          <w:rFonts w:hint="eastAsia" w:ascii="宋体" w:hAnsi="宋体" w:eastAsia="宋体" w:cs="Times New Roman"/>
          <w:color w:val="auto"/>
          <w:kern w:val="0"/>
          <w:szCs w:val="21"/>
          <w:highlight w:val="none"/>
        </w:rPr>
        <w:t>）</w:t>
      </w:r>
      <w:r>
        <w:rPr>
          <w:rFonts w:hint="default" w:ascii="Times New Roman" w:hAnsi="Times New Roman" w:cs="Times New Roman"/>
          <w:color w:val="auto"/>
          <w:highlight w:val="none"/>
          <w:u w:val="single"/>
        </w:rPr>
        <w:t>承包人拒绝履行</w:t>
      </w:r>
      <w:r>
        <w:rPr>
          <w:rFonts w:hint="default" w:ascii="Times New Roman" w:hAnsi="Times New Roman" w:cs="Times New Roman"/>
          <w:color w:val="auto"/>
          <w:highlight w:val="none"/>
          <w:u w:val="single"/>
          <w:lang w:val="en-US" w:eastAsia="zh-CN"/>
        </w:rPr>
        <w:t>其他</w:t>
      </w:r>
      <w:r>
        <w:rPr>
          <w:rFonts w:hint="default" w:ascii="Times New Roman" w:hAnsi="Times New Roman" w:cs="Times New Roman"/>
          <w:color w:val="auto"/>
          <w:highlight w:val="none"/>
          <w:u w:val="single"/>
        </w:rPr>
        <w:t>相关内容</w:t>
      </w:r>
    </w:p>
    <w:p>
      <w:pPr>
        <w:spacing w:line="360" w:lineRule="auto"/>
        <w:ind w:right="105" w:rightChars="50" w:firstLine="420" w:firstLineChars="200"/>
        <w:jc w:val="left"/>
        <w:rPr>
          <w:rFonts w:ascii="宋体" w:hAnsi="宋体"/>
          <w:color w:val="auto"/>
          <w:szCs w:val="21"/>
          <w:highlight w:val="none"/>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6</w:t>
      </w:r>
      <w:r>
        <w:rPr>
          <w:rFonts w:hint="eastAsia" w:ascii="宋体" w:hAnsi="宋体" w:eastAsia="宋体" w:cs="Times New Roman"/>
          <w:color w:val="auto"/>
          <w:kern w:val="0"/>
          <w:szCs w:val="21"/>
          <w:highlight w:val="none"/>
        </w:rPr>
        <w:t>）</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p>
    <w:p>
      <w:pPr>
        <w:pStyle w:val="2"/>
        <w:spacing w:after="0" w:line="360" w:lineRule="auto"/>
        <w:ind w:firstLine="420" w:firstLineChars="200"/>
        <w:rPr>
          <w:rFonts w:ascii="宋体" w:hAnsi="宋体"/>
          <w:color w:val="auto"/>
          <w:szCs w:val="21"/>
          <w:highlight w:val="none"/>
        </w:rPr>
      </w:pPr>
      <w:r>
        <w:rPr>
          <w:rFonts w:hint="eastAsia" w:ascii="宋体" w:hAnsi="宋体"/>
          <w:color w:val="auto"/>
          <w:szCs w:val="21"/>
          <w:highlight w:val="none"/>
        </w:rPr>
        <w:t>21.1.2有下列情形之一的，承包人有权解除合同，并按16.1.4约定执行：</w:t>
      </w:r>
    </w:p>
    <w:p>
      <w:pPr>
        <w:pStyle w:val="2"/>
        <w:spacing w:after="0"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（1）因发包人征地、拆迁、补偿、审批手续等原因致使本工程延期开工超过90天的。</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kern w:val="0"/>
          <w:szCs w:val="21"/>
          <w:highlight w:val="none"/>
        </w:rPr>
        <w:t>（2）</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090" w:name="_Toc532375685"/>
      <w:bookmarkStart w:id="1091" w:name="_Toc532377424"/>
      <w:r>
        <w:rPr>
          <w:rFonts w:hint="eastAsia"/>
          <w:color w:val="auto"/>
          <w:sz w:val="21"/>
          <w:szCs w:val="21"/>
          <w:highlight w:val="none"/>
        </w:rPr>
        <w:t>21.2智慧工地</w:t>
      </w:r>
      <w:bookmarkEnd w:id="1090"/>
      <w:bookmarkEnd w:id="1091"/>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工地建设可参照重庆市城乡建设委员会《关于印发“智慧工地”建设工作方案的通知》（渝建〔2017〕414号）的相关要求建设。</w:t>
      </w:r>
      <w:bookmarkEnd w:id="1032"/>
    </w:p>
    <w:p>
      <w:pPr>
        <w:pStyle w:val="7"/>
        <w:spacing w:before="0" w:beforeAutospacing="0" w:after="0" w:afterAutospacing="0" w:line="360" w:lineRule="auto"/>
        <w:ind w:firstLine="422" w:firstLineChars="200"/>
        <w:rPr>
          <w:color w:val="auto"/>
          <w:sz w:val="21"/>
          <w:szCs w:val="21"/>
          <w:highlight w:val="none"/>
          <w:u w:val="single"/>
        </w:rPr>
      </w:pPr>
      <w:r>
        <w:rPr>
          <w:rFonts w:hint="eastAsia"/>
          <w:color w:val="auto"/>
          <w:sz w:val="21"/>
          <w:szCs w:val="21"/>
          <w:highlight w:val="none"/>
        </w:rPr>
        <w:t xml:space="preserve">21.3 </w:t>
      </w:r>
      <w:r>
        <w:rPr>
          <w:rFonts w:hint="default" w:ascii="宋体" w:hAnsi="宋体" w:eastAsia="宋体" w:cs="Times New Roman"/>
          <w:b w:val="0"/>
          <w:bCs w:val="0"/>
          <w:color w:val="auto"/>
          <w:kern w:val="2"/>
          <w:sz w:val="21"/>
          <w:szCs w:val="21"/>
          <w:highlight w:val="none"/>
          <w:lang w:val="en-US" w:eastAsia="zh-CN" w:bidi="ar-SA"/>
        </w:rPr>
        <w:t>承包人在施工过程中涉及的设计变更、签证与计量、材料价格核定以及工程款和竣工结算审核等工作，需严格按发包人相关管理办法以及程序执行。</w:t>
      </w:r>
    </w:p>
    <w:p>
      <w:pPr>
        <w:pStyle w:val="77"/>
        <w:widowControl/>
        <w:spacing w:line="360" w:lineRule="auto"/>
        <w:jc w:val="left"/>
        <w:textAlignment w:val="top"/>
        <w:rPr>
          <w:rFonts w:hint="default" w:ascii="Times New Roman" w:hAnsi="Times New Roman" w:cs="Times New Roman"/>
          <w:color w:val="auto"/>
          <w:sz w:val="21"/>
          <w:szCs w:val="21"/>
          <w:highlight w:val="none"/>
        </w:rPr>
      </w:pPr>
      <w:r>
        <w:rPr>
          <w:rFonts w:hint="eastAsia" w:ascii="宋体" w:hAnsi="宋体" w:eastAsia="宋体" w:cs="宋体"/>
          <w:b/>
          <w:bCs/>
          <w:color w:val="auto"/>
          <w:kern w:val="0"/>
          <w:sz w:val="21"/>
          <w:szCs w:val="21"/>
          <w:highlight w:val="none"/>
          <w:lang w:val="en-US" w:eastAsia="zh-CN" w:bidi="ar-SA"/>
        </w:rPr>
        <w:t xml:space="preserve">21.4 </w:t>
      </w:r>
      <w:r>
        <w:rPr>
          <w:rFonts w:hint="default" w:ascii="Times New Roman" w:hAnsi="Times New Roman" w:cs="Times New Roman"/>
          <w:color w:val="auto"/>
          <w:sz w:val="21"/>
          <w:szCs w:val="21"/>
          <w:highlight w:val="none"/>
        </w:rPr>
        <w:t>承包人必须按月支付民工工资，若有拖欠民工工资款时，承包人承担工程结算总价0.1%的违约责任。若因承包人拖欠民工工资，导致民工集体上告、上访、闹事（如拦马路、拉条幅、爬塔吊等），影响公共交通秩序、干扰政府正常办公及扰乱社会秩序等不良行为发生，每发生一次，承包人向发包人支付工程结算总价0.2%的违约金。</w:t>
      </w:r>
    </w:p>
    <w:p>
      <w:pPr>
        <w:pStyle w:val="77"/>
        <w:widowControl/>
        <w:spacing w:line="360" w:lineRule="auto"/>
        <w:jc w:val="left"/>
        <w:textAlignment w:val="top"/>
        <w:rPr>
          <w:rFonts w:hint="default" w:ascii="Times New Roman" w:hAnsi="Times New Roman" w:cs="Times New Roman"/>
          <w:color w:val="auto"/>
          <w:sz w:val="21"/>
          <w:szCs w:val="21"/>
          <w:highlight w:val="none"/>
        </w:rPr>
      </w:pPr>
      <w:r>
        <w:rPr>
          <w:rFonts w:hint="eastAsia" w:ascii="宋体" w:hAnsi="宋体" w:eastAsia="宋体" w:cs="宋体"/>
          <w:b/>
          <w:bCs/>
          <w:color w:val="auto"/>
          <w:kern w:val="0"/>
          <w:sz w:val="21"/>
          <w:szCs w:val="21"/>
          <w:highlight w:val="none"/>
          <w:lang w:val="en-US" w:eastAsia="zh-CN" w:bidi="ar-SA"/>
        </w:rPr>
        <w:t xml:space="preserve">21.5 </w:t>
      </w:r>
      <w:r>
        <w:rPr>
          <w:rFonts w:hint="default" w:ascii="Times New Roman" w:hAnsi="Times New Roman" w:cs="Times New Roman"/>
          <w:color w:val="auto"/>
          <w:sz w:val="21"/>
          <w:szCs w:val="21"/>
          <w:highlight w:val="none"/>
        </w:rPr>
        <w:t>因承包人原因解除合同，发包人将扣除全部履约保证金，并对已完成的工程量，按合同相应条款进行结算，并且承包人承担发包人的一切损失。</w:t>
      </w:r>
    </w:p>
    <w:p>
      <w:pPr>
        <w:pStyle w:val="77"/>
        <w:widowControl/>
        <w:spacing w:line="360" w:lineRule="auto"/>
        <w:jc w:val="left"/>
        <w:textAlignment w:val="top"/>
        <w:rPr>
          <w:rFonts w:hint="default" w:ascii="Times New Roman" w:hAnsi="Times New Roman" w:cs="Times New Roman"/>
          <w:color w:val="auto"/>
          <w:sz w:val="21"/>
          <w:szCs w:val="21"/>
          <w:highlight w:val="none"/>
        </w:rPr>
      </w:pPr>
      <w:r>
        <w:rPr>
          <w:rFonts w:hint="eastAsia" w:ascii="宋体" w:hAnsi="宋体" w:eastAsia="宋体" w:cs="宋体"/>
          <w:b/>
          <w:bCs/>
          <w:color w:val="auto"/>
          <w:kern w:val="0"/>
          <w:sz w:val="21"/>
          <w:szCs w:val="21"/>
          <w:highlight w:val="none"/>
          <w:lang w:val="en-US" w:eastAsia="zh-CN" w:bidi="ar-SA"/>
        </w:rPr>
        <w:t xml:space="preserve">21.6 </w:t>
      </w:r>
      <w:r>
        <w:rPr>
          <w:rFonts w:hint="default" w:ascii="Times New Roman" w:hAnsi="Times New Roman" w:cs="Times New Roman"/>
          <w:color w:val="auto"/>
          <w:sz w:val="21"/>
          <w:szCs w:val="21"/>
          <w:highlight w:val="none"/>
        </w:rPr>
        <w:t>不可抗力造成损害的责任</w:t>
      </w:r>
    </w:p>
    <w:p>
      <w:pPr>
        <w:pStyle w:val="77"/>
        <w:widowControl/>
        <w:spacing w:line="360" w:lineRule="auto"/>
        <w:jc w:val="left"/>
        <w:textAlignment w:val="top"/>
        <w:rPr>
          <w:rFonts w:hint="default" w:eastAsia="宋体"/>
          <w:color w:val="auto"/>
          <w:sz w:val="21"/>
          <w:szCs w:val="21"/>
          <w:highlight w:val="none"/>
          <w:lang w:val="en-US" w:eastAsia="zh-CN"/>
        </w:rPr>
      </w:pPr>
      <w:r>
        <w:rPr>
          <w:rFonts w:hint="default" w:ascii="Times New Roman" w:hAnsi="Times New Roman" w:cs="Times New Roman"/>
          <w:color w:val="auto"/>
          <w:sz w:val="21"/>
          <w:szCs w:val="21"/>
          <w:highlight w:val="none"/>
        </w:rPr>
        <w:t>不可抗力导致的人员伤亡、财产损失、费用增加和(或)工期延误由合同双方按以下方法承担：1）工程本身的损害、因工程损害导致第三方人员伤亡和财产损失以及运至施工现场用于施工的材料和待安装的设备的损害，由承包人承担；2）发包人、承包人人员伤亡由其所在单位负责，并承担相应费用；3）承包人的施工机械设备的损坏及停工损失，由承包人承担；4）停工期间，承包人应发包人要求留在施工现场的必要的管理人员及保卫人员的费用，由承包人承担；5）工程所需清理、修复费用，由发包人承担。</w:t>
      </w:r>
    </w:p>
    <w:p>
      <w:pPr>
        <w:pStyle w:val="7"/>
        <w:spacing w:before="0" w:beforeAutospacing="0" w:after="0" w:afterAutospacing="0" w:line="360" w:lineRule="auto"/>
        <w:ind w:firstLine="422" w:firstLineChars="200"/>
        <w:rPr>
          <w:color w:val="auto"/>
          <w:sz w:val="21"/>
          <w:szCs w:val="21"/>
          <w:highlight w:val="none"/>
        </w:rPr>
      </w:pPr>
      <w:r>
        <w:rPr>
          <w:rFonts w:hint="eastAsia" w:ascii="宋体" w:hAnsi="宋体" w:eastAsia="宋体" w:cs="宋体"/>
          <w:b/>
          <w:bCs/>
          <w:color w:val="auto"/>
          <w:kern w:val="0"/>
          <w:sz w:val="21"/>
          <w:szCs w:val="21"/>
          <w:highlight w:val="none"/>
          <w:lang w:val="en-US" w:eastAsia="zh-CN" w:bidi="ar-SA"/>
        </w:rPr>
        <w:t>21.7</w:t>
      </w:r>
      <w:r>
        <w:rPr>
          <w:rFonts w:hint="eastAsia"/>
          <w:color w:val="auto"/>
          <w:sz w:val="21"/>
          <w:szCs w:val="21"/>
          <w:highlight w:val="none"/>
          <w:u w:val="single"/>
        </w:rPr>
        <w:t xml:space="preserve">       </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092" w:name="baidusnap3"/>
      <w:bookmarkEnd w:id="1092"/>
      <w:bookmarkStart w:id="1093" w:name="baidusnap7"/>
      <w:bookmarkEnd w:id="1093"/>
      <w:bookmarkStart w:id="1094" w:name="_Toc532377425"/>
      <w:bookmarkStart w:id="1095" w:name="_Toc532375686"/>
      <w:bookmarkStart w:id="1096" w:name="_Toc351203652"/>
      <w:r>
        <w:rPr>
          <w:rFonts w:hint="eastAsia"/>
          <w:color w:val="auto"/>
          <w:kern w:val="2"/>
          <w:sz w:val="21"/>
          <w:szCs w:val="21"/>
          <w:highlight w:val="none"/>
        </w:rPr>
        <w:t>22. 合同附件</w:t>
      </w:r>
      <w:bookmarkEnd w:id="1094"/>
      <w:bookmarkEnd w:id="1095"/>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以下十一个附件是本合同的有效组成部分：</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附件1：工程质量保修书</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附件2：主要建设工程文件目录</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附件3：承包人项目管理机构组成表</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附件4：履约担保（如有）</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hint="eastAsia" w:ascii="宋体" w:hAnsi="宋体"/>
          <w:color w:val="auto"/>
          <w:szCs w:val="21"/>
          <w:highlight w:val="none"/>
          <w:lang w:val="en-US" w:eastAsia="zh-CN"/>
        </w:rPr>
        <w:t>5</w:t>
      </w:r>
      <w:r>
        <w:rPr>
          <w:rFonts w:hint="eastAsia" w:ascii="宋体" w:hAnsi="宋体"/>
          <w:color w:val="auto"/>
          <w:szCs w:val="21"/>
          <w:highlight w:val="none"/>
        </w:rPr>
        <w:t>：廉洁从业协议</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hint="eastAsia" w:ascii="宋体" w:hAnsi="宋体"/>
          <w:color w:val="auto"/>
          <w:szCs w:val="21"/>
          <w:highlight w:val="none"/>
          <w:lang w:val="en-US" w:eastAsia="zh-CN"/>
        </w:rPr>
        <w:t>6</w:t>
      </w:r>
      <w:r>
        <w:rPr>
          <w:rFonts w:hint="eastAsia" w:ascii="宋体" w:hAnsi="宋体"/>
          <w:color w:val="auto"/>
          <w:szCs w:val="21"/>
          <w:highlight w:val="none"/>
        </w:rPr>
        <w:t>：安全管理协议</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hint="eastAsia" w:ascii="宋体" w:hAnsi="宋体"/>
          <w:color w:val="auto"/>
          <w:szCs w:val="21"/>
          <w:highlight w:val="none"/>
          <w:lang w:val="en-US" w:eastAsia="zh-CN"/>
        </w:rPr>
        <w:t>7</w:t>
      </w:r>
      <w:r>
        <w:rPr>
          <w:rFonts w:hint="eastAsia" w:ascii="宋体" w:hAnsi="宋体"/>
          <w:color w:val="auto"/>
          <w:szCs w:val="21"/>
          <w:highlight w:val="none"/>
        </w:rPr>
        <w:t>：保障农民工工资支付协议</w:t>
      </w:r>
    </w:p>
    <w:bookmarkEnd w:id="1096"/>
    <w:p>
      <w:pPr>
        <w:spacing w:line="36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w:t>
      </w:r>
      <w:bookmarkStart w:id="1097" w:name="_Toc296891266"/>
      <w:bookmarkStart w:id="1098" w:name="_Toc296347225"/>
      <w:bookmarkStart w:id="1099" w:name="_Toc296944565"/>
      <w:bookmarkStart w:id="1100" w:name="_Toc296891054"/>
      <w:bookmarkStart w:id="1101" w:name="_Toc296503226"/>
      <w:bookmarkStart w:id="1102" w:name="_Toc267261693"/>
      <w:bookmarkStart w:id="1103" w:name="_Toc296346727"/>
      <w:r>
        <w:rPr>
          <w:rFonts w:hint="eastAsia" w:ascii="宋体" w:hAnsi="宋体"/>
          <w:color w:val="auto"/>
          <w:szCs w:val="21"/>
          <w:highlight w:val="none"/>
        </w:rPr>
        <w:t>件1：</w:t>
      </w:r>
      <w:bookmarkEnd w:id="1097"/>
      <w:bookmarkEnd w:id="1098"/>
      <w:bookmarkEnd w:id="1099"/>
      <w:bookmarkEnd w:id="1100"/>
      <w:bookmarkEnd w:id="1101"/>
      <w:bookmarkEnd w:id="1102"/>
      <w:bookmarkEnd w:id="1103"/>
    </w:p>
    <w:p>
      <w:pPr>
        <w:spacing w:before="156" w:beforeLines="50" w:after="156" w:afterLines="50" w:line="360" w:lineRule="auto"/>
        <w:jc w:val="center"/>
        <w:rPr>
          <w:rFonts w:ascii="宋体" w:hAnsi="宋体"/>
          <w:color w:val="auto"/>
          <w:szCs w:val="21"/>
          <w:highlight w:val="none"/>
        </w:rPr>
      </w:pPr>
      <w:r>
        <w:rPr>
          <w:rFonts w:hint="eastAsia" w:ascii="宋体" w:hAnsi="宋体"/>
          <w:color w:val="auto"/>
          <w:szCs w:val="21"/>
          <w:highlight w:val="none"/>
        </w:rPr>
        <w:t>工程质量保修书</w:t>
      </w:r>
    </w:p>
    <w:p>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olor w:val="auto"/>
          <w:szCs w:val="21"/>
          <w:highlight w:val="none"/>
          <w:u w:val="single"/>
        </w:rPr>
        <w:t xml:space="preserve">                             </w:t>
      </w:r>
    </w:p>
    <w:p>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发包人和承包人根据《中华人民共和国建筑法》和《建设工程质量管理条例》，经协商一致就</w:t>
      </w:r>
    </w:p>
    <w:p>
      <w:pPr>
        <w:spacing w:line="360" w:lineRule="auto"/>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（工程全称）签订工程质量保修书。</w:t>
      </w:r>
    </w:p>
    <w:p>
      <w:pPr>
        <w:spacing w:line="360" w:lineRule="auto"/>
        <w:ind w:firstLine="420" w:firstLineChars="200"/>
        <w:rPr>
          <w:rFonts w:ascii="宋体" w:hAnsi="宋体"/>
          <w:color w:val="auto"/>
          <w:szCs w:val="21"/>
          <w:highlight w:val="none"/>
        </w:rPr>
      </w:pPr>
      <w:bookmarkStart w:id="1104" w:name="_Toc532375687"/>
      <w:r>
        <w:rPr>
          <w:rFonts w:hint="eastAsia" w:ascii="宋体" w:hAnsi="宋体"/>
          <w:color w:val="auto"/>
          <w:szCs w:val="21"/>
          <w:highlight w:val="none"/>
        </w:rPr>
        <w:t>一、工程质量保修范围和内容</w:t>
      </w:r>
      <w:bookmarkEnd w:id="1104"/>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承包人在质量保修期内，按照有关法律规定和合同约定，承担工程质量保修责任。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承包人承包范围内容均属质量保修范围内容；其中：</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1.属于设计原因造成的质量问题，承包人负责维修，不留隐患，费用由发包人承担；</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2.属于施工造成的质量问题，承包人负责维修，不留隐患；</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3.属于业主使用不当造成的质量问题，配合抢修，费用由发包人承担。</w:t>
      </w:r>
    </w:p>
    <w:p>
      <w:pPr>
        <w:spacing w:line="360" w:lineRule="auto"/>
        <w:ind w:firstLine="420" w:firstLineChars="200"/>
        <w:rPr>
          <w:rFonts w:ascii="宋体" w:hAnsi="宋体"/>
          <w:color w:val="auto"/>
          <w:szCs w:val="21"/>
          <w:highlight w:val="none"/>
        </w:rPr>
      </w:pPr>
      <w:bookmarkStart w:id="1105" w:name="_Toc532375688"/>
      <w:r>
        <w:rPr>
          <w:rFonts w:hint="eastAsia" w:ascii="宋体" w:hAnsi="宋体"/>
          <w:color w:val="auto"/>
          <w:szCs w:val="21"/>
          <w:highlight w:val="none"/>
        </w:rPr>
        <w:t>二、质量保修期</w:t>
      </w:r>
      <w:bookmarkEnd w:id="1105"/>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根据《建设工程质量管理条例》及有关规定，本工程质量保修期约定如下：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1.基础设施工程、房屋建筑的地基基础工程和主体结构工程，为设计文件规定的该工程的合理使用年限；</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2.屋面防水工程、有防水要求的卫生间、房间和外墙面的防渗漏，为5年；</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3.供热与供冷系统，为2个采暖期、供冷期；</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4.电气管线、给排水管道、设备安装和装修工程，为2年；</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5.其他项目保修期限：2年；</w:t>
      </w:r>
      <w:r>
        <w:rPr>
          <w:rFonts w:hint="eastAsia" w:ascii="宋体" w:hAnsi="宋体"/>
          <w:i/>
          <w:color w:val="auto"/>
          <w:szCs w:val="21"/>
          <w:highlight w:val="none"/>
        </w:rPr>
        <w:t>[提示：如有不同，根据具体情况修改]</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建设工程的保修期，自工程竣工验收合格之日起计算。</w:t>
      </w:r>
    </w:p>
    <w:p>
      <w:pPr>
        <w:spacing w:line="360" w:lineRule="auto"/>
        <w:ind w:firstLine="420" w:firstLineChars="200"/>
        <w:rPr>
          <w:rFonts w:ascii="宋体" w:hAnsi="宋体"/>
          <w:color w:val="auto"/>
          <w:szCs w:val="21"/>
          <w:highlight w:val="none"/>
        </w:rPr>
      </w:pPr>
      <w:bookmarkStart w:id="1106" w:name="_Toc532375689"/>
      <w:r>
        <w:rPr>
          <w:rFonts w:hint="eastAsia" w:ascii="宋体" w:hAnsi="宋体"/>
          <w:color w:val="auto"/>
          <w:szCs w:val="21"/>
          <w:highlight w:val="none"/>
        </w:rPr>
        <w:t>三、质量保修责任</w:t>
      </w:r>
      <w:bookmarkEnd w:id="1106"/>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1.属于保修范围、内容的项目，承包人应当在接到保修通知之日起7天内派人保修。承包人不在约定期限内派人保修的，发包人可以委托他人修理。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2.发生紧急事故需抢修的，承包人在接到事故通知后，应当立即到达事故现场抢修。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4.质量保修完成后，由发包人组织验收。</w:t>
      </w:r>
    </w:p>
    <w:p>
      <w:pPr>
        <w:spacing w:line="360" w:lineRule="auto"/>
        <w:ind w:firstLine="420" w:firstLineChars="200"/>
        <w:rPr>
          <w:rFonts w:ascii="宋体" w:hAnsi="宋体"/>
          <w:color w:val="auto"/>
          <w:szCs w:val="21"/>
          <w:highlight w:val="none"/>
        </w:rPr>
      </w:pPr>
      <w:bookmarkStart w:id="1107" w:name="_Toc532375690"/>
      <w:r>
        <w:rPr>
          <w:rFonts w:hint="eastAsia" w:ascii="宋体" w:hAnsi="宋体"/>
          <w:color w:val="auto"/>
          <w:szCs w:val="21"/>
          <w:highlight w:val="none"/>
        </w:rPr>
        <w:t>四、保修费用</w:t>
      </w:r>
      <w:bookmarkEnd w:id="1107"/>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保修费用由质量缺陷的责任方承担。</w:t>
      </w:r>
    </w:p>
    <w:p>
      <w:pPr>
        <w:spacing w:line="360" w:lineRule="auto"/>
        <w:ind w:firstLine="420" w:firstLineChars="200"/>
        <w:rPr>
          <w:rFonts w:ascii="宋体" w:hAnsi="宋体"/>
          <w:color w:val="auto"/>
          <w:szCs w:val="21"/>
          <w:highlight w:val="none"/>
        </w:rPr>
      </w:pPr>
      <w:bookmarkStart w:id="1108" w:name="_Toc532375691"/>
      <w:r>
        <w:rPr>
          <w:rFonts w:hint="eastAsia" w:ascii="宋体" w:hAnsi="宋体"/>
          <w:color w:val="auto"/>
          <w:szCs w:val="21"/>
          <w:highlight w:val="none"/>
        </w:rPr>
        <w:t>五、双方约定的其他工程质量保修事项</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按国家相关法律和规定执行</w:t>
      </w:r>
      <w:r>
        <w:rPr>
          <w:rFonts w:hint="eastAsia" w:ascii="宋体" w:hAnsi="宋体"/>
          <w:color w:val="auto"/>
          <w:szCs w:val="21"/>
          <w:highlight w:val="none"/>
        </w:rPr>
        <w:t>。</w:t>
      </w:r>
      <w:bookmarkEnd w:id="1108"/>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本工程质量保修书由发包人、承包人在工程竣工验收前共同签署，作为施工合同附件，其有效期限至保修期满。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六、本文件生效</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本工程质量保修书经发包人与承包人盖章后生效。</w:t>
      </w:r>
    </w:p>
    <w:p>
      <w:pPr>
        <w:pStyle w:val="2"/>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发包人：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（盖单位公章）</w:t>
      </w:r>
    </w:p>
    <w:p>
      <w:pPr>
        <w:spacing w:line="360" w:lineRule="auto"/>
        <w:ind w:firstLine="420" w:firstLineChars="200"/>
        <w:rPr>
          <w:rFonts w:ascii="宋体" w:hAnsi="宋体"/>
          <w:snapToGrid w:val="0"/>
          <w:color w:val="auto"/>
          <w:kern w:val="0"/>
          <w:szCs w:val="21"/>
          <w:highlight w:val="none"/>
        </w:rPr>
      </w:pPr>
    </w:p>
    <w:p>
      <w:pPr>
        <w:spacing w:line="360" w:lineRule="auto"/>
        <w:ind w:firstLine="420" w:firstLineChars="200"/>
        <w:rPr>
          <w:rFonts w:ascii="宋体" w:hAnsi="宋体"/>
          <w:snapToGrid w:val="0"/>
          <w:color w:val="auto"/>
          <w:kern w:val="0"/>
          <w:szCs w:val="21"/>
          <w:highlight w:val="none"/>
        </w:rPr>
      </w:pPr>
    </w:p>
    <w:p>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法定代表人或其委托代理人：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（签名）</w:t>
      </w:r>
    </w:p>
    <w:p>
      <w:pPr>
        <w:spacing w:line="360" w:lineRule="auto"/>
        <w:ind w:firstLine="420" w:firstLineChars="200"/>
        <w:rPr>
          <w:rFonts w:ascii="宋体" w:hAnsi="宋体"/>
          <w:snapToGrid w:val="0"/>
          <w:color w:val="auto"/>
          <w:kern w:val="0"/>
          <w:szCs w:val="21"/>
          <w:highlight w:val="none"/>
        </w:rPr>
      </w:pPr>
    </w:p>
    <w:p>
      <w:pPr>
        <w:spacing w:line="360" w:lineRule="auto"/>
        <w:ind w:firstLine="420" w:firstLineChars="200"/>
        <w:rPr>
          <w:rFonts w:ascii="宋体" w:hAnsi="宋体"/>
          <w:snapToGrid w:val="0"/>
          <w:color w:val="auto"/>
          <w:kern w:val="0"/>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snapToGrid w:val="0"/>
          <w:color w:val="auto"/>
          <w:kern w:val="0"/>
          <w:szCs w:val="21"/>
          <w:highlight w:val="none"/>
        </w:rPr>
        <w:t>承包人：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（盖单位公章）</w:t>
      </w:r>
    </w:p>
    <w:p>
      <w:pPr>
        <w:spacing w:line="360" w:lineRule="auto"/>
        <w:ind w:firstLine="420" w:firstLineChars="200"/>
        <w:rPr>
          <w:rFonts w:ascii="宋体" w:hAnsi="宋体"/>
          <w:snapToGrid w:val="0"/>
          <w:color w:val="auto"/>
          <w:kern w:val="0"/>
          <w:szCs w:val="21"/>
          <w:highlight w:val="none"/>
        </w:rPr>
      </w:pPr>
    </w:p>
    <w:p>
      <w:pPr>
        <w:spacing w:line="360" w:lineRule="auto"/>
        <w:ind w:firstLine="420" w:firstLineChars="200"/>
        <w:rPr>
          <w:rFonts w:ascii="宋体" w:hAnsi="宋体"/>
          <w:snapToGrid w:val="0"/>
          <w:color w:val="auto"/>
          <w:kern w:val="0"/>
          <w:szCs w:val="21"/>
          <w:highlight w:val="none"/>
        </w:rPr>
      </w:pPr>
    </w:p>
    <w:p>
      <w:pPr>
        <w:spacing w:line="360" w:lineRule="auto"/>
        <w:ind w:firstLine="420" w:firstLineChars="200"/>
        <w:rPr>
          <w:rFonts w:ascii="宋体" w:hAnsi="宋体"/>
          <w:bCs/>
          <w:color w:val="auto"/>
          <w:kern w:val="0"/>
          <w:szCs w:val="21"/>
          <w:highlight w:val="none"/>
        </w:rPr>
      </w:pPr>
      <w:r>
        <w:rPr>
          <w:rFonts w:hint="eastAsia" w:ascii="宋体" w:hAnsi="宋体"/>
          <w:snapToGrid w:val="0"/>
          <w:color w:val="auto"/>
          <w:kern w:val="0"/>
          <w:szCs w:val="21"/>
          <w:highlight w:val="none"/>
        </w:rPr>
        <w:t>法定代表人或其委托代理人：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（签名）</w:t>
      </w:r>
    </w:p>
    <w:p>
      <w:pPr>
        <w:spacing w:line="360" w:lineRule="auto"/>
        <w:ind w:firstLine="418" w:firstLineChars="200"/>
        <w:rPr>
          <w:rFonts w:ascii="宋体" w:hAnsi="宋体"/>
          <w:snapToGrid w:val="0"/>
          <w:color w:val="auto"/>
          <w:spacing w:val="1"/>
          <w:w w:val="99"/>
          <w:kern w:val="0"/>
          <w:position w:val="-2"/>
          <w:szCs w:val="21"/>
          <w:highlight w:val="none"/>
        </w:rPr>
      </w:pPr>
    </w:p>
    <w:p>
      <w:pPr>
        <w:spacing w:line="360" w:lineRule="auto"/>
        <w:ind w:firstLine="418" w:firstLineChars="200"/>
        <w:rPr>
          <w:rFonts w:ascii="宋体" w:hAnsi="宋体"/>
          <w:snapToGrid w:val="0"/>
          <w:color w:val="auto"/>
          <w:spacing w:val="1"/>
          <w:w w:val="99"/>
          <w:kern w:val="0"/>
          <w:position w:val="-2"/>
          <w:szCs w:val="21"/>
          <w:highlight w:val="none"/>
        </w:rPr>
      </w:pPr>
    </w:p>
    <w:p>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签约时间：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日</w:t>
      </w:r>
    </w:p>
    <w:p>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附件2：</w:t>
      </w:r>
    </w:p>
    <w:p>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主要建设工程文件目录</w:t>
      </w:r>
    </w:p>
    <w:tbl>
      <w:tblPr>
        <w:tblStyle w:val="46"/>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536"/>
        <w:gridCol w:w="1418"/>
        <w:gridCol w:w="1418"/>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536"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文件名称</w:t>
            </w:r>
          </w:p>
        </w:tc>
        <w:tc>
          <w:tcPr>
            <w:tcW w:w="1418"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套数</w:t>
            </w:r>
          </w:p>
        </w:tc>
        <w:tc>
          <w:tcPr>
            <w:tcW w:w="1418" w:type="dxa"/>
            <w:noWrap w:val="0"/>
            <w:vAlign w:val="top"/>
          </w:tcPr>
          <w:p>
            <w:pPr>
              <w:spacing w:line="400" w:lineRule="exact"/>
              <w:jc w:val="center"/>
              <w:rPr>
                <w:rFonts w:ascii="宋体" w:hAnsi="宋体"/>
                <w:color w:val="auto"/>
                <w:szCs w:val="21"/>
                <w:highlight w:val="none"/>
              </w:rPr>
            </w:pPr>
            <w:r>
              <w:rPr>
                <w:rFonts w:hint="eastAsia" w:ascii="宋体" w:hAnsi="宋体"/>
                <w:color w:val="auto"/>
                <w:szCs w:val="21"/>
                <w:highlight w:val="none"/>
              </w:rPr>
              <w:t>移交时间</w:t>
            </w:r>
          </w:p>
        </w:tc>
        <w:tc>
          <w:tcPr>
            <w:tcW w:w="2917" w:type="dxa"/>
            <w:noWrap w:val="0"/>
            <w:vAlign w:val="top"/>
          </w:tcPr>
          <w:p>
            <w:pPr>
              <w:spacing w:line="400" w:lineRule="exact"/>
              <w:jc w:val="center"/>
              <w:rPr>
                <w:rFonts w:ascii="宋体" w:hAnsi="宋体"/>
                <w:color w:val="auto"/>
                <w:szCs w:val="21"/>
                <w:highlight w:val="none"/>
              </w:rPr>
            </w:pPr>
            <w:r>
              <w:rPr>
                <w:rFonts w:hint="eastAsia" w:ascii="宋体" w:hAnsi="宋体"/>
                <w:color w:val="auto"/>
                <w:szCs w:val="21"/>
                <w:highlight w:val="none"/>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pPr>
              <w:spacing w:line="400" w:lineRule="exact"/>
              <w:ind w:firstLine="420" w:firstLineChars="200"/>
              <w:rPr>
                <w:rFonts w:ascii="宋体" w:hAnsi="宋体"/>
                <w:color w:val="auto"/>
                <w:szCs w:val="21"/>
                <w:highlight w:val="none"/>
              </w:rPr>
            </w:pP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2917" w:type="dxa"/>
            <w:noWrap w:val="0"/>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pPr>
              <w:spacing w:line="400" w:lineRule="exact"/>
              <w:ind w:firstLine="420" w:firstLineChars="200"/>
              <w:rPr>
                <w:rFonts w:ascii="宋体" w:hAnsi="宋体"/>
                <w:color w:val="auto"/>
                <w:szCs w:val="21"/>
                <w:highlight w:val="none"/>
              </w:rPr>
            </w:pP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2917" w:type="dxa"/>
            <w:noWrap w:val="0"/>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pPr>
              <w:spacing w:line="400" w:lineRule="exact"/>
              <w:ind w:firstLine="420" w:firstLineChars="200"/>
              <w:rPr>
                <w:rFonts w:ascii="宋体" w:hAnsi="宋体"/>
                <w:color w:val="auto"/>
                <w:szCs w:val="21"/>
                <w:highlight w:val="none"/>
              </w:rPr>
            </w:pP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2917" w:type="dxa"/>
            <w:noWrap w:val="0"/>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pPr>
              <w:spacing w:line="400" w:lineRule="exact"/>
              <w:ind w:firstLine="420" w:firstLineChars="200"/>
              <w:rPr>
                <w:rFonts w:ascii="宋体" w:hAnsi="宋体"/>
                <w:color w:val="auto"/>
                <w:szCs w:val="21"/>
                <w:highlight w:val="none"/>
              </w:rPr>
            </w:pP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2917" w:type="dxa"/>
            <w:noWrap w:val="0"/>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pPr>
              <w:spacing w:line="400" w:lineRule="exact"/>
              <w:ind w:firstLine="420" w:firstLineChars="200"/>
              <w:rPr>
                <w:rFonts w:ascii="宋体" w:hAnsi="宋体"/>
                <w:color w:val="auto"/>
                <w:szCs w:val="21"/>
                <w:highlight w:val="none"/>
              </w:rPr>
            </w:pP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2917" w:type="dxa"/>
            <w:noWrap w:val="0"/>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pPr>
              <w:spacing w:line="400" w:lineRule="exact"/>
              <w:ind w:firstLine="420" w:firstLineChars="200"/>
              <w:rPr>
                <w:rFonts w:ascii="宋体" w:hAnsi="宋体"/>
                <w:color w:val="auto"/>
                <w:szCs w:val="21"/>
                <w:highlight w:val="none"/>
              </w:rPr>
            </w:pP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2917" w:type="dxa"/>
            <w:noWrap w:val="0"/>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pPr>
              <w:spacing w:line="400" w:lineRule="exact"/>
              <w:ind w:firstLine="420" w:firstLineChars="200"/>
              <w:rPr>
                <w:rFonts w:ascii="宋体" w:hAnsi="宋体"/>
                <w:color w:val="auto"/>
                <w:szCs w:val="21"/>
                <w:highlight w:val="none"/>
              </w:rPr>
            </w:pP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2917" w:type="dxa"/>
            <w:noWrap w:val="0"/>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pPr>
              <w:spacing w:line="400" w:lineRule="exact"/>
              <w:ind w:firstLine="420" w:firstLineChars="200"/>
              <w:rPr>
                <w:rFonts w:ascii="宋体" w:hAnsi="宋体"/>
                <w:color w:val="auto"/>
                <w:szCs w:val="21"/>
                <w:highlight w:val="none"/>
              </w:rPr>
            </w:pP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2917" w:type="dxa"/>
            <w:noWrap w:val="0"/>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pPr>
              <w:spacing w:line="400" w:lineRule="exact"/>
              <w:ind w:firstLine="420" w:firstLineChars="200"/>
              <w:rPr>
                <w:rFonts w:ascii="宋体" w:hAnsi="宋体"/>
                <w:color w:val="auto"/>
                <w:szCs w:val="21"/>
                <w:highlight w:val="none"/>
              </w:rPr>
            </w:pPr>
          </w:p>
        </w:tc>
        <w:tc>
          <w:tcPr>
            <w:tcW w:w="1418" w:type="dxa"/>
            <w:noWrap w:val="0"/>
            <w:vAlign w:val="top"/>
          </w:tcPr>
          <w:p>
            <w:pPr>
              <w:spacing w:line="400" w:lineRule="exact"/>
              <w:ind w:firstLine="420" w:firstLineChars="200"/>
              <w:rPr>
                <w:rFonts w:ascii="宋体" w:hAnsi="宋体"/>
                <w:color w:val="auto"/>
                <w:szCs w:val="21"/>
                <w:highlight w:val="none"/>
              </w:rPr>
            </w:pPr>
          </w:p>
        </w:tc>
        <w:tc>
          <w:tcPr>
            <w:tcW w:w="1418" w:type="dxa"/>
            <w:noWrap w:val="0"/>
            <w:vAlign w:val="top"/>
          </w:tcPr>
          <w:p>
            <w:pPr>
              <w:spacing w:line="400" w:lineRule="exact"/>
              <w:ind w:firstLine="420" w:firstLineChars="200"/>
              <w:rPr>
                <w:rFonts w:ascii="宋体" w:hAnsi="宋体"/>
                <w:color w:val="auto"/>
                <w:szCs w:val="21"/>
                <w:highlight w:val="none"/>
              </w:rPr>
            </w:pPr>
          </w:p>
        </w:tc>
        <w:tc>
          <w:tcPr>
            <w:tcW w:w="2917" w:type="dxa"/>
            <w:noWrap w:val="0"/>
            <w:vAlign w:val="top"/>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pPr>
              <w:spacing w:line="400" w:lineRule="exact"/>
              <w:ind w:firstLine="420" w:firstLineChars="200"/>
              <w:rPr>
                <w:rFonts w:ascii="宋体" w:hAnsi="宋体"/>
                <w:color w:val="auto"/>
                <w:szCs w:val="21"/>
                <w:highlight w:val="none"/>
              </w:rPr>
            </w:pP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2917" w:type="dxa"/>
            <w:noWrap w:val="0"/>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pPr>
              <w:spacing w:line="400" w:lineRule="exact"/>
              <w:ind w:firstLine="420" w:firstLineChars="200"/>
              <w:rPr>
                <w:rFonts w:ascii="宋体" w:hAnsi="宋体"/>
                <w:color w:val="auto"/>
                <w:szCs w:val="21"/>
                <w:highlight w:val="none"/>
              </w:rPr>
            </w:pPr>
          </w:p>
        </w:tc>
        <w:tc>
          <w:tcPr>
            <w:tcW w:w="1418" w:type="dxa"/>
            <w:noWrap w:val="0"/>
            <w:vAlign w:val="top"/>
          </w:tcPr>
          <w:p>
            <w:pPr>
              <w:spacing w:line="400" w:lineRule="exact"/>
              <w:ind w:firstLine="420" w:firstLineChars="200"/>
              <w:rPr>
                <w:rFonts w:ascii="宋体" w:hAnsi="宋体"/>
                <w:color w:val="auto"/>
                <w:szCs w:val="21"/>
                <w:highlight w:val="none"/>
              </w:rPr>
            </w:pPr>
          </w:p>
        </w:tc>
        <w:tc>
          <w:tcPr>
            <w:tcW w:w="1418" w:type="dxa"/>
            <w:noWrap w:val="0"/>
            <w:vAlign w:val="top"/>
          </w:tcPr>
          <w:p>
            <w:pPr>
              <w:spacing w:line="400" w:lineRule="exact"/>
              <w:ind w:firstLine="420" w:firstLineChars="200"/>
              <w:rPr>
                <w:rFonts w:ascii="宋体" w:hAnsi="宋体"/>
                <w:color w:val="auto"/>
                <w:szCs w:val="21"/>
                <w:highlight w:val="none"/>
              </w:rPr>
            </w:pPr>
          </w:p>
        </w:tc>
        <w:tc>
          <w:tcPr>
            <w:tcW w:w="2917" w:type="dxa"/>
            <w:noWrap w:val="0"/>
            <w:vAlign w:val="top"/>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pPr>
              <w:spacing w:line="400" w:lineRule="exact"/>
              <w:ind w:firstLine="420" w:firstLineChars="200"/>
              <w:rPr>
                <w:rFonts w:ascii="宋体" w:hAnsi="宋体"/>
                <w:color w:val="auto"/>
                <w:szCs w:val="21"/>
                <w:highlight w:val="none"/>
              </w:rPr>
            </w:pPr>
          </w:p>
        </w:tc>
        <w:tc>
          <w:tcPr>
            <w:tcW w:w="1418" w:type="dxa"/>
            <w:noWrap w:val="0"/>
            <w:vAlign w:val="top"/>
          </w:tcPr>
          <w:p>
            <w:pPr>
              <w:spacing w:line="400" w:lineRule="exact"/>
              <w:ind w:firstLine="420" w:firstLineChars="200"/>
              <w:rPr>
                <w:rFonts w:ascii="宋体" w:hAnsi="宋体"/>
                <w:color w:val="auto"/>
                <w:szCs w:val="21"/>
                <w:highlight w:val="none"/>
              </w:rPr>
            </w:pPr>
          </w:p>
        </w:tc>
        <w:tc>
          <w:tcPr>
            <w:tcW w:w="1418" w:type="dxa"/>
            <w:noWrap w:val="0"/>
            <w:vAlign w:val="top"/>
          </w:tcPr>
          <w:p>
            <w:pPr>
              <w:spacing w:line="400" w:lineRule="exact"/>
              <w:ind w:firstLine="420" w:firstLineChars="200"/>
              <w:rPr>
                <w:rFonts w:ascii="宋体" w:hAnsi="宋体"/>
                <w:color w:val="auto"/>
                <w:szCs w:val="21"/>
                <w:highlight w:val="none"/>
              </w:rPr>
            </w:pPr>
          </w:p>
        </w:tc>
        <w:tc>
          <w:tcPr>
            <w:tcW w:w="2917" w:type="dxa"/>
            <w:noWrap w:val="0"/>
            <w:vAlign w:val="top"/>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pPr>
              <w:spacing w:line="400" w:lineRule="exact"/>
              <w:ind w:firstLine="420" w:firstLineChars="200"/>
              <w:rPr>
                <w:rFonts w:ascii="宋体" w:hAnsi="宋体"/>
                <w:color w:val="auto"/>
                <w:szCs w:val="21"/>
                <w:highlight w:val="none"/>
              </w:rPr>
            </w:pPr>
          </w:p>
        </w:tc>
        <w:tc>
          <w:tcPr>
            <w:tcW w:w="1418" w:type="dxa"/>
            <w:noWrap w:val="0"/>
            <w:vAlign w:val="top"/>
          </w:tcPr>
          <w:p>
            <w:pPr>
              <w:spacing w:line="400" w:lineRule="exact"/>
              <w:ind w:firstLine="420" w:firstLineChars="200"/>
              <w:rPr>
                <w:rFonts w:ascii="宋体" w:hAnsi="宋体"/>
                <w:color w:val="auto"/>
                <w:szCs w:val="21"/>
                <w:highlight w:val="none"/>
              </w:rPr>
            </w:pPr>
          </w:p>
        </w:tc>
        <w:tc>
          <w:tcPr>
            <w:tcW w:w="1418" w:type="dxa"/>
            <w:noWrap w:val="0"/>
            <w:vAlign w:val="top"/>
          </w:tcPr>
          <w:p>
            <w:pPr>
              <w:spacing w:line="400" w:lineRule="exact"/>
              <w:ind w:firstLine="420" w:firstLineChars="200"/>
              <w:rPr>
                <w:rFonts w:ascii="宋体" w:hAnsi="宋体"/>
                <w:color w:val="auto"/>
                <w:szCs w:val="21"/>
                <w:highlight w:val="none"/>
              </w:rPr>
            </w:pPr>
          </w:p>
        </w:tc>
        <w:tc>
          <w:tcPr>
            <w:tcW w:w="2917" w:type="dxa"/>
            <w:noWrap w:val="0"/>
            <w:vAlign w:val="top"/>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pPr>
              <w:spacing w:line="400" w:lineRule="exact"/>
              <w:ind w:firstLine="420" w:firstLineChars="200"/>
              <w:rPr>
                <w:rFonts w:ascii="宋体" w:hAnsi="宋体"/>
                <w:color w:val="auto"/>
                <w:szCs w:val="21"/>
                <w:highlight w:val="none"/>
              </w:rPr>
            </w:pPr>
          </w:p>
        </w:tc>
        <w:tc>
          <w:tcPr>
            <w:tcW w:w="1418" w:type="dxa"/>
            <w:noWrap w:val="0"/>
            <w:vAlign w:val="top"/>
          </w:tcPr>
          <w:p>
            <w:pPr>
              <w:spacing w:line="400" w:lineRule="exact"/>
              <w:ind w:firstLine="420" w:firstLineChars="200"/>
              <w:rPr>
                <w:rFonts w:ascii="宋体" w:hAnsi="宋体"/>
                <w:color w:val="auto"/>
                <w:szCs w:val="21"/>
                <w:highlight w:val="none"/>
              </w:rPr>
            </w:pPr>
          </w:p>
        </w:tc>
        <w:tc>
          <w:tcPr>
            <w:tcW w:w="1418" w:type="dxa"/>
            <w:noWrap w:val="0"/>
            <w:vAlign w:val="top"/>
          </w:tcPr>
          <w:p>
            <w:pPr>
              <w:spacing w:line="400" w:lineRule="exact"/>
              <w:ind w:firstLine="420" w:firstLineChars="200"/>
              <w:rPr>
                <w:rFonts w:ascii="宋体" w:hAnsi="宋体"/>
                <w:color w:val="auto"/>
                <w:szCs w:val="21"/>
                <w:highlight w:val="none"/>
              </w:rPr>
            </w:pPr>
          </w:p>
        </w:tc>
        <w:tc>
          <w:tcPr>
            <w:tcW w:w="2917" w:type="dxa"/>
            <w:noWrap w:val="0"/>
            <w:vAlign w:val="top"/>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pPr>
              <w:spacing w:line="400" w:lineRule="exact"/>
              <w:ind w:firstLine="420" w:firstLineChars="200"/>
              <w:rPr>
                <w:rFonts w:ascii="宋体" w:hAnsi="宋体"/>
                <w:color w:val="auto"/>
                <w:szCs w:val="21"/>
                <w:highlight w:val="none"/>
              </w:rPr>
            </w:pPr>
          </w:p>
        </w:tc>
        <w:tc>
          <w:tcPr>
            <w:tcW w:w="1418" w:type="dxa"/>
            <w:noWrap w:val="0"/>
            <w:vAlign w:val="top"/>
          </w:tcPr>
          <w:p>
            <w:pPr>
              <w:spacing w:line="400" w:lineRule="exact"/>
              <w:ind w:firstLine="420" w:firstLineChars="200"/>
              <w:rPr>
                <w:rFonts w:ascii="宋体" w:hAnsi="宋体"/>
                <w:color w:val="auto"/>
                <w:szCs w:val="21"/>
                <w:highlight w:val="none"/>
              </w:rPr>
            </w:pPr>
          </w:p>
        </w:tc>
        <w:tc>
          <w:tcPr>
            <w:tcW w:w="1418" w:type="dxa"/>
            <w:noWrap w:val="0"/>
            <w:vAlign w:val="top"/>
          </w:tcPr>
          <w:p>
            <w:pPr>
              <w:spacing w:line="400" w:lineRule="exact"/>
              <w:ind w:firstLine="420" w:firstLineChars="200"/>
              <w:rPr>
                <w:rFonts w:ascii="宋体" w:hAnsi="宋体"/>
                <w:color w:val="auto"/>
                <w:szCs w:val="21"/>
                <w:highlight w:val="none"/>
              </w:rPr>
            </w:pPr>
          </w:p>
        </w:tc>
        <w:tc>
          <w:tcPr>
            <w:tcW w:w="2917" w:type="dxa"/>
            <w:noWrap w:val="0"/>
            <w:vAlign w:val="top"/>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pPr>
              <w:spacing w:line="400" w:lineRule="exact"/>
              <w:ind w:firstLine="420" w:firstLineChars="200"/>
              <w:rPr>
                <w:rFonts w:ascii="宋体" w:hAnsi="宋体"/>
                <w:color w:val="auto"/>
                <w:szCs w:val="21"/>
                <w:highlight w:val="none"/>
              </w:rPr>
            </w:pPr>
          </w:p>
        </w:tc>
        <w:tc>
          <w:tcPr>
            <w:tcW w:w="1418" w:type="dxa"/>
            <w:noWrap w:val="0"/>
            <w:vAlign w:val="top"/>
          </w:tcPr>
          <w:p>
            <w:pPr>
              <w:spacing w:line="400" w:lineRule="exact"/>
              <w:ind w:firstLine="420" w:firstLineChars="200"/>
              <w:rPr>
                <w:rFonts w:ascii="宋体" w:hAnsi="宋体"/>
                <w:color w:val="auto"/>
                <w:szCs w:val="21"/>
                <w:highlight w:val="none"/>
              </w:rPr>
            </w:pPr>
          </w:p>
        </w:tc>
        <w:tc>
          <w:tcPr>
            <w:tcW w:w="1418" w:type="dxa"/>
            <w:noWrap w:val="0"/>
            <w:vAlign w:val="top"/>
          </w:tcPr>
          <w:p>
            <w:pPr>
              <w:spacing w:line="400" w:lineRule="exact"/>
              <w:ind w:firstLine="420" w:firstLineChars="200"/>
              <w:rPr>
                <w:rFonts w:ascii="宋体" w:hAnsi="宋体"/>
                <w:color w:val="auto"/>
                <w:szCs w:val="21"/>
                <w:highlight w:val="none"/>
              </w:rPr>
            </w:pPr>
          </w:p>
        </w:tc>
        <w:tc>
          <w:tcPr>
            <w:tcW w:w="2917" w:type="dxa"/>
            <w:noWrap w:val="0"/>
            <w:vAlign w:val="top"/>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pPr>
              <w:spacing w:line="400" w:lineRule="exact"/>
              <w:ind w:firstLine="420" w:firstLineChars="200"/>
              <w:rPr>
                <w:rFonts w:ascii="宋体" w:hAnsi="宋体"/>
                <w:color w:val="auto"/>
                <w:szCs w:val="21"/>
                <w:highlight w:val="none"/>
              </w:rPr>
            </w:pPr>
          </w:p>
        </w:tc>
        <w:tc>
          <w:tcPr>
            <w:tcW w:w="1418" w:type="dxa"/>
            <w:noWrap w:val="0"/>
            <w:vAlign w:val="top"/>
          </w:tcPr>
          <w:p>
            <w:pPr>
              <w:spacing w:line="400" w:lineRule="exact"/>
              <w:ind w:firstLine="420" w:firstLineChars="200"/>
              <w:rPr>
                <w:rFonts w:ascii="宋体" w:hAnsi="宋体"/>
                <w:color w:val="auto"/>
                <w:szCs w:val="21"/>
                <w:highlight w:val="none"/>
              </w:rPr>
            </w:pPr>
          </w:p>
        </w:tc>
        <w:tc>
          <w:tcPr>
            <w:tcW w:w="1418" w:type="dxa"/>
            <w:noWrap w:val="0"/>
            <w:vAlign w:val="top"/>
          </w:tcPr>
          <w:p>
            <w:pPr>
              <w:spacing w:line="400" w:lineRule="exact"/>
              <w:ind w:firstLine="420" w:firstLineChars="200"/>
              <w:rPr>
                <w:rFonts w:ascii="宋体" w:hAnsi="宋体"/>
                <w:color w:val="auto"/>
                <w:szCs w:val="21"/>
                <w:highlight w:val="none"/>
              </w:rPr>
            </w:pPr>
          </w:p>
        </w:tc>
        <w:tc>
          <w:tcPr>
            <w:tcW w:w="2917" w:type="dxa"/>
            <w:noWrap w:val="0"/>
            <w:vAlign w:val="top"/>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pPr>
              <w:spacing w:line="400" w:lineRule="exact"/>
              <w:ind w:firstLine="420" w:firstLineChars="200"/>
              <w:rPr>
                <w:rFonts w:ascii="宋体" w:hAnsi="宋体"/>
                <w:color w:val="auto"/>
                <w:szCs w:val="21"/>
                <w:highlight w:val="none"/>
              </w:rPr>
            </w:pPr>
          </w:p>
        </w:tc>
        <w:tc>
          <w:tcPr>
            <w:tcW w:w="1418" w:type="dxa"/>
            <w:noWrap w:val="0"/>
            <w:vAlign w:val="top"/>
          </w:tcPr>
          <w:p>
            <w:pPr>
              <w:spacing w:line="400" w:lineRule="exact"/>
              <w:ind w:firstLine="420" w:firstLineChars="200"/>
              <w:rPr>
                <w:rFonts w:ascii="宋体" w:hAnsi="宋体"/>
                <w:color w:val="auto"/>
                <w:szCs w:val="21"/>
                <w:highlight w:val="none"/>
              </w:rPr>
            </w:pPr>
          </w:p>
        </w:tc>
        <w:tc>
          <w:tcPr>
            <w:tcW w:w="1418" w:type="dxa"/>
            <w:noWrap w:val="0"/>
            <w:vAlign w:val="top"/>
          </w:tcPr>
          <w:p>
            <w:pPr>
              <w:spacing w:line="400" w:lineRule="exact"/>
              <w:ind w:firstLine="420" w:firstLineChars="200"/>
              <w:rPr>
                <w:rFonts w:ascii="宋体" w:hAnsi="宋体"/>
                <w:color w:val="auto"/>
                <w:szCs w:val="21"/>
                <w:highlight w:val="none"/>
              </w:rPr>
            </w:pPr>
          </w:p>
        </w:tc>
        <w:tc>
          <w:tcPr>
            <w:tcW w:w="2917" w:type="dxa"/>
            <w:noWrap w:val="0"/>
            <w:vAlign w:val="top"/>
          </w:tcPr>
          <w:p>
            <w:pPr>
              <w:spacing w:line="400" w:lineRule="exact"/>
              <w:ind w:firstLine="420" w:firstLineChars="200"/>
              <w:rPr>
                <w:rFonts w:ascii="宋体" w:hAnsi="宋体"/>
                <w:color w:val="auto"/>
                <w:szCs w:val="21"/>
                <w:highlight w:val="none"/>
              </w:rPr>
            </w:pPr>
          </w:p>
        </w:tc>
      </w:tr>
    </w:tbl>
    <w:p>
      <w:pPr>
        <w:spacing w:line="360" w:lineRule="auto"/>
        <w:ind w:firstLine="420" w:firstLineChars="200"/>
        <w:rPr>
          <w:rFonts w:ascii="宋体" w:hAnsi="宋体"/>
          <w:color w:val="auto"/>
          <w:szCs w:val="21"/>
          <w:highlight w:val="none"/>
        </w:rPr>
      </w:pPr>
    </w:p>
    <w:p>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w:t>
      </w:r>
      <w:bookmarkStart w:id="1109" w:name="_Toc296891268"/>
      <w:bookmarkStart w:id="1110" w:name="_Toc267261699"/>
      <w:bookmarkStart w:id="1111" w:name="_Toc296944567"/>
      <w:bookmarkStart w:id="1112" w:name="_Toc296347227"/>
      <w:bookmarkStart w:id="1113" w:name="_Toc296891056"/>
      <w:bookmarkStart w:id="1114" w:name="_Toc296503228"/>
      <w:bookmarkStart w:id="1115" w:name="_Toc296346729"/>
      <w:r>
        <w:rPr>
          <w:rFonts w:hint="eastAsia" w:ascii="宋体" w:hAnsi="宋体"/>
          <w:color w:val="auto"/>
          <w:szCs w:val="21"/>
          <w:highlight w:val="none"/>
        </w:rPr>
        <w:t>件3：</w:t>
      </w:r>
    </w:p>
    <w:bookmarkEnd w:id="1109"/>
    <w:bookmarkEnd w:id="1110"/>
    <w:bookmarkEnd w:id="1111"/>
    <w:bookmarkEnd w:id="1112"/>
    <w:bookmarkEnd w:id="1113"/>
    <w:bookmarkEnd w:id="1114"/>
    <w:bookmarkEnd w:id="1115"/>
    <w:p>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承包人项目管理机构组成表</w:t>
      </w:r>
    </w:p>
    <w:tbl>
      <w:tblPr>
        <w:tblStyle w:val="46"/>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名    称</w:t>
            </w:r>
          </w:p>
        </w:tc>
        <w:tc>
          <w:tcPr>
            <w:tcW w:w="1418"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姓名</w:t>
            </w:r>
          </w:p>
        </w:tc>
        <w:tc>
          <w:tcPr>
            <w:tcW w:w="1134"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职务</w:t>
            </w:r>
          </w:p>
        </w:tc>
        <w:tc>
          <w:tcPr>
            <w:tcW w:w="1134"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职称</w:t>
            </w:r>
          </w:p>
        </w:tc>
        <w:tc>
          <w:tcPr>
            <w:tcW w:w="4252"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7" w:hRule="atLeast"/>
          <w:jc w:val="center"/>
        </w:trPr>
        <w:tc>
          <w:tcPr>
            <w:tcW w:w="9809" w:type="dxa"/>
            <w:gridSpan w:val="5"/>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项目主管</w:t>
            </w: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4252" w:type="dxa"/>
            <w:noWrap w:val="0"/>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spacing w:line="400" w:lineRule="exact"/>
              <w:jc w:val="center"/>
              <w:rPr>
                <w:rFonts w:ascii="宋体" w:hAnsi="宋体"/>
                <w:color w:val="auto"/>
                <w:szCs w:val="21"/>
                <w:highlight w:val="none"/>
              </w:rPr>
            </w:pP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4252" w:type="dxa"/>
            <w:noWrap w:val="0"/>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其他人员</w:t>
            </w: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4252" w:type="dxa"/>
            <w:noWrap w:val="0"/>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spacing w:line="400" w:lineRule="exact"/>
              <w:jc w:val="center"/>
              <w:rPr>
                <w:rFonts w:ascii="宋体" w:hAnsi="宋体"/>
                <w:color w:val="auto"/>
                <w:szCs w:val="21"/>
                <w:highlight w:val="none"/>
              </w:rPr>
            </w:pP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4252" w:type="dxa"/>
            <w:noWrap w:val="0"/>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项目经理</w:t>
            </w: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4252" w:type="dxa"/>
            <w:noWrap w:val="0"/>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项目副经理</w:t>
            </w: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4252" w:type="dxa"/>
            <w:noWrap w:val="0"/>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技术负责人</w:t>
            </w: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4252" w:type="dxa"/>
            <w:noWrap w:val="0"/>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造价管理</w:t>
            </w: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4252" w:type="dxa"/>
            <w:noWrap w:val="0"/>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质量管理</w:t>
            </w: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4252" w:type="dxa"/>
            <w:noWrap w:val="0"/>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材料管理</w:t>
            </w: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4252" w:type="dxa"/>
            <w:noWrap w:val="0"/>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计划管理</w:t>
            </w: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4252" w:type="dxa"/>
            <w:noWrap w:val="0"/>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安全管理</w:t>
            </w: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4252" w:type="dxa"/>
            <w:noWrap w:val="0"/>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其他人员</w:t>
            </w: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4252" w:type="dxa"/>
            <w:noWrap w:val="0"/>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spacing w:line="400" w:lineRule="exact"/>
              <w:ind w:firstLine="420" w:firstLineChars="200"/>
              <w:rPr>
                <w:rFonts w:ascii="宋体" w:hAnsi="宋体"/>
                <w:color w:val="auto"/>
                <w:szCs w:val="21"/>
                <w:highlight w:val="none"/>
              </w:rPr>
            </w:pP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4252" w:type="dxa"/>
            <w:noWrap w:val="0"/>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spacing w:line="400" w:lineRule="exact"/>
              <w:ind w:firstLine="420" w:firstLineChars="200"/>
              <w:rPr>
                <w:rFonts w:ascii="宋体" w:hAnsi="宋体"/>
                <w:color w:val="auto"/>
                <w:szCs w:val="21"/>
                <w:highlight w:val="none"/>
              </w:rPr>
            </w:pP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4252" w:type="dxa"/>
            <w:noWrap w:val="0"/>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1871" w:type="dxa"/>
            <w:vMerge w:val="continue"/>
            <w:noWrap w:val="0"/>
            <w:vAlign w:val="center"/>
          </w:tcPr>
          <w:p>
            <w:pPr>
              <w:spacing w:line="400" w:lineRule="exact"/>
              <w:ind w:firstLine="420" w:firstLineChars="200"/>
              <w:rPr>
                <w:rFonts w:ascii="宋体" w:hAnsi="宋体"/>
                <w:color w:val="auto"/>
                <w:szCs w:val="21"/>
                <w:highlight w:val="none"/>
              </w:rPr>
            </w:pP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4252" w:type="dxa"/>
            <w:noWrap w:val="0"/>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0" w:hRule="atLeast"/>
          <w:jc w:val="center"/>
        </w:trPr>
        <w:tc>
          <w:tcPr>
            <w:tcW w:w="1871" w:type="dxa"/>
            <w:vMerge w:val="continue"/>
            <w:noWrap w:val="0"/>
            <w:vAlign w:val="center"/>
          </w:tcPr>
          <w:p>
            <w:pPr>
              <w:spacing w:line="400" w:lineRule="exact"/>
              <w:ind w:firstLine="420" w:firstLineChars="200"/>
              <w:rPr>
                <w:rFonts w:ascii="宋体" w:hAnsi="宋体"/>
                <w:color w:val="auto"/>
                <w:szCs w:val="21"/>
                <w:highlight w:val="none"/>
              </w:rPr>
            </w:pP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4252" w:type="dxa"/>
            <w:noWrap w:val="0"/>
            <w:vAlign w:val="center"/>
          </w:tcPr>
          <w:p>
            <w:pPr>
              <w:spacing w:line="400" w:lineRule="exact"/>
              <w:ind w:firstLine="420" w:firstLineChars="200"/>
              <w:rPr>
                <w:rFonts w:ascii="宋体" w:hAnsi="宋体"/>
                <w:color w:val="auto"/>
                <w:szCs w:val="21"/>
                <w:highlight w:val="none"/>
              </w:rPr>
            </w:pPr>
          </w:p>
        </w:tc>
      </w:tr>
    </w:tbl>
    <w:p>
      <w:pPr>
        <w:spacing w:line="480" w:lineRule="auto"/>
        <w:rPr>
          <w:rFonts w:ascii="宋体" w:hAnsi="宋体"/>
          <w:color w:val="auto"/>
          <w:szCs w:val="21"/>
          <w:highlight w:val="none"/>
        </w:rPr>
      </w:pPr>
      <w:r>
        <w:rPr>
          <w:rFonts w:hint="eastAsia" w:ascii="宋体" w:hAnsi="宋体"/>
          <w:color w:val="auto"/>
          <w:szCs w:val="21"/>
          <w:highlight w:val="none"/>
        </w:rPr>
        <w:br w:type="page"/>
      </w:r>
      <w:bookmarkStart w:id="1116" w:name="_Toc267261701"/>
      <w:r>
        <w:rPr>
          <w:rFonts w:hint="eastAsia" w:ascii="宋体" w:hAnsi="宋体"/>
          <w:color w:val="auto"/>
          <w:szCs w:val="21"/>
          <w:highlight w:val="none"/>
        </w:rPr>
        <w:t>附</w:t>
      </w:r>
      <w:bookmarkStart w:id="1117" w:name="_Toc296347230"/>
      <w:bookmarkStart w:id="1118" w:name="_Toc296891059"/>
      <w:bookmarkStart w:id="1119" w:name="_Toc296503231"/>
      <w:bookmarkStart w:id="1120" w:name="_Toc296346732"/>
      <w:bookmarkStart w:id="1121" w:name="_Toc296891271"/>
      <w:bookmarkStart w:id="1122" w:name="_Toc296944570"/>
      <w:r>
        <w:rPr>
          <w:rFonts w:hint="eastAsia" w:ascii="宋体" w:hAnsi="宋体"/>
          <w:color w:val="auto"/>
          <w:szCs w:val="21"/>
          <w:highlight w:val="none"/>
        </w:rPr>
        <w:t>件4：</w:t>
      </w:r>
    </w:p>
    <w:bookmarkEnd w:id="1116"/>
    <w:bookmarkEnd w:id="1117"/>
    <w:bookmarkEnd w:id="1118"/>
    <w:bookmarkEnd w:id="1119"/>
    <w:bookmarkEnd w:id="1120"/>
    <w:bookmarkEnd w:id="1121"/>
    <w:bookmarkEnd w:id="1122"/>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履约担保（如有）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rPr>
        <w:t>（发包人名称）：</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鉴于</w:t>
      </w:r>
      <w:r>
        <w:rPr>
          <w:rFonts w:hint="eastAsia" w:ascii="宋体" w:hAnsi="宋体"/>
          <w:color w:val="auto"/>
          <w:szCs w:val="21"/>
          <w:highlight w:val="none"/>
          <w:u w:val="single"/>
        </w:rPr>
        <w:t xml:space="preserve">                </w:t>
      </w:r>
      <w:r>
        <w:rPr>
          <w:rFonts w:hint="eastAsia" w:ascii="宋体" w:hAnsi="宋体"/>
          <w:color w:val="auto"/>
          <w:szCs w:val="21"/>
          <w:highlight w:val="none"/>
        </w:rPr>
        <w:t>（发包人名称，以下简称“发包人”）与</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（承包人名称）（以下称“承包人”）于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日就</w:t>
      </w:r>
      <w:r>
        <w:rPr>
          <w:rFonts w:hint="eastAsia" w:ascii="宋体" w:hAnsi="宋体"/>
          <w:color w:val="auto"/>
          <w:szCs w:val="21"/>
          <w:highlight w:val="none"/>
          <w:u w:val="single"/>
        </w:rPr>
        <w:t xml:space="preserve">                         </w:t>
      </w:r>
      <w:r>
        <w:rPr>
          <w:rFonts w:hint="eastAsia" w:ascii="宋体" w:hAnsi="宋体"/>
          <w:color w:val="auto"/>
          <w:szCs w:val="21"/>
          <w:highlight w:val="none"/>
        </w:rPr>
        <w:t>（工程名称）施工及有关事项协商一致共同签订《建设工程施工合同》。我方愿意无条件地、不可撤销地就承包人履行与你方签订的合同，向你方提供连带责任担保。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担保金额人民币（大写）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担保有效期：</w:t>
      </w:r>
      <w:r>
        <w:rPr>
          <w:rFonts w:hint="eastAsia" w:ascii="宋体" w:hAnsi="宋体"/>
          <w:color w:val="auto"/>
          <w:szCs w:val="21"/>
          <w:highlight w:val="none"/>
          <w:u w:val="single"/>
        </w:rPr>
        <w:t>自</w:t>
      </w:r>
      <w:r>
        <w:rPr>
          <w:rStyle w:val="55"/>
          <w:rFonts w:hint="eastAsia"/>
          <w:color w:val="auto"/>
          <w:highlight w:val="none"/>
        </w:rPr>
        <w:t>我</w:t>
      </w:r>
      <w:r>
        <w:rPr>
          <w:rFonts w:hint="eastAsia" w:ascii="宋体" w:hAnsi="宋体"/>
          <w:color w:val="auto"/>
          <w:szCs w:val="21"/>
          <w:highlight w:val="none"/>
          <w:u w:val="single"/>
        </w:rPr>
        <w:t>方法定代表人（或其委托代理人）签字并加盖公章之日起至你方签发或应签发工程接收证书之日止</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在本担保有效期内，因承包人违反合同约定的义务给你方造成经济损失时，我方在收到你方以书面形式提出的在担保金额内的赔偿要求后，在7天内无条件支付。</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 你方和承包人按合同约定变更合同时，我方承担本担保规定的义务不变。</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 因本保函发生的纠纷，可由双方协商解决，协商不成的，按下列第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种方式解决：</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（1）向</w:t>
      </w:r>
      <w:r>
        <w:rPr>
          <w:rFonts w:hint="eastAsia" w:ascii="宋体" w:hAnsi="宋体"/>
          <w:color w:val="auto"/>
          <w:szCs w:val="21"/>
          <w:highlight w:val="none"/>
          <w:u w:val="single"/>
        </w:rPr>
        <w:t xml:space="preserve">                     </w:t>
      </w:r>
      <w:r>
        <w:rPr>
          <w:rFonts w:hint="eastAsia" w:ascii="宋体" w:hAnsi="宋体"/>
          <w:color w:val="auto"/>
          <w:szCs w:val="21"/>
          <w:highlight w:val="none"/>
        </w:rPr>
        <w:t>仲裁委员会申请仲裁；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（2）向</w:t>
      </w:r>
      <w:r>
        <w:rPr>
          <w:rFonts w:hint="eastAsia" w:ascii="宋体" w:hAnsi="宋体"/>
          <w:color w:val="auto"/>
          <w:szCs w:val="21"/>
          <w:highlight w:val="none"/>
          <w:u w:val="single"/>
        </w:rPr>
        <w:t xml:space="preserve">                     </w:t>
      </w:r>
      <w:r>
        <w:rPr>
          <w:rFonts w:hint="eastAsia" w:ascii="宋体" w:hAnsi="宋体"/>
          <w:color w:val="auto"/>
          <w:szCs w:val="21"/>
          <w:highlight w:val="none"/>
        </w:rPr>
        <w:t>人民法院起诉。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 本保函自我方法定代表人（或其委托代理人）签字并加盖公章之日起生效。</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担 保 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电    话：</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传    真：</w:t>
      </w:r>
      <w:r>
        <w:rPr>
          <w:rFonts w:hint="eastAsia" w:ascii="宋体" w:hAnsi="宋体"/>
          <w:color w:val="auto"/>
          <w:szCs w:val="21"/>
          <w:highlight w:val="none"/>
          <w:u w:val="single"/>
        </w:rPr>
        <w:t xml:space="preserve">                                      </w:t>
      </w:r>
    </w:p>
    <w:p>
      <w:pPr>
        <w:spacing w:line="360" w:lineRule="auto"/>
        <w:ind w:firstLine="420" w:firstLineChars="200"/>
        <w:jc w:val="left"/>
        <w:rPr>
          <w:rFonts w:ascii="宋体" w:hAnsi="宋体"/>
          <w:color w:val="auto"/>
          <w:szCs w:val="21"/>
          <w:highlight w:val="none"/>
          <w:u w:val="single"/>
        </w:rPr>
      </w:pPr>
    </w:p>
    <w:p>
      <w:pPr>
        <w:spacing w:line="360" w:lineRule="auto"/>
        <w:ind w:firstLine="420" w:firstLineChars="200"/>
        <w:jc w:val="left"/>
        <w:rPr>
          <w:rFonts w:ascii="宋体" w:hAnsi="宋体"/>
          <w:color w:val="auto"/>
          <w:szCs w:val="21"/>
          <w:highlight w:val="none"/>
          <w:u w:val="single"/>
        </w:rPr>
      </w:pP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widowControl/>
        <w:spacing w:line="360" w:lineRule="auto"/>
        <w:jc w:val="left"/>
        <w:rPr>
          <w:rFonts w:ascii="宋体" w:hAnsi="宋体"/>
          <w:color w:val="auto"/>
          <w:szCs w:val="21"/>
          <w:highlight w:val="none"/>
        </w:rPr>
      </w:pPr>
    </w:p>
    <w:p>
      <w:pPr>
        <w:pStyle w:val="45"/>
        <w:rPr>
          <w:color w:val="auto"/>
          <w:highlight w:val="none"/>
        </w:rPr>
      </w:pPr>
    </w:p>
    <w:p>
      <w:pPr>
        <w:spacing w:line="480" w:lineRule="auto"/>
        <w:rPr>
          <w:rFonts w:ascii="宋体" w:hAnsi="宋体"/>
          <w:color w:val="auto"/>
          <w:szCs w:val="21"/>
          <w:highlight w:val="none"/>
        </w:rPr>
      </w:pPr>
      <w:r>
        <w:rPr>
          <w:rFonts w:hint="eastAsia" w:ascii="宋体" w:hAnsi="宋体"/>
          <w:color w:val="auto"/>
          <w:szCs w:val="21"/>
          <w:highlight w:val="none"/>
        </w:rPr>
        <w:t>附件</w:t>
      </w:r>
      <w:r>
        <w:rPr>
          <w:rFonts w:hint="eastAsia" w:ascii="宋体" w:hAnsi="宋体"/>
          <w:color w:val="auto"/>
          <w:szCs w:val="21"/>
          <w:highlight w:val="none"/>
          <w:lang w:val="en-US" w:eastAsia="zh-CN"/>
        </w:rPr>
        <w:t>5</w:t>
      </w:r>
      <w:r>
        <w:rPr>
          <w:rFonts w:hint="eastAsia" w:ascii="宋体" w:hAnsi="宋体"/>
          <w:color w:val="auto"/>
          <w:szCs w:val="21"/>
          <w:highlight w:val="none"/>
        </w:rPr>
        <w:t>：</w:t>
      </w:r>
    </w:p>
    <w:p>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廉洁从业协议</w:t>
      </w:r>
    </w:p>
    <w:p>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olor w:val="auto"/>
          <w:szCs w:val="21"/>
          <w:highlight w:val="none"/>
          <w:u w:val="single"/>
        </w:rPr>
        <w:t xml:space="preserve">                             </w:t>
      </w:r>
    </w:p>
    <w:p>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1. 发包人承包人的权利和义务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（1）严格遵守党的政策规定和国家有关法律法规及相关部门的有关规定。</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（2）严格执行 工程的合同文件，自觉按合同办事。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（3）双方的业务活动坚持公开、公正、诚信、透明的原则（法律认定的商业秘密和合同文件另有规定除外），不得损害国家和集体利益，违反工程建设管理规章制度。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（4）建立健全廉政制度，开展廉政教育，设立廉政告示牌，公布举报电话，监督并认真查处违法违纪行为。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（5）发现对方在业务活动中有违反廉政规定的行为，有及时提醒对方纠正的权利和义务。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（6）发现对方严重违反协议义务条款的行为，有向其上级有关部门举报、建议给予处理并要求告知处理结果的权利。</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发包人的义务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（1）发包人及其工作人员不得索要或接受承包人的礼金、有价证券和贵重物品，不得在承包人报销任何应由发包人或发包人工作人员个人支付的费用等。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（2）发包人工作人员不得参加承包人安排的超标准宴请和娱乐活动；不得接受承包人提供的通讯工具、交通工具和高档办公用品等。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（3）发包人及其工作人员不得要求或者接受承包人为其住房装修、婚丧嫁娶活动、配偶子女的工作安排以及出国出境、旅游等提供方便等。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（4）发包人工作人员及其配偶、子女不得从事与发包人工程有关的材料设备供应、工程分包、劳务等经济活动等。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（5）发包人及其工作人员不得以任何理由向承包人推荐分包单位或推销材料，不得要求承包人购买合同规定外的材料和设备。</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（6）发包人工作人员要秉公办事，不准营私舞弊，不准利用职权从事各种个人有偿中介活动和安排个人施工队伍。</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承包人义务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（1）承包人不得以任何理由向发包人及其工作人员行贿或馈赠礼金、有价证券、贵重礼品。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（2）承包人不得以任何名义为发包人及其工作人员报销应由发包人单位或个人支付的任何费用。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（3）承包人不得以任何理由安排发包人工作人员参加超标准宴请及娱乐活动。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（4）承包人不得为发包人单位和个人购置或提供通讯工具、交通工具和高档办公用品等。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 违约责任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（1）发包人及其工作人员违反合同第1、2条，按管理权限，依据有关规定给予党纪、政纪或组织处理；涉嫌犯罪的，移交司法机关追究刑事责任；给承包人单位造成经济损失的，应予以赔偿。</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（2）承包人及其工作人员违反合同第1、3条，按管理权限，依据有关规定给予党纪、政纪或组织处理；给发包人单位造成经济损失的，应予以赔偿。</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 协议有效期为甲乙双方签署之日起至该工程项目竣工验收后止。</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7.协议作为 工程施工合同的附件，与工程施工合同具有同等的法律效力，经合同双方签署立即生效。</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（以下无正文）</w:t>
      </w:r>
    </w:p>
    <w:p>
      <w:pPr>
        <w:spacing w:line="360" w:lineRule="auto"/>
        <w:rPr>
          <w:rFonts w:ascii="宋体" w:hAnsi="宋体"/>
          <w:color w:val="auto"/>
          <w:szCs w:val="21"/>
          <w:highlight w:val="none"/>
        </w:rPr>
      </w:pPr>
    </w:p>
    <w:p>
      <w:pPr>
        <w:pStyle w:val="2"/>
        <w:spacing w:line="360" w:lineRule="auto"/>
        <w:rPr>
          <w:rFonts w:ascii="宋体" w:hAnsi="宋体"/>
          <w:color w:val="auto"/>
          <w:szCs w:val="21"/>
          <w:highlight w:val="none"/>
        </w:rPr>
      </w:pPr>
    </w:p>
    <w:p>
      <w:pPr>
        <w:pStyle w:val="2"/>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甲     方：                         乙     方：</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 xml:space="preserve">法定代表人                          法定代表人                      </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或其授权的代理人：                  或授权的代理人：</w:t>
      </w:r>
    </w:p>
    <w:p>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附件</w:t>
      </w:r>
      <w:r>
        <w:rPr>
          <w:rFonts w:hint="eastAsia" w:ascii="宋体" w:hAnsi="宋体"/>
          <w:color w:val="auto"/>
          <w:szCs w:val="21"/>
          <w:highlight w:val="none"/>
          <w:lang w:val="en-US" w:eastAsia="zh-CN"/>
        </w:rPr>
        <w:t>6</w:t>
      </w:r>
      <w:r>
        <w:rPr>
          <w:rFonts w:hint="eastAsia" w:ascii="宋体" w:hAnsi="宋体"/>
          <w:color w:val="auto"/>
          <w:szCs w:val="21"/>
          <w:highlight w:val="none"/>
        </w:rPr>
        <w:t>：</w:t>
      </w:r>
    </w:p>
    <w:p>
      <w:pPr>
        <w:spacing w:before="156" w:beforeLines="50" w:after="156" w:afterLines="50" w:line="480" w:lineRule="auto"/>
        <w:jc w:val="center"/>
        <w:rPr>
          <w:rFonts w:ascii="宋体" w:hAnsi="宋体"/>
          <w:color w:val="auto"/>
          <w:szCs w:val="21"/>
          <w:highlight w:val="none"/>
        </w:rPr>
      </w:pPr>
      <w:bookmarkStart w:id="1123" w:name="_Toc247431422"/>
      <w:bookmarkStart w:id="1124" w:name="_Toc239510288"/>
      <w:bookmarkStart w:id="1125" w:name="_Toc435689499"/>
      <w:bookmarkStart w:id="1126" w:name="_Toc435690184"/>
      <w:bookmarkStart w:id="1127" w:name="_Toc448406299"/>
      <w:bookmarkStart w:id="1128" w:name="_Toc336680145"/>
      <w:r>
        <w:rPr>
          <w:rFonts w:hint="eastAsia" w:ascii="宋体" w:hAnsi="宋体"/>
          <w:color w:val="auto"/>
          <w:szCs w:val="21"/>
          <w:highlight w:val="none"/>
        </w:rPr>
        <w:t>安全管理协议</w:t>
      </w:r>
      <w:bookmarkEnd w:id="1123"/>
      <w:bookmarkEnd w:id="1124"/>
      <w:bookmarkEnd w:id="1125"/>
      <w:bookmarkEnd w:id="1126"/>
      <w:bookmarkEnd w:id="1127"/>
      <w:bookmarkEnd w:id="1128"/>
    </w:p>
    <w:p>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olor w:val="auto"/>
          <w:szCs w:val="21"/>
          <w:highlight w:val="none"/>
          <w:u w:val="single"/>
        </w:rPr>
        <w:t xml:space="preserve">                             </w:t>
      </w:r>
    </w:p>
    <w:p>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           </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为了确保实现</w:t>
      </w:r>
      <w:r>
        <w:rPr>
          <w:rFonts w:hint="eastAsia" w:ascii="宋体" w:hAnsi="宋体"/>
          <w:color w:val="auto"/>
          <w:szCs w:val="21"/>
          <w:highlight w:val="none"/>
          <w:u w:val="single"/>
        </w:rPr>
        <w:t xml:space="preserve">        </w:t>
      </w:r>
      <w:r>
        <w:rPr>
          <w:rFonts w:hint="eastAsia" w:ascii="宋体" w:hAnsi="宋体"/>
          <w:color w:val="auto"/>
          <w:szCs w:val="21"/>
          <w:highlight w:val="none"/>
        </w:rPr>
        <w:t>安全生产目标，进一步明确双方的安全管理责任，加强安全生产管理工作的协调、管理力度，</w:t>
      </w:r>
      <w:r>
        <w:rPr>
          <w:rFonts w:hint="eastAsia" w:ascii="宋体" w:hAnsi="宋体"/>
          <w:color w:val="auto"/>
          <w:szCs w:val="21"/>
          <w:highlight w:val="none"/>
          <w:u w:val="single"/>
        </w:rPr>
        <w:t xml:space="preserve">        </w:t>
      </w:r>
      <w:r>
        <w:rPr>
          <w:rFonts w:hint="eastAsia" w:ascii="宋体" w:hAnsi="宋体"/>
          <w:color w:val="auto"/>
          <w:szCs w:val="21"/>
          <w:highlight w:val="none"/>
        </w:rPr>
        <w:t>（以下简称“发包人”）与</w:t>
      </w:r>
      <w:r>
        <w:rPr>
          <w:rFonts w:hint="eastAsia" w:ascii="宋体" w:hAnsi="宋体"/>
          <w:color w:val="auto"/>
          <w:szCs w:val="21"/>
          <w:highlight w:val="none"/>
          <w:u w:val="single"/>
        </w:rPr>
        <w:t xml:space="preserve">        </w:t>
      </w:r>
      <w:r>
        <w:rPr>
          <w:rFonts w:hint="eastAsia" w:ascii="宋体" w:hAnsi="宋体"/>
          <w:color w:val="auto"/>
          <w:szCs w:val="21"/>
          <w:highlight w:val="none"/>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pPr>
        <w:spacing w:line="360" w:lineRule="auto"/>
        <w:ind w:firstLine="420" w:firstLineChars="200"/>
        <w:rPr>
          <w:rFonts w:ascii="宋体" w:hAnsi="宋体"/>
          <w:color w:val="auto"/>
          <w:szCs w:val="21"/>
          <w:highlight w:val="none"/>
        </w:rPr>
      </w:pPr>
      <w:bookmarkStart w:id="1129" w:name="_Toc247418263"/>
      <w:bookmarkStart w:id="1130" w:name="_Toc532375700"/>
      <w:bookmarkStart w:id="1131" w:name="_Toc247431423"/>
      <w:bookmarkStart w:id="1132" w:name="_Toc239510289"/>
      <w:r>
        <w:rPr>
          <w:rFonts w:hint="eastAsia" w:ascii="宋体" w:hAnsi="宋体"/>
          <w:color w:val="auto"/>
          <w:szCs w:val="21"/>
          <w:highlight w:val="none"/>
        </w:rPr>
        <w:t>一、协议有效期限</w:t>
      </w:r>
      <w:bookmarkEnd w:id="1129"/>
      <w:bookmarkEnd w:id="1130"/>
      <w:bookmarkEnd w:id="1131"/>
      <w:bookmarkEnd w:id="1132"/>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本协议中所涉及的安全管理责任自合同签订之日起开始生效，至合同工程全部完工验收且经发包人与承包人签订移交协议生效后之日终止。</w:t>
      </w:r>
    </w:p>
    <w:p>
      <w:pPr>
        <w:spacing w:line="360" w:lineRule="auto"/>
        <w:ind w:firstLine="420" w:firstLineChars="200"/>
        <w:rPr>
          <w:rFonts w:ascii="宋体" w:hAnsi="宋体"/>
          <w:color w:val="auto"/>
          <w:szCs w:val="21"/>
          <w:highlight w:val="none"/>
        </w:rPr>
      </w:pPr>
      <w:bookmarkStart w:id="1133" w:name="_Toc247418264"/>
      <w:bookmarkStart w:id="1134" w:name="_Toc247431424"/>
      <w:bookmarkStart w:id="1135" w:name="_Toc532375701"/>
      <w:bookmarkStart w:id="1136" w:name="_Toc239510290"/>
      <w:r>
        <w:rPr>
          <w:rFonts w:hint="eastAsia" w:ascii="宋体" w:hAnsi="宋体"/>
          <w:color w:val="auto"/>
          <w:szCs w:val="21"/>
          <w:highlight w:val="none"/>
        </w:rPr>
        <w:t>二、责任目标</w:t>
      </w:r>
      <w:bookmarkEnd w:id="1133"/>
      <w:bookmarkEnd w:id="1134"/>
      <w:bookmarkEnd w:id="1135"/>
      <w:bookmarkEnd w:id="1136"/>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（一）承包人承诺承担和履行合同和发包人所规定的安全责任，且满足要求。</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（二）承包人的安全控制目标是确保本工程在实施过程中：</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1．不发生人身重伤事故；</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2．不发生火灾事故；</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3．不发生负有同等及以上事故责任的造成人身重伤的一般交通事故；</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4．不发生集体食物中毒事件（同时5人及以上的食物中毒）；</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5．不发生流行性传染病 （无甲型传染病、其他常见传染病未形成多人同时患病）；</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6．不发生重大环境污染事件（生活、工业垃圾及其他污染物造成环境污染和大面积水土流失）；</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7．不发生对施工区附近生产、生活造成重大影响的事件（如造成重大设备损坏、重大财产损失、人员伤害等）；</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8．不发生治安保卫事件（构成刑事拘留及以上的事件、盗窃直接损失超过1万元人民币的事件）。</w:t>
      </w:r>
    </w:p>
    <w:p>
      <w:pPr>
        <w:spacing w:line="360" w:lineRule="auto"/>
        <w:ind w:firstLine="420" w:firstLineChars="200"/>
        <w:jc w:val="left"/>
        <w:rPr>
          <w:rFonts w:ascii="宋体" w:hAnsi="宋体"/>
          <w:color w:val="auto"/>
          <w:szCs w:val="21"/>
          <w:highlight w:val="none"/>
        </w:rPr>
      </w:pPr>
      <w:bookmarkStart w:id="1137" w:name="_Toc239510291"/>
      <w:bookmarkStart w:id="1138" w:name="_Toc247431425"/>
      <w:bookmarkStart w:id="1139" w:name="_Toc247418265"/>
      <w:r>
        <w:rPr>
          <w:rFonts w:hint="eastAsia" w:ascii="宋体" w:hAnsi="宋体"/>
          <w:color w:val="auto"/>
          <w:szCs w:val="21"/>
          <w:highlight w:val="none"/>
        </w:rPr>
        <w:t>（三）承包人承诺在施工中控制以下安全事故的发生：</w:t>
      </w:r>
      <w:bookmarkEnd w:id="1137"/>
      <w:bookmarkEnd w:id="1138"/>
      <w:bookmarkEnd w:id="1139"/>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1．人员轻伤事故。</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2．负有同等及以上事故责任的人身轻伤交通事故。</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3．其他安全未遂事故和异常事件。</w:t>
      </w:r>
    </w:p>
    <w:p>
      <w:pPr>
        <w:spacing w:line="360" w:lineRule="auto"/>
        <w:ind w:firstLine="420" w:firstLineChars="200"/>
        <w:rPr>
          <w:rFonts w:ascii="宋体" w:hAnsi="宋体"/>
          <w:color w:val="auto"/>
          <w:szCs w:val="21"/>
          <w:highlight w:val="none"/>
        </w:rPr>
      </w:pPr>
      <w:bookmarkStart w:id="1140" w:name="_Toc239510292"/>
      <w:bookmarkStart w:id="1141" w:name="_Toc247418266"/>
      <w:bookmarkStart w:id="1142" w:name="_Toc532375702"/>
      <w:bookmarkStart w:id="1143" w:name="_Toc247431426"/>
      <w:r>
        <w:rPr>
          <w:rFonts w:hint="eastAsia" w:ascii="宋体" w:hAnsi="宋体"/>
          <w:color w:val="auto"/>
          <w:szCs w:val="21"/>
          <w:highlight w:val="none"/>
        </w:rPr>
        <w:t>三、安全责任</w:t>
      </w:r>
      <w:bookmarkEnd w:id="1140"/>
      <w:bookmarkEnd w:id="1141"/>
      <w:bookmarkEnd w:id="1142"/>
      <w:bookmarkEnd w:id="1143"/>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1．承包人负有安全生产的管理责任和直接责任。</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2．承包人的法人或签署合同的公司总经理或受委托的代理人对合同安全负有全面的领导责任。</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3．承包人项目经理对施工现场的安全工作负有全面的直接领导责任。</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4．承包人保证执行“谁施工、谁负责”的施工安全原则。</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5．承包人保证服从发包人对安全工作的统一协调和管理。</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6．承包人保证对本工程项目安全生产条件及其管理资源自行投入，保证安全资金的专款专用。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7．承包人保证建立本工程项目的安全管理体系及安全保证体系（注：项目安全管理大纲/手册、管理性的程序文件等）。</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8．承包人保证现场的安全管理专职人员必须持有建设主管部门安全生产培训考核合格证书。</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9．承包人保证为现场所有工作人员（含分包商员工及劳务人员）配备符合国家标准的有承包人和/或其下属分包商标志的个人基本劳动保护用品。</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10．承包人保证按照国家法律规定为现场所有工作人员（含分包商员工及劳务人员）购买意外伤害保险。</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11．承包人保证施工生活营地（包括自建的和租用的营地）满足消防、安全用电、卫生防疫、防暴雨、防雷击等方面的安全要求。</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12．承包人保证对带入现场的设备、工具、材料按照国家法规和标准进行检测、试验，并持有法定部门出具的检验证书。</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13．承包人保证制订施工现场的文明施工措施，保护环境、树木和植被，保持施工现场的良好秩序和整洁的作业环境。</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14．承包人负责在施工过程中与当地政府、周边群众及其他承包商保持良好的沟通和交流。承包人遇到与周边群众发生纠纷时，应负责协调工作，确保工程能够顺利进行。</w:t>
      </w:r>
    </w:p>
    <w:p>
      <w:pPr>
        <w:spacing w:line="360" w:lineRule="auto"/>
        <w:ind w:firstLine="420" w:firstLineChars="200"/>
        <w:rPr>
          <w:rFonts w:ascii="宋体" w:hAnsi="宋体"/>
          <w:color w:val="auto"/>
          <w:szCs w:val="21"/>
          <w:highlight w:val="none"/>
        </w:rPr>
      </w:pPr>
      <w:bookmarkStart w:id="1144" w:name="_Toc239510293"/>
      <w:bookmarkStart w:id="1145" w:name="_Toc247418267"/>
      <w:bookmarkStart w:id="1146" w:name="_Toc247431427"/>
      <w:bookmarkStart w:id="1147" w:name="_Toc532375703"/>
      <w:r>
        <w:rPr>
          <w:rFonts w:hint="eastAsia" w:ascii="宋体" w:hAnsi="宋体"/>
          <w:color w:val="auto"/>
          <w:szCs w:val="21"/>
          <w:highlight w:val="none"/>
        </w:rPr>
        <w:t>四、接口及协调</w:t>
      </w:r>
      <w:bookmarkEnd w:id="1144"/>
      <w:bookmarkEnd w:id="1145"/>
      <w:bookmarkEnd w:id="1146"/>
      <w:bookmarkEnd w:id="1147"/>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1．发包人委托监理公司对该工程实施监理，监理公司在安全管理方面代表发包人行使监督检查职能，承包人必须给予配合和支持。</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2．承包人人员、车辆的出入，带入现场的设备、机具、材料，在现场使用的或直接管理的办公、生活、生产性设施的安全管理须满足发包人现场管理的基本要求。</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3．承包人应指定专职安全管理人员与发包人委托的监理公司接口，参与安全协调和管理。安全协调和管理的内容包括职业健康、工业安全、消防安全、卫生防疫、交通安全、环境保护、治安保卫等各方面。</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5．承包人指定的专职安全管理人员应与发包人委托的监理公司建立联系，在业务上接受发包人委托的监理公司的协调和指导。</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6．开工后承包人的专职安全管理人员应按照发包人委托的监理公司的规定，定期报送安全月度快报、季报、年报和各种专项事故报告等。</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7．在工程实体未全部正式移交发包人施工管理部门之前，承包人依旧对施工范围内的安全管理负责。</w:t>
      </w:r>
    </w:p>
    <w:p>
      <w:pPr>
        <w:spacing w:line="360" w:lineRule="auto"/>
        <w:ind w:firstLine="420" w:firstLineChars="200"/>
        <w:rPr>
          <w:rFonts w:ascii="宋体" w:hAnsi="宋体"/>
          <w:color w:val="auto"/>
          <w:szCs w:val="21"/>
          <w:highlight w:val="none"/>
        </w:rPr>
      </w:pPr>
      <w:bookmarkStart w:id="1148" w:name="_Toc532375704"/>
      <w:bookmarkStart w:id="1149" w:name="_Toc247418268"/>
      <w:bookmarkStart w:id="1150" w:name="_Toc247431428"/>
      <w:bookmarkStart w:id="1151" w:name="_Toc239510294"/>
      <w:r>
        <w:rPr>
          <w:rFonts w:hint="eastAsia" w:ascii="宋体" w:hAnsi="宋体"/>
          <w:color w:val="auto"/>
          <w:szCs w:val="21"/>
          <w:highlight w:val="none"/>
        </w:rPr>
        <w:t>五、安全资质审查</w:t>
      </w:r>
      <w:bookmarkEnd w:id="1148"/>
      <w:bookmarkEnd w:id="1149"/>
      <w:bookmarkEnd w:id="1150"/>
      <w:bookmarkEnd w:id="1151"/>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承包人在项目开工前5个工作天内向发包人委托的监理公司提供以下安全资质供审查和存档：</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1．企业安全生产许可证书复印件。</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2．企业近三年的施工简历及安全施工业绩证明文件。</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3．企业主要安全管理人员（包括项目经理、专职安全管理人员）经建设主管部门安全生产知识考核合格证书。</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4．特种作业人员资格证书。</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5．项目安全管理机构及其人员配备（承包人必须配有专职的安全员）。</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6．适用于项目的安全管理体系及保证体系文件（安全管理大纲及管理程序文件）。</w:t>
      </w:r>
    </w:p>
    <w:p>
      <w:pPr>
        <w:spacing w:line="360" w:lineRule="auto"/>
        <w:ind w:firstLine="420" w:firstLineChars="200"/>
        <w:rPr>
          <w:rFonts w:ascii="宋体" w:hAnsi="宋体"/>
          <w:color w:val="auto"/>
          <w:szCs w:val="21"/>
          <w:highlight w:val="none"/>
        </w:rPr>
      </w:pPr>
      <w:bookmarkStart w:id="1152" w:name="_Toc247418269"/>
      <w:bookmarkStart w:id="1153" w:name="_Toc532375705"/>
      <w:bookmarkStart w:id="1154" w:name="_Toc247431429"/>
      <w:bookmarkStart w:id="1155" w:name="_Toc239510295"/>
      <w:r>
        <w:rPr>
          <w:rFonts w:hint="eastAsia" w:ascii="宋体" w:hAnsi="宋体"/>
          <w:color w:val="auto"/>
          <w:szCs w:val="21"/>
          <w:highlight w:val="none"/>
        </w:rPr>
        <w:t>六、人员基本素质</w:t>
      </w:r>
      <w:bookmarkEnd w:id="1152"/>
      <w:bookmarkEnd w:id="1153"/>
      <w:bookmarkEnd w:id="1154"/>
      <w:bookmarkEnd w:id="1155"/>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承包人提供的人员必须满足下列要求：</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1．身体健康，无影响工作的精神疾病、无传染病和其他重大疾病；承包人需对其雇用的施工人员签发健康声明并保证其健康。其中体检证明材料（县级以上医院）和健康声明作为人员办理入场证件的必备材料。</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2．无刑事案件牵连。</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3．无吸毒、酗酒、赌博、嫖娼等恶习及违法行为。</w:t>
      </w:r>
    </w:p>
    <w:p>
      <w:pPr>
        <w:spacing w:line="360" w:lineRule="auto"/>
        <w:ind w:firstLine="420" w:firstLineChars="200"/>
        <w:rPr>
          <w:rFonts w:ascii="宋体" w:hAnsi="宋体"/>
          <w:color w:val="auto"/>
          <w:szCs w:val="21"/>
          <w:highlight w:val="none"/>
        </w:rPr>
      </w:pPr>
      <w:bookmarkStart w:id="1156" w:name="_Toc247431430"/>
      <w:bookmarkStart w:id="1157" w:name="_Toc239510296"/>
      <w:bookmarkStart w:id="1158" w:name="_Toc247418270"/>
      <w:bookmarkStart w:id="1159" w:name="_Toc532375706"/>
      <w:r>
        <w:rPr>
          <w:rFonts w:hint="eastAsia" w:ascii="宋体" w:hAnsi="宋体"/>
          <w:color w:val="auto"/>
          <w:szCs w:val="21"/>
          <w:highlight w:val="none"/>
        </w:rPr>
        <w:t>七、劳动保护</w:t>
      </w:r>
      <w:bookmarkEnd w:id="1156"/>
      <w:bookmarkEnd w:id="1157"/>
      <w:bookmarkEnd w:id="1158"/>
      <w:bookmarkEnd w:id="1159"/>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1．承包人负责为本单位任何用工形式的员工提供个人劳动保护用品（包括工作服、安全帽、安全鞋等）。</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2．承包人负责向特殊工种的员工提供特殊劳动保护，否则不得从事特殊工种作业。</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3．发包人委托的监理公司有权检查承包人的个人劳动保护用品是否符合国家的相应标准。</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 承包人在特殊风险场所作业而需要特殊防护用品或安全仪表时，必须在上述防护用品全部到位后才能开工。</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5．承包人应配备临时安全围栏、警示带、警告标志、防火布等集体防护用品。</w:t>
      </w:r>
    </w:p>
    <w:p>
      <w:pPr>
        <w:spacing w:line="360" w:lineRule="auto"/>
        <w:ind w:firstLine="420" w:firstLineChars="200"/>
        <w:rPr>
          <w:rFonts w:ascii="宋体" w:hAnsi="宋体"/>
          <w:color w:val="auto"/>
          <w:szCs w:val="21"/>
          <w:highlight w:val="none"/>
        </w:rPr>
      </w:pPr>
      <w:bookmarkStart w:id="1160" w:name="_Toc532375707"/>
      <w:bookmarkStart w:id="1161" w:name="_Toc239510297"/>
      <w:bookmarkStart w:id="1162" w:name="_Toc247418271"/>
      <w:bookmarkStart w:id="1163" w:name="_Toc247431431"/>
      <w:r>
        <w:rPr>
          <w:rFonts w:hint="eastAsia" w:ascii="宋体" w:hAnsi="宋体"/>
          <w:color w:val="auto"/>
          <w:szCs w:val="21"/>
          <w:highlight w:val="none"/>
        </w:rPr>
        <w:t>八、施工机具与材料</w:t>
      </w:r>
      <w:bookmarkEnd w:id="1160"/>
      <w:bookmarkEnd w:id="1161"/>
      <w:bookmarkEnd w:id="1162"/>
      <w:bookmarkEnd w:id="1163"/>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1．承包人对带入现场的施工机械和工器具的安全负责。</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2．对于承包人带入现场的特殊工器具，如起重设备、索具、机动车辆、压缩气瓶等，承包人必须按国家法规和标准进行检测、试验，并持有法定部门出具的检验证书。</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3．对于不属于法定检测的工器具，承包人也必须建立相应的管理、检测制度，这些工器具包括登高工具、脚手架材料、电动工具、安全防护设备及用具等。</w:t>
      </w:r>
    </w:p>
    <w:p>
      <w:pPr>
        <w:spacing w:line="360" w:lineRule="auto"/>
        <w:ind w:firstLine="420" w:firstLineChars="200"/>
        <w:rPr>
          <w:rFonts w:ascii="宋体" w:hAnsi="宋体"/>
          <w:color w:val="auto"/>
          <w:szCs w:val="21"/>
          <w:highlight w:val="none"/>
        </w:rPr>
      </w:pPr>
      <w:bookmarkStart w:id="1164" w:name="_Toc239510298"/>
      <w:bookmarkStart w:id="1165" w:name="_Toc247418272"/>
      <w:bookmarkStart w:id="1166" w:name="_Toc247431432"/>
      <w:bookmarkStart w:id="1167" w:name="_Toc532375708"/>
      <w:r>
        <w:rPr>
          <w:rFonts w:hint="eastAsia" w:ascii="宋体" w:hAnsi="宋体"/>
          <w:color w:val="auto"/>
          <w:szCs w:val="21"/>
          <w:highlight w:val="none"/>
        </w:rPr>
        <w:t>九、开工前安全条件检查</w:t>
      </w:r>
      <w:bookmarkEnd w:id="1164"/>
      <w:bookmarkEnd w:id="1165"/>
      <w:bookmarkEnd w:id="1166"/>
      <w:bookmarkEnd w:id="1167"/>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3．发包人委托的监理公司检查发现的缺陷，承包人应在规定期限内完成整改。对于重大缺陷，发包人委托的监理公司有权要求承包人推迟开工，由此对工期产生的影响或经济损失，由承包人承担。</w:t>
      </w:r>
    </w:p>
    <w:p>
      <w:pPr>
        <w:spacing w:line="360" w:lineRule="auto"/>
        <w:ind w:firstLine="420" w:firstLineChars="200"/>
        <w:rPr>
          <w:rFonts w:ascii="宋体" w:hAnsi="宋体"/>
          <w:color w:val="auto"/>
          <w:szCs w:val="21"/>
          <w:highlight w:val="none"/>
        </w:rPr>
      </w:pPr>
      <w:bookmarkStart w:id="1168" w:name="_Toc247431433"/>
      <w:bookmarkStart w:id="1169" w:name="_Toc247418273"/>
      <w:bookmarkStart w:id="1170" w:name="_Toc239510299"/>
      <w:bookmarkStart w:id="1171" w:name="_Toc532375709"/>
      <w:r>
        <w:rPr>
          <w:rFonts w:hint="eastAsia" w:ascii="宋体" w:hAnsi="宋体"/>
          <w:color w:val="auto"/>
          <w:szCs w:val="21"/>
          <w:highlight w:val="none"/>
        </w:rPr>
        <w:t>十、安全监督</w:t>
      </w:r>
      <w:bookmarkEnd w:id="1168"/>
      <w:bookmarkEnd w:id="1169"/>
      <w:bookmarkEnd w:id="1170"/>
      <w:bookmarkEnd w:id="1171"/>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1．承包人应配备有满足项目安全管理需要的专职安全管理人员。</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2．承包人的专职安全管理人员必须持建设主管部门颁发的安全生产知识考核合格证书。</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3．承包人的专职安全管理人员在业务上接受发包人委托的监理公司和发包人安全管理部门的协调和指导。</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4．承包人应建立班前安全交底制度；施工期间坚持开展安全检查和日常安全监督并形成相应的记录。</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5．承包人应在每个作业区任命兼职安全员，赋予兼职安全员相应的授权和义务，并对兼职安全员进行定期考核。</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6．承包人应接受和配合发包人专业部门及委托的监理公司的监督与安全评价。</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7．发包人和委托的监理公司有权对承包人履行安全管理协议的情况进行监督，并有权对违章行为实行停工和处罚，处罚情况将通知承包人。涉及经济处罚时将直接通知合同管理部门从合同结算中扣除。</w:t>
      </w:r>
    </w:p>
    <w:p>
      <w:pPr>
        <w:spacing w:line="360" w:lineRule="auto"/>
        <w:ind w:firstLine="420" w:firstLineChars="200"/>
        <w:rPr>
          <w:rFonts w:ascii="宋体" w:hAnsi="宋体"/>
          <w:color w:val="auto"/>
          <w:szCs w:val="21"/>
          <w:highlight w:val="none"/>
        </w:rPr>
      </w:pPr>
      <w:bookmarkStart w:id="1172" w:name="_Toc247418274"/>
      <w:bookmarkStart w:id="1173" w:name="_Toc239510300"/>
      <w:bookmarkStart w:id="1174" w:name="_Toc247431434"/>
      <w:bookmarkStart w:id="1175" w:name="_Toc532375710"/>
      <w:r>
        <w:rPr>
          <w:rFonts w:hint="eastAsia" w:ascii="宋体" w:hAnsi="宋体"/>
          <w:color w:val="auto"/>
          <w:szCs w:val="21"/>
          <w:highlight w:val="none"/>
        </w:rPr>
        <w:t>十一、安全培训与授权</w:t>
      </w:r>
      <w:bookmarkEnd w:id="1172"/>
      <w:bookmarkEnd w:id="1173"/>
      <w:bookmarkEnd w:id="1174"/>
      <w:bookmarkEnd w:id="1175"/>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1．承包人所有特殊工种人员必须持证上岗，发包人和发包人委托的监理公司有权对其进行抽查。承包人要建立特殊工种定期培训和检查计划，这些工种包括但不限于：机动车驾驶员、焊工、起重工、电工等。</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2．承包人应在特殊工种之外的其他工种中，筛选出高风险工种，并对其开展针对性的专题安全培训。</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3．承包人应组织 “入场培训”和考核。发包人委托的监理公司有权监督培训、考核情况或组织抽查考核。</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4．承包人应建立安全培训和考核机制，编制培训教材和培训滚动计划。承包人应组织安全考试/考核，建立培训考核记录，发包人委托的监理公司有权查看这些记录。</w:t>
      </w:r>
    </w:p>
    <w:p>
      <w:pPr>
        <w:spacing w:line="360" w:lineRule="auto"/>
        <w:ind w:firstLine="420" w:firstLineChars="200"/>
        <w:rPr>
          <w:rFonts w:ascii="宋体" w:hAnsi="宋体"/>
          <w:color w:val="auto"/>
          <w:szCs w:val="21"/>
          <w:highlight w:val="none"/>
        </w:rPr>
      </w:pPr>
      <w:bookmarkStart w:id="1176" w:name="_Toc247431435"/>
      <w:bookmarkStart w:id="1177" w:name="_Toc239510301"/>
      <w:bookmarkStart w:id="1178" w:name="_Toc247418275"/>
      <w:bookmarkStart w:id="1179" w:name="_Toc532375711"/>
      <w:r>
        <w:rPr>
          <w:rFonts w:hint="eastAsia" w:ascii="宋体" w:hAnsi="宋体"/>
          <w:color w:val="auto"/>
          <w:szCs w:val="21"/>
          <w:highlight w:val="none"/>
        </w:rPr>
        <w:t>十二、职业健康与卫生防疫</w:t>
      </w:r>
      <w:bookmarkEnd w:id="1176"/>
      <w:bookmarkEnd w:id="1177"/>
      <w:bookmarkEnd w:id="1178"/>
      <w:bookmarkEnd w:id="1179"/>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1．承包人应有特殊健康检查制度，预防有禁忌症患者从事有关职业，如恐高症患者不得从事高空作业，患有心血管疾病的人员不得从事繁重的体力劳动，特殊工种人员的体检应符合国家的规定。</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2．承包人应保证卫生防疫基本设施的投入，以满足医疗、急救的要求，建立外部医疗支持渠道。</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pPr>
        <w:spacing w:line="360" w:lineRule="auto"/>
        <w:ind w:firstLine="420" w:firstLineChars="200"/>
        <w:rPr>
          <w:rFonts w:ascii="宋体" w:hAnsi="宋体"/>
          <w:color w:val="auto"/>
          <w:szCs w:val="21"/>
          <w:highlight w:val="none"/>
        </w:rPr>
      </w:pPr>
      <w:bookmarkStart w:id="1180" w:name="_Toc532375712"/>
      <w:bookmarkStart w:id="1181" w:name="_Toc239510302"/>
      <w:bookmarkStart w:id="1182" w:name="_Toc247418276"/>
      <w:bookmarkStart w:id="1183" w:name="_Toc247431436"/>
      <w:r>
        <w:rPr>
          <w:rFonts w:hint="eastAsia" w:ascii="宋体" w:hAnsi="宋体"/>
          <w:color w:val="auto"/>
          <w:szCs w:val="21"/>
          <w:highlight w:val="none"/>
        </w:rPr>
        <w:t>十三、文明施工与环保要求</w:t>
      </w:r>
      <w:bookmarkEnd w:id="1180"/>
      <w:bookmarkEnd w:id="1181"/>
      <w:bookmarkEnd w:id="1182"/>
      <w:bookmarkEnd w:id="1183"/>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1．承包人需制订施工现场的文明施工措施，保持良好的施工现场秩序。施工现场的物料堆放要摆放整齐，安全标志和宣传标志要清楚醒目，废料、废物要分类收集，安全通道要畅通。</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2．承包人作业时应避免建筑材料抛洒、飞扬、流淌；应尽可能降低噪音、震动。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3．承包人应根据实际需要，在施工现场布置临时卫生设施（洗手间、卫生间等），施工作业不破坏环境卫生，不污染现场环境。</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4．承包人在施工中应充分重视对环境的保护，保护绿色植被，保护古树。施工如需伤害古树，必须报告发包人委托的监理公司，在未得到指令前，禁止擅自伤害古树。</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6．承包人在施工中应禁止向环境，排放工业污水、生活污水、废油或其他有害物质。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pPr>
        <w:spacing w:line="360" w:lineRule="auto"/>
        <w:ind w:firstLine="420" w:firstLineChars="200"/>
        <w:rPr>
          <w:rFonts w:ascii="宋体" w:hAnsi="宋体"/>
          <w:color w:val="auto"/>
          <w:szCs w:val="21"/>
          <w:highlight w:val="none"/>
        </w:rPr>
      </w:pPr>
      <w:bookmarkStart w:id="1184" w:name="_Toc239510303"/>
      <w:bookmarkStart w:id="1185" w:name="_Toc247418277"/>
      <w:bookmarkStart w:id="1186" w:name="_Toc532375713"/>
      <w:bookmarkStart w:id="1187" w:name="_Toc247431437"/>
      <w:r>
        <w:rPr>
          <w:rFonts w:hint="eastAsia" w:ascii="宋体" w:hAnsi="宋体"/>
          <w:color w:val="auto"/>
          <w:szCs w:val="21"/>
          <w:highlight w:val="none"/>
        </w:rPr>
        <w:t>十四、工程风险管理与事故预防</w:t>
      </w:r>
      <w:bookmarkEnd w:id="1184"/>
      <w:bookmarkEnd w:id="1185"/>
      <w:bookmarkEnd w:id="1186"/>
      <w:bookmarkEnd w:id="1187"/>
    </w:p>
    <w:p>
      <w:pPr>
        <w:spacing w:line="360" w:lineRule="auto"/>
        <w:ind w:firstLine="420" w:firstLineChars="200"/>
        <w:jc w:val="left"/>
        <w:rPr>
          <w:rFonts w:ascii="宋体" w:hAnsi="宋体"/>
          <w:color w:val="auto"/>
          <w:szCs w:val="21"/>
          <w:highlight w:val="none"/>
        </w:rPr>
      </w:pPr>
      <w:bookmarkStart w:id="1188" w:name="_Toc247418278"/>
      <w:bookmarkStart w:id="1189" w:name="_Toc239510304"/>
      <w:bookmarkStart w:id="1190" w:name="_Toc247431438"/>
      <w:r>
        <w:rPr>
          <w:rFonts w:hint="eastAsia" w:ascii="宋体" w:hAnsi="宋体"/>
          <w:color w:val="auto"/>
          <w:szCs w:val="21"/>
          <w:highlight w:val="none"/>
        </w:rPr>
        <w:t>（一）基本要求</w:t>
      </w:r>
      <w:bookmarkEnd w:id="1188"/>
      <w:bookmarkEnd w:id="1189"/>
      <w:bookmarkEnd w:id="1190"/>
    </w:p>
    <w:p>
      <w:pPr>
        <w:spacing w:line="360" w:lineRule="auto"/>
        <w:ind w:firstLine="420" w:firstLineChars="200"/>
        <w:jc w:val="left"/>
        <w:rPr>
          <w:rFonts w:ascii="宋体" w:hAnsi="宋体"/>
          <w:color w:val="auto"/>
          <w:szCs w:val="21"/>
          <w:highlight w:val="none"/>
        </w:rPr>
      </w:pPr>
      <w:bookmarkStart w:id="1191" w:name="_Toc532375714"/>
      <w:r>
        <w:rPr>
          <w:rFonts w:hint="eastAsia" w:ascii="宋体" w:hAnsi="宋体"/>
          <w:color w:val="auto"/>
          <w:szCs w:val="21"/>
          <w:highlight w:val="none"/>
        </w:rPr>
        <w:t>1．承包人应对施工过程进行全面、深入的危险源识别和风险分析。在施工安全组织设计中提供危险源及重要危险源清单、作业风险分析报告，该报告应包括（但不限于）如下信息：</w:t>
      </w:r>
      <w:bookmarkEnd w:id="1191"/>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（1）高风险作业和工种清单：作业名称、类别和数量、主要事故风险。</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（2）施工能源和机械的种类、数量和主要事故风险。</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（3）施工作业条件的类型和主要事故风险。</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（4）主要工艺过程（或施工活动）的类别及其相关的事故风险。</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（5）主要火灾危险（可燃物、点火源）。</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（6）主要自然灾害（洪水、大风、雷暴、暴雨、地质灾害等）。</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（7）主要环境保护事件（有害垃圾、机械的跑冒滴漏、原材料流失、水土流失等）。</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（8）其他。</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2．承包人应针对识别出的危险源制定有针对性的事故预防措施并确保在施工中得到有效落实。</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3．承包人应建立日常施工活动的动态作业风险分析和安全交底制度。该制度应明确规定风险分析的方法、责任和交底的内容、时间及记录。</w:t>
      </w:r>
    </w:p>
    <w:p>
      <w:pPr>
        <w:spacing w:line="360" w:lineRule="auto"/>
        <w:ind w:firstLine="420" w:firstLineChars="200"/>
        <w:jc w:val="left"/>
        <w:rPr>
          <w:rFonts w:ascii="宋体" w:hAnsi="宋体"/>
          <w:color w:val="auto"/>
          <w:szCs w:val="21"/>
          <w:highlight w:val="none"/>
        </w:rPr>
      </w:pPr>
      <w:bookmarkStart w:id="1192" w:name="_Toc239510305"/>
      <w:bookmarkStart w:id="1193" w:name="_Toc247431439"/>
      <w:bookmarkStart w:id="1194" w:name="_Toc247418279"/>
      <w:r>
        <w:rPr>
          <w:rFonts w:hint="eastAsia" w:ascii="宋体" w:hAnsi="宋体"/>
          <w:color w:val="auto"/>
          <w:szCs w:val="21"/>
          <w:highlight w:val="none"/>
        </w:rPr>
        <w:t>（二）现场作业基本安全条件</w:t>
      </w:r>
      <w:bookmarkEnd w:id="1192"/>
      <w:bookmarkEnd w:id="1193"/>
      <w:bookmarkEnd w:id="1194"/>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pPr>
        <w:spacing w:line="360" w:lineRule="auto"/>
        <w:ind w:firstLine="420" w:firstLineChars="200"/>
        <w:rPr>
          <w:rFonts w:ascii="宋体" w:hAnsi="宋体"/>
          <w:color w:val="auto"/>
          <w:szCs w:val="21"/>
          <w:highlight w:val="none"/>
        </w:rPr>
      </w:pPr>
      <w:bookmarkStart w:id="1195" w:name="_Toc247431440"/>
      <w:bookmarkStart w:id="1196" w:name="_Toc247418280"/>
      <w:bookmarkStart w:id="1197" w:name="_Toc239510306"/>
      <w:bookmarkStart w:id="1198" w:name="_Toc532375715"/>
      <w:r>
        <w:rPr>
          <w:rFonts w:hint="eastAsia" w:ascii="宋体" w:hAnsi="宋体"/>
          <w:color w:val="auto"/>
          <w:szCs w:val="21"/>
          <w:highlight w:val="none"/>
        </w:rPr>
        <w:t>十五、事故报告与应急救援</w:t>
      </w:r>
      <w:bookmarkEnd w:id="1195"/>
      <w:bookmarkEnd w:id="1196"/>
      <w:bookmarkEnd w:id="1197"/>
      <w:bookmarkEnd w:id="1198"/>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1．承包人应制定对于未遂事故及以上级别的安全事件和事故，定期报送安全月度快报、季报、年报和各种专项事故报告等。</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2．承包人应建立安全事故统计记录、未遂事故统计记录、违章统计记录，并根据统计情况进行分析，并就分析结果制定相应的预防措施。</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3．承包人应建立事故应急救援机制，明确事故处置的基本原则，即现场发生事故时，首先抢救生命，向救援组织报警，并采取措施限制事故扩大。</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4．承包人应建立相应的应急响应组织，以便能迅速处理突发意外。</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5．承包人应建立专项应急响应预案，包括重大人身伤亡事故的救护预案、火灾响应预案、“四防”预案（防风、防冻、防雷、防暴雨）、重大疫病防护预案、环境污染防护预案、地质灾害防护预案等。</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6．承包人应对应急预案进行适当演练，保证应急预案的可操作性。</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7．在工地的其他施工单位发生重大事故时，承包人应无条件立即配合、支持事故抢险。</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8．承包人必须为事故处置支付各项费用，包括受伤者的抚恤、补偿等费用，并按合同要求赔偿对发包人造成的损失。</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9．由于发包人原因而造成的事故，发包人应负责按事故的具体损失情况给予承包人经济赔偿。</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10．涉及承包人员工的伤害事故，承包人除要报告发包人委托的监理公司外，还应负责按照国家、行业和本单位上级公司的要求，上报事故。</w:t>
      </w:r>
    </w:p>
    <w:p>
      <w:pPr>
        <w:spacing w:line="360" w:lineRule="auto"/>
        <w:ind w:firstLine="420" w:firstLineChars="200"/>
        <w:rPr>
          <w:rFonts w:ascii="宋体" w:hAnsi="宋体"/>
          <w:color w:val="auto"/>
          <w:szCs w:val="21"/>
          <w:highlight w:val="none"/>
        </w:rPr>
      </w:pPr>
      <w:bookmarkStart w:id="1199" w:name="_Toc532375716"/>
      <w:bookmarkStart w:id="1200" w:name="_Toc247418281"/>
      <w:bookmarkStart w:id="1201" w:name="_Toc247431441"/>
      <w:bookmarkStart w:id="1202" w:name="_Toc239510307"/>
      <w:r>
        <w:rPr>
          <w:rFonts w:hint="eastAsia" w:ascii="宋体" w:hAnsi="宋体"/>
          <w:color w:val="auto"/>
          <w:szCs w:val="21"/>
          <w:highlight w:val="none"/>
        </w:rPr>
        <w:t>十六、安全业绩考核</w:t>
      </w:r>
      <w:bookmarkEnd w:id="1199"/>
      <w:bookmarkEnd w:id="1200"/>
      <w:bookmarkEnd w:id="1201"/>
      <w:bookmarkEnd w:id="1202"/>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为了落实安全管理的责任，承包人在施工过程中发生安全事故时，承包人除应按国家有关规定承担责任和处罚外，发包人还将按照以下标准进行考核：</w:t>
      </w:r>
    </w:p>
    <w:tbl>
      <w:tblPr>
        <w:tblStyle w:val="46"/>
        <w:tblW w:w="7005" w:type="dxa"/>
        <w:jc w:val="center"/>
        <w:tblLayout w:type="fixed"/>
        <w:tblCellMar>
          <w:top w:w="0" w:type="dxa"/>
          <w:left w:w="0" w:type="dxa"/>
          <w:bottom w:w="0" w:type="dxa"/>
          <w:right w:w="0" w:type="dxa"/>
        </w:tblCellMar>
      </w:tblPr>
      <w:tblGrid>
        <w:gridCol w:w="3240"/>
        <w:gridCol w:w="3765"/>
      </w:tblGrid>
      <w:tr>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事件类型</w:t>
            </w:r>
          </w:p>
        </w:tc>
        <w:tc>
          <w:tcPr>
            <w:tcW w:w="376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违约金额</w:t>
            </w:r>
          </w:p>
        </w:tc>
      </w:tr>
      <w:tr>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较大事故</w:t>
            </w:r>
          </w:p>
        </w:tc>
        <w:tc>
          <w:tcPr>
            <w:tcW w:w="3765" w:type="dxa"/>
            <w:tcBorders>
              <w:top w:val="single" w:color="auto" w:sz="8" w:space="0"/>
              <w:left w:val="nil"/>
              <w:bottom w:val="single" w:color="auto" w:sz="8" w:space="0"/>
              <w:right w:val="single" w:color="auto" w:sz="8" w:space="0"/>
            </w:tcBorders>
            <w:noWrap w:val="0"/>
            <w:vAlign w:val="center"/>
          </w:tcPr>
          <w:p>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签约合同价</w:t>
            </w:r>
            <w:r>
              <w:rPr>
                <w:rFonts w:hint="eastAsia" w:ascii="宋体" w:hAnsi="宋体"/>
                <w:color w:val="auto"/>
                <w:szCs w:val="21"/>
                <w:highlight w:val="none"/>
              </w:rPr>
              <w:t>的0.5‰</w:t>
            </w:r>
          </w:p>
        </w:tc>
      </w:tr>
      <w:tr>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重大事故</w:t>
            </w:r>
          </w:p>
        </w:tc>
        <w:tc>
          <w:tcPr>
            <w:tcW w:w="3765" w:type="dxa"/>
            <w:tcBorders>
              <w:top w:val="single" w:color="auto" w:sz="8" w:space="0"/>
              <w:left w:val="nil"/>
              <w:bottom w:val="single" w:color="auto" w:sz="8" w:space="0"/>
              <w:right w:val="single" w:color="auto" w:sz="8" w:space="0"/>
            </w:tcBorders>
            <w:noWrap w:val="0"/>
            <w:vAlign w:val="center"/>
          </w:tcPr>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签约合同价的2‰</w:t>
            </w:r>
          </w:p>
        </w:tc>
      </w:tr>
      <w:tr>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特别重大事故</w:t>
            </w:r>
          </w:p>
        </w:tc>
        <w:tc>
          <w:tcPr>
            <w:tcW w:w="3765" w:type="dxa"/>
            <w:tcBorders>
              <w:top w:val="single" w:color="auto" w:sz="8" w:space="0"/>
              <w:left w:val="nil"/>
              <w:bottom w:val="single" w:color="auto" w:sz="8" w:space="0"/>
              <w:right w:val="single" w:color="auto" w:sz="8" w:space="0"/>
            </w:tcBorders>
            <w:noWrap w:val="0"/>
            <w:vAlign w:val="center"/>
          </w:tcPr>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签约合同价的4‰</w:t>
            </w:r>
          </w:p>
        </w:tc>
      </w:tr>
    </w:tbl>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（1）较大事故，是指造成3人以上10人以下死亡，或者10人以上50人以下重伤，或者1000万元以上5000万元以下直接经济损失的事故；</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（2）重大事故，是指造成10人以上30人以下死亡，或者50人以上100人以下重伤，或者5000万元以上1亿元以下直接经济损失的事故；</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（3）特别重大事故，是指造成30人以上死亡，或者100人以上重伤（包括急性工业中毒，下同），或者1亿元以上直接经济损失的事故；</w:t>
      </w:r>
    </w:p>
    <w:p>
      <w:pPr>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rPr>
        <w:t>（4）所称的“以上”包括本数，所称的“以下”不包括本数。</w:t>
      </w:r>
    </w:p>
    <w:p>
      <w:pPr>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rPr>
        <w:t>（5）如整个施工过程未发生以上安全事故，则给予承包人建安费总额的1‰的安全奖励。</w:t>
      </w:r>
    </w:p>
    <w:p>
      <w:pPr>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pPr>
        <w:spacing w:line="276" w:lineRule="auto"/>
        <w:ind w:firstLine="420" w:firstLineChars="200"/>
        <w:rPr>
          <w:rFonts w:ascii="宋体" w:hAnsi="宋体"/>
          <w:color w:val="auto"/>
          <w:szCs w:val="21"/>
          <w:highlight w:val="none"/>
        </w:rPr>
      </w:pPr>
      <w:bookmarkStart w:id="1203" w:name="_Toc532375717"/>
      <w:bookmarkStart w:id="1204" w:name="_Toc239510308"/>
      <w:bookmarkStart w:id="1205" w:name="_Toc247431442"/>
      <w:bookmarkStart w:id="1206" w:name="_Toc247418282"/>
      <w:r>
        <w:rPr>
          <w:rFonts w:hint="eastAsia" w:ascii="宋体" w:hAnsi="宋体"/>
          <w:color w:val="auto"/>
          <w:szCs w:val="21"/>
          <w:highlight w:val="none"/>
        </w:rPr>
        <w:t>十七、协议条款的修订</w:t>
      </w:r>
      <w:bookmarkEnd w:id="1203"/>
      <w:bookmarkEnd w:id="1204"/>
      <w:bookmarkEnd w:id="1205"/>
      <w:bookmarkEnd w:id="1206"/>
    </w:p>
    <w:p>
      <w:pPr>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rPr>
        <w:t>在项目实施过程中，经双方友好协商，本协议的有关条款也可做出相应的修改。</w:t>
      </w:r>
    </w:p>
    <w:p>
      <w:pPr>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rPr>
        <w:t>本工程安全管理协议，由发包人、承包人双方在施工承包合同签订后7天内共同签署，作为施工合同附件。</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  包  人（公章）：</w:t>
      </w:r>
      <w:r>
        <w:rPr>
          <w:rFonts w:hint="eastAsia" w:ascii="宋体" w:hAnsi="宋体" w:cs="宋体"/>
          <w:color w:val="auto"/>
          <w:szCs w:val="21"/>
          <w:highlight w:val="none"/>
          <w:u w:val="single"/>
        </w:rPr>
        <w:t xml:space="preserve">                       </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法定代表人（签名）：</w:t>
      </w:r>
      <w:r>
        <w:rPr>
          <w:rFonts w:hint="eastAsia" w:ascii="宋体" w:hAnsi="宋体" w:cs="宋体"/>
          <w:color w:val="auto"/>
          <w:szCs w:val="21"/>
          <w:highlight w:val="none"/>
          <w:u w:val="single"/>
        </w:rPr>
        <w:t xml:space="preserve">                       </w:t>
      </w:r>
      <w:r>
        <w:rPr>
          <w:rFonts w:hint="eastAsia" w:ascii="宋体" w:hAnsi="宋体"/>
          <w:color w:val="auto"/>
          <w:szCs w:val="21"/>
          <w:highlight w:val="none"/>
        </w:rPr>
        <w:t xml:space="preserve">  </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或其委托代理人（签名）：</w:t>
      </w:r>
      <w:r>
        <w:rPr>
          <w:rFonts w:hint="eastAsia" w:ascii="宋体" w:hAnsi="宋体" w:cs="宋体"/>
          <w:color w:val="auto"/>
          <w:szCs w:val="21"/>
          <w:highlight w:val="none"/>
          <w:u w:val="single"/>
        </w:rPr>
        <w:t xml:space="preserve">                   </w:t>
      </w:r>
      <w:r>
        <w:rPr>
          <w:rFonts w:hint="eastAsia" w:ascii="宋体" w:hAnsi="宋体"/>
          <w:color w:val="auto"/>
          <w:szCs w:val="21"/>
          <w:highlight w:val="none"/>
        </w:rPr>
        <w:t xml:space="preserve">  </w:t>
      </w:r>
    </w:p>
    <w:p>
      <w:pPr>
        <w:spacing w:line="360" w:lineRule="auto"/>
        <w:ind w:firstLine="420" w:firstLineChars="200"/>
        <w:jc w:val="left"/>
        <w:rPr>
          <w:rFonts w:ascii="宋体" w:hAnsi="宋体"/>
          <w:color w:val="auto"/>
          <w:szCs w:val="21"/>
          <w:highlight w:val="none"/>
        </w:rPr>
      </w:pPr>
    </w:p>
    <w:p>
      <w:pPr>
        <w:spacing w:line="360" w:lineRule="auto"/>
        <w:ind w:firstLine="420" w:firstLineChars="200"/>
        <w:jc w:val="left"/>
        <w:rPr>
          <w:rFonts w:ascii="宋体" w:hAnsi="宋体"/>
          <w:color w:val="auto"/>
          <w:kern w:val="0"/>
          <w:szCs w:val="21"/>
          <w:highlight w:val="none"/>
        </w:rPr>
      </w:pPr>
      <w:r>
        <w:rPr>
          <w:rFonts w:hint="eastAsia" w:ascii="宋体" w:hAnsi="宋体"/>
          <w:color w:val="auto"/>
          <w:szCs w:val="21"/>
          <w:highlight w:val="none"/>
        </w:rPr>
        <w:t>承  包  人（公章）：</w:t>
      </w:r>
      <w:r>
        <w:rPr>
          <w:rFonts w:hint="eastAsia" w:ascii="宋体" w:hAnsi="宋体" w:cs="宋体"/>
          <w:color w:val="auto"/>
          <w:szCs w:val="21"/>
          <w:highlight w:val="none"/>
          <w:u w:val="single"/>
        </w:rPr>
        <w:t xml:space="preserve">                       </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法定代表人（签名）：</w:t>
      </w:r>
      <w:r>
        <w:rPr>
          <w:rFonts w:hint="eastAsia" w:ascii="宋体" w:hAnsi="宋体" w:cs="宋体"/>
          <w:color w:val="auto"/>
          <w:szCs w:val="21"/>
          <w:highlight w:val="none"/>
          <w:u w:val="single"/>
        </w:rPr>
        <w:t xml:space="preserve">                       </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szCs w:val="21"/>
          <w:highlight w:val="none"/>
        </w:rPr>
        <w:t>或其委托代理人（签名）：</w:t>
      </w:r>
      <w:r>
        <w:rPr>
          <w:rFonts w:hint="eastAsia" w:ascii="宋体" w:hAnsi="宋体" w:cs="宋体"/>
          <w:color w:val="auto"/>
          <w:szCs w:val="21"/>
          <w:highlight w:val="none"/>
          <w:u w:val="single"/>
        </w:rPr>
        <w:t xml:space="preserve">                   </w:t>
      </w:r>
    </w:p>
    <w:p>
      <w:pPr>
        <w:snapToGrid w:val="0"/>
        <w:spacing w:line="360" w:lineRule="auto"/>
        <w:jc w:val="left"/>
        <w:rPr>
          <w:rFonts w:ascii="宋体" w:hAnsi="宋体"/>
          <w:color w:val="auto"/>
          <w:kern w:val="0"/>
          <w:szCs w:val="21"/>
          <w:highlight w:val="none"/>
        </w:rPr>
      </w:pPr>
      <w:r>
        <w:rPr>
          <w:rFonts w:hint="eastAsia" w:ascii="宋体" w:hAnsi="宋体"/>
          <w:color w:val="auto"/>
          <w:szCs w:val="21"/>
          <w:highlight w:val="none"/>
        </w:rPr>
        <w:br w:type="page"/>
      </w:r>
    </w:p>
    <w:p>
      <w:pPr>
        <w:spacing w:line="480" w:lineRule="auto"/>
        <w:rPr>
          <w:rFonts w:ascii="宋体" w:hAnsi="宋体"/>
          <w:color w:val="auto"/>
          <w:szCs w:val="21"/>
          <w:highlight w:val="none"/>
        </w:rPr>
      </w:pPr>
      <w:r>
        <w:rPr>
          <w:rFonts w:hint="eastAsia" w:ascii="宋体" w:hAnsi="宋体"/>
          <w:color w:val="auto"/>
          <w:szCs w:val="21"/>
          <w:highlight w:val="none"/>
        </w:rPr>
        <w:t>附件</w:t>
      </w:r>
      <w:r>
        <w:rPr>
          <w:rFonts w:hint="eastAsia" w:ascii="宋体" w:hAnsi="宋体"/>
          <w:color w:val="auto"/>
          <w:szCs w:val="21"/>
          <w:highlight w:val="none"/>
          <w:lang w:val="en-US" w:eastAsia="zh-CN"/>
        </w:rPr>
        <w:t>7</w:t>
      </w:r>
      <w:r>
        <w:rPr>
          <w:rFonts w:hint="eastAsia" w:ascii="宋体" w:hAnsi="宋体"/>
          <w:color w:val="auto"/>
          <w:szCs w:val="21"/>
          <w:highlight w:val="none"/>
        </w:rPr>
        <w:t>：</w:t>
      </w:r>
    </w:p>
    <w:p>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保障农民工工资支付协议</w:t>
      </w:r>
    </w:p>
    <w:p>
      <w:pPr>
        <w:snapToGrid w:val="0"/>
        <w:spacing w:line="480" w:lineRule="auto"/>
        <w:rPr>
          <w:rFonts w:ascii="宋体" w:hAnsi="宋体"/>
          <w:color w:val="auto"/>
          <w:szCs w:val="21"/>
          <w:highlight w:val="none"/>
        </w:rPr>
      </w:pPr>
      <w:r>
        <w:rPr>
          <w:rFonts w:hint="eastAsia" w:ascii="宋体" w:hAnsi="宋体"/>
          <w:color w:val="auto"/>
          <w:szCs w:val="21"/>
          <w:highlight w:val="none"/>
        </w:rPr>
        <w:t xml:space="preserve"> 发包人：</w:t>
      </w:r>
      <w:r>
        <w:rPr>
          <w:rFonts w:hint="eastAsia" w:ascii="宋体" w:hAnsi="宋体" w:cs="宋体"/>
          <w:color w:val="auto"/>
          <w:szCs w:val="21"/>
          <w:highlight w:val="none"/>
          <w:u w:val="single"/>
        </w:rPr>
        <w:t xml:space="preserve">                                 </w:t>
      </w:r>
      <w:r>
        <w:rPr>
          <w:rFonts w:hint="eastAsia" w:ascii="宋体" w:hAnsi="宋体"/>
          <w:color w:val="auto"/>
          <w:szCs w:val="21"/>
          <w:highlight w:val="none"/>
        </w:rPr>
        <w:t>（发包人）</w:t>
      </w:r>
    </w:p>
    <w:p>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 承包人：</w:t>
      </w:r>
      <w:r>
        <w:rPr>
          <w:rFonts w:hint="eastAsia" w:ascii="宋体" w:hAnsi="宋体" w:cs="宋体"/>
          <w:color w:val="auto"/>
          <w:szCs w:val="21"/>
          <w:highlight w:val="none"/>
          <w:u w:val="single"/>
        </w:rPr>
        <w:t xml:space="preserve">                                 </w:t>
      </w:r>
      <w:r>
        <w:rPr>
          <w:rFonts w:hint="eastAsia" w:ascii="宋体" w:hAnsi="宋体"/>
          <w:color w:val="auto"/>
          <w:szCs w:val="21"/>
          <w:highlight w:val="none"/>
        </w:rPr>
        <w:t>（承包人）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为贯彻落实《国务院办公厅关于全面治理拖欠农民工工资问题的意见》（国办发〔2016〕1号），《重庆市人民政府办公厅关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承包人申报工程进度款时，应对上月已支付工程款用于农民工工资发放的情况进行说明，并附农民工代表按时足额收取了工资的签名确认书。监理单位应对相关情况说明和签名确认书（详附件）进行审查签名后，与工程进度款申报资料一并提交给发包人。发包人审核合格后，才进行当期工程进度款的支付。</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四、若发现承包人有下列事项的，发包人在支付当期进度款时暂扣当期应支付进度款5%比例的款项。</w:t>
      </w:r>
      <w:r>
        <w:rPr>
          <w:rFonts w:hint="eastAsia" w:ascii="宋体" w:hAnsi="宋体"/>
          <w:color w:val="auto"/>
          <w:szCs w:val="21"/>
          <w:highlight w:val="none"/>
        </w:rPr>
        <w:br w:type="textWrapping"/>
      </w:r>
      <w:r>
        <w:rPr>
          <w:rFonts w:hint="eastAsia" w:ascii="宋体" w:hAnsi="宋体"/>
          <w:color w:val="auto"/>
          <w:szCs w:val="21"/>
          <w:highlight w:val="none"/>
        </w:rPr>
        <w:t xml:space="preserve">    （一）现场检查发现项目存在拖欠农民工工资情况并经核查属实的；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（二）相关行政管理部门检查发现存在拖欠农民工工资情况并经核查属实的；</w:t>
      </w:r>
      <w:r>
        <w:rPr>
          <w:rFonts w:hint="eastAsia" w:ascii="宋体" w:hAnsi="宋体"/>
          <w:color w:val="auto"/>
          <w:szCs w:val="21"/>
          <w:highlight w:val="none"/>
        </w:rPr>
        <w:br w:type="textWrapping"/>
      </w:r>
      <w:r>
        <w:rPr>
          <w:rFonts w:hint="eastAsia" w:ascii="宋体" w:hAnsi="宋体"/>
          <w:color w:val="auto"/>
          <w:szCs w:val="21"/>
          <w:highlight w:val="none"/>
        </w:rPr>
        <w:t xml:space="preserve">    （三）有拖欠农民工工资投诉事项并经核查属实的。</w:t>
      </w:r>
      <w:r>
        <w:rPr>
          <w:rFonts w:hint="eastAsia" w:ascii="宋体" w:hAnsi="宋体"/>
          <w:color w:val="auto"/>
          <w:szCs w:val="21"/>
          <w:highlight w:val="none"/>
        </w:rPr>
        <w:br w:type="textWrapping"/>
      </w:r>
      <w:r>
        <w:rPr>
          <w:rFonts w:hint="eastAsia" w:ascii="宋体" w:hAnsi="宋体"/>
          <w:color w:val="auto"/>
          <w:szCs w:val="21"/>
          <w:highlight w:val="none"/>
        </w:rPr>
        <w:t xml:space="preserve">    五、对发现的存在拖欠农民工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pPr>
        <w:tabs>
          <w:tab w:val="left" w:pos="1080"/>
          <w:tab w:val="left" w:pos="1260"/>
          <w:tab w:val="left" w:pos="1440"/>
        </w:tabs>
        <w:spacing w:line="360" w:lineRule="auto"/>
        <w:ind w:firstLine="420" w:firstLineChars="200"/>
        <w:rPr>
          <w:rFonts w:ascii="宋体" w:hAnsi="宋体"/>
          <w:snapToGrid w:val="0"/>
          <w:color w:val="auto"/>
          <w:spacing w:val="-4"/>
          <w:kern w:val="0"/>
          <w:szCs w:val="21"/>
          <w:highlight w:val="none"/>
        </w:rPr>
      </w:pPr>
      <w:r>
        <w:rPr>
          <w:rFonts w:hint="eastAsia" w:ascii="宋体" w:hAnsi="宋体"/>
          <w:color w:val="auto"/>
          <w:szCs w:val="21"/>
          <w:highlight w:val="none"/>
        </w:rPr>
        <w:t>六、本协议经双方法定代表人或委托代理人签名并加盖公章后生效，履行完毕后自然失效。</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1、关于农民工工资发放情况的说明表</w:t>
      </w:r>
    </w:p>
    <w:p>
      <w:pPr>
        <w:pStyle w:val="2"/>
        <w:spacing w:line="360" w:lineRule="auto"/>
        <w:ind w:firstLine="420" w:firstLineChars="200"/>
        <w:rPr>
          <w:rFonts w:ascii="宋体" w:hAnsi="宋体"/>
          <w:color w:val="auto"/>
          <w:szCs w:val="21"/>
          <w:highlight w:val="none"/>
        </w:rPr>
      </w:pPr>
    </w:p>
    <w:p>
      <w:pPr>
        <w:pStyle w:val="2"/>
        <w:spacing w:line="360" w:lineRule="auto"/>
        <w:ind w:firstLine="420" w:firstLineChars="200"/>
        <w:rPr>
          <w:rFonts w:ascii="宋体" w:hAnsi="宋体"/>
          <w:color w:val="auto"/>
          <w:szCs w:val="21"/>
          <w:highlight w:val="none"/>
        </w:rPr>
      </w:pPr>
    </w:p>
    <w:p>
      <w:pPr>
        <w:pStyle w:val="2"/>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（以下无正文）</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pStyle w:val="2"/>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发包人：</w:t>
      </w:r>
      <w:r>
        <w:rPr>
          <w:rFonts w:hint="eastAsia" w:ascii="宋体" w:hAnsi="宋体" w:cs="宋体"/>
          <w:color w:val="auto"/>
          <w:szCs w:val="21"/>
          <w:highlight w:val="none"/>
          <w:u w:val="single"/>
        </w:rPr>
        <w:t xml:space="preserve">       </w:t>
      </w:r>
      <w:r>
        <w:rPr>
          <w:rFonts w:hint="eastAsia" w:ascii="宋体" w:hAnsi="宋体"/>
          <w:color w:val="auto"/>
          <w:szCs w:val="21"/>
          <w:highlight w:val="none"/>
        </w:rPr>
        <w:t>（发包人）</w:t>
      </w:r>
    </w:p>
    <w:p>
      <w:pPr>
        <w:spacing w:line="360" w:lineRule="auto"/>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s="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或委托代理人：</w:t>
      </w:r>
      <w:r>
        <w:rPr>
          <w:rFonts w:hint="eastAsia" w:ascii="宋体" w:hAnsi="宋体" w:cs="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s="宋体"/>
          <w:color w:val="auto"/>
          <w:szCs w:val="21"/>
          <w:highlight w:val="none"/>
          <w:u w:val="single"/>
        </w:rPr>
        <w:t xml:space="preserve">       </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承包人：</w:t>
      </w:r>
      <w:r>
        <w:rPr>
          <w:rFonts w:hint="eastAsia" w:ascii="宋体" w:hAnsi="宋体" w:cs="宋体"/>
          <w:color w:val="auto"/>
          <w:szCs w:val="21"/>
          <w:highlight w:val="none"/>
          <w:u w:val="single"/>
        </w:rPr>
        <w:t xml:space="preserve">       </w:t>
      </w:r>
      <w:r>
        <w:rPr>
          <w:rFonts w:hint="eastAsia" w:ascii="宋体" w:hAnsi="宋体"/>
          <w:color w:val="auto"/>
          <w:szCs w:val="21"/>
          <w:highlight w:val="none"/>
        </w:rPr>
        <w:t>（承包人）</w:t>
      </w:r>
    </w:p>
    <w:p>
      <w:pPr>
        <w:spacing w:line="360" w:lineRule="auto"/>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s="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或委托代理人：</w:t>
      </w:r>
      <w:r>
        <w:rPr>
          <w:rFonts w:hint="eastAsia" w:ascii="宋体" w:hAnsi="宋体" w:cs="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s="宋体"/>
          <w:color w:val="auto"/>
          <w:szCs w:val="21"/>
          <w:highlight w:val="none"/>
          <w:u w:val="single"/>
        </w:rPr>
        <w:t xml:space="preserve">       </w:t>
      </w:r>
    </w:p>
    <w:p>
      <w:pPr>
        <w:snapToGrid w:val="0"/>
        <w:spacing w:line="360" w:lineRule="auto"/>
        <w:ind w:firstLine="560"/>
        <w:rPr>
          <w:rFonts w:ascii="宋体" w:hAnsi="宋体"/>
          <w:color w:val="auto"/>
          <w:szCs w:val="21"/>
          <w:highlight w:val="none"/>
        </w:rPr>
      </w:pPr>
    </w:p>
    <w:p>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保障农民工工资支付协议附件1：</w:t>
      </w:r>
    </w:p>
    <w:p>
      <w:pPr>
        <w:widowControl/>
        <w:snapToGrid w:val="0"/>
        <w:spacing w:after="100" w:afterAutospacing="1" w:line="480" w:lineRule="auto"/>
        <w:jc w:val="center"/>
        <w:rPr>
          <w:rFonts w:ascii="宋体" w:hAnsi="宋体"/>
          <w:color w:val="auto"/>
          <w:szCs w:val="21"/>
          <w:highlight w:val="none"/>
        </w:rPr>
      </w:pPr>
      <w:r>
        <w:rPr>
          <w:rFonts w:hint="eastAsia" w:ascii="宋体" w:hAnsi="宋体"/>
          <w:color w:val="auto"/>
          <w:szCs w:val="21"/>
          <w:highlight w:val="none"/>
        </w:rPr>
        <w:t>关于农民工工资发放情况的说明表</w:t>
      </w:r>
    </w:p>
    <w:tbl>
      <w:tblPr>
        <w:tblStyle w:val="46"/>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7" w:type="dxa"/>
            <w:gridSpan w:val="2"/>
            <w:noWrap w:val="0"/>
            <w:vAlign w:val="top"/>
          </w:tcPr>
          <w:p>
            <w:pPr>
              <w:widowControl/>
              <w:snapToGrid w:val="0"/>
              <w:spacing w:after="100" w:afterAutospacing="1" w:line="400" w:lineRule="exact"/>
              <w:jc w:val="left"/>
              <w:rPr>
                <w:rFonts w:ascii="宋体" w:hAnsi="宋体"/>
                <w:color w:val="auto"/>
                <w:kern w:val="0"/>
                <w:szCs w:val="21"/>
                <w:highlight w:val="none"/>
              </w:rPr>
            </w:pPr>
            <w:r>
              <w:rPr>
                <w:rFonts w:hint="eastAsia" w:ascii="宋体" w:hAnsi="宋体"/>
                <w:color w:val="auto"/>
                <w:kern w:val="0"/>
                <w:szCs w:val="21"/>
                <w:highlight w:val="none"/>
              </w:rPr>
              <w:t>工程名称：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36" w:type="dxa"/>
            <w:noWrap w:val="0"/>
            <w:vAlign w:val="top"/>
          </w:tcPr>
          <w:p>
            <w:pPr>
              <w:widowControl/>
              <w:snapToGrid w:val="0"/>
              <w:spacing w:after="100" w:afterAutospacing="1" w:line="400" w:lineRule="exact"/>
              <w:rPr>
                <w:rFonts w:ascii="宋体" w:hAnsi="宋体"/>
                <w:color w:val="auto"/>
                <w:kern w:val="0"/>
                <w:szCs w:val="21"/>
                <w:highlight w:val="none"/>
              </w:rPr>
            </w:pPr>
            <w:r>
              <w:rPr>
                <w:rFonts w:hint="eastAsia" w:ascii="宋体" w:hAnsi="宋体"/>
                <w:color w:val="auto"/>
                <w:kern w:val="0"/>
                <w:szCs w:val="21"/>
                <w:highlight w:val="none"/>
              </w:rPr>
              <w:t>施工单位：</w:t>
            </w:r>
          </w:p>
        </w:tc>
        <w:tc>
          <w:tcPr>
            <w:tcW w:w="6201" w:type="dxa"/>
            <w:noWrap w:val="0"/>
            <w:vAlign w:val="top"/>
          </w:tcPr>
          <w:p>
            <w:pPr>
              <w:widowControl/>
              <w:snapToGrid w:val="0"/>
              <w:spacing w:after="100" w:afterAutospacing="1" w:line="400" w:lineRule="exact"/>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noWrap w:val="0"/>
            <w:vAlign w:val="top"/>
          </w:tcPr>
          <w:p>
            <w:pPr>
              <w:widowControl/>
              <w:snapToGrid w:val="0"/>
              <w:spacing w:after="100" w:afterAutospacing="1" w:line="400" w:lineRule="exact"/>
              <w:rPr>
                <w:rFonts w:ascii="宋体" w:hAnsi="宋体"/>
                <w:color w:val="auto"/>
                <w:kern w:val="0"/>
                <w:szCs w:val="21"/>
                <w:highlight w:val="none"/>
              </w:rPr>
            </w:pPr>
            <w:r>
              <w:rPr>
                <w:rFonts w:hint="eastAsia" w:ascii="宋体" w:hAnsi="宋体"/>
                <w:color w:val="auto"/>
                <w:kern w:val="0"/>
                <w:szCs w:val="21"/>
                <w:highlight w:val="none"/>
              </w:rPr>
              <w:t>监理单位：</w:t>
            </w:r>
          </w:p>
        </w:tc>
        <w:tc>
          <w:tcPr>
            <w:tcW w:w="6201" w:type="dxa"/>
            <w:noWrap w:val="0"/>
            <w:vAlign w:val="top"/>
          </w:tcPr>
          <w:p>
            <w:pPr>
              <w:widowControl/>
              <w:snapToGrid w:val="0"/>
              <w:spacing w:after="100" w:afterAutospacing="1" w:line="400" w:lineRule="exact"/>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8437" w:type="dxa"/>
            <w:gridSpan w:val="2"/>
            <w:noWrap w:val="0"/>
            <w:vAlign w:val="top"/>
          </w:tcPr>
          <w:p>
            <w:pPr>
              <w:widowControl/>
              <w:snapToGrid w:val="0"/>
              <w:spacing w:after="100" w:afterAutospacing="1" w:line="400" w:lineRule="exact"/>
              <w:rPr>
                <w:rFonts w:ascii="宋体" w:hAnsi="宋体"/>
                <w:color w:val="auto"/>
                <w:kern w:val="0"/>
                <w:szCs w:val="21"/>
                <w:highlight w:val="none"/>
                <w:u w:val="single"/>
              </w:rPr>
            </w:pPr>
          </w:p>
          <w:p>
            <w:pPr>
              <w:widowControl/>
              <w:snapToGrid w:val="0"/>
              <w:spacing w:after="100" w:afterAutospacing="1" w:line="400" w:lineRule="exact"/>
              <w:rPr>
                <w:rFonts w:ascii="宋体" w:hAnsi="宋体"/>
                <w:color w:val="auto"/>
                <w:kern w:val="0"/>
                <w:szCs w:val="21"/>
                <w:highlight w:val="none"/>
              </w:rPr>
            </w:pPr>
            <w:r>
              <w:rPr>
                <w:rFonts w:hint="eastAsia" w:ascii="宋体" w:hAnsi="宋体"/>
                <w:color w:val="auto"/>
                <w:kern w:val="0"/>
                <w:szCs w:val="21"/>
                <w:highlight w:val="none"/>
              </w:rPr>
              <w:t>（项目业主单位名称）：</w:t>
            </w:r>
            <w:r>
              <w:rPr>
                <w:rFonts w:hint="eastAsia" w:ascii="宋体" w:hAnsi="宋体"/>
                <w:color w:val="auto"/>
                <w:kern w:val="0"/>
                <w:szCs w:val="21"/>
                <w:highlight w:val="none"/>
                <w:u w:val="single"/>
              </w:rPr>
              <w:br w:type="textWrapping"/>
            </w:r>
            <w:r>
              <w:rPr>
                <w:rFonts w:hint="eastAsia" w:ascii="宋体" w:hAnsi="宋体"/>
                <w:color w:val="auto"/>
                <w:kern w:val="0"/>
                <w:szCs w:val="21"/>
                <w:highlight w:val="none"/>
              </w:rPr>
              <w:t xml:space="preserve">    我单位负责承建的（工程名称）无拖欠农民工资的情况，贵单位先期支付我单位的工程款已优先用于支付了农民工工资，农民工工资全部按时足额进行了发放，请贵单位予以审核。</w:t>
            </w:r>
            <w:r>
              <w:rPr>
                <w:rFonts w:hint="eastAsia" w:ascii="宋体" w:hAnsi="宋体"/>
                <w:color w:val="auto"/>
                <w:kern w:val="0"/>
                <w:szCs w:val="21"/>
                <w:highlight w:val="none"/>
              </w:rPr>
              <w:br w:type="textWrapping"/>
            </w:r>
          </w:p>
          <w:p>
            <w:pPr>
              <w:widowControl/>
              <w:snapToGrid w:val="0"/>
              <w:spacing w:after="100" w:afterAutospacing="1" w:line="400" w:lineRule="exact"/>
              <w:ind w:firstLine="1260" w:firstLineChars="600"/>
              <w:rPr>
                <w:rFonts w:ascii="宋体" w:hAnsi="宋体"/>
                <w:color w:val="auto"/>
                <w:kern w:val="0"/>
                <w:szCs w:val="21"/>
                <w:highlight w:val="none"/>
                <w:u w:val="single"/>
              </w:rPr>
            </w:pPr>
            <w:r>
              <w:rPr>
                <w:rFonts w:hint="eastAsia" w:ascii="宋体" w:hAnsi="宋体"/>
                <w:color w:val="auto"/>
                <w:kern w:val="0"/>
                <w:szCs w:val="21"/>
                <w:highlight w:val="none"/>
              </w:rPr>
              <w:t>施工单位项目负责人签名（加盖项目章）：</w:t>
            </w:r>
            <w:r>
              <w:rPr>
                <w:rFonts w:hint="eastAsia" w:ascii="宋体" w:hAnsi="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236" w:type="dxa"/>
            <w:noWrap w:val="0"/>
            <w:vAlign w:val="center"/>
          </w:tcPr>
          <w:p>
            <w:pPr>
              <w:widowControl/>
              <w:snapToGrid w:val="0"/>
              <w:spacing w:after="100" w:afterAutospacing="1"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监理单位意见：</w:t>
            </w:r>
          </w:p>
        </w:tc>
        <w:tc>
          <w:tcPr>
            <w:tcW w:w="6201" w:type="dxa"/>
            <w:noWrap w:val="0"/>
            <w:vAlign w:val="top"/>
          </w:tcPr>
          <w:p>
            <w:pPr>
              <w:widowControl/>
              <w:snapToGrid w:val="0"/>
              <w:spacing w:after="100" w:afterAutospacing="1" w:line="400" w:lineRule="exact"/>
              <w:rPr>
                <w:rFonts w:ascii="宋体" w:hAnsi="宋体"/>
                <w:color w:val="auto"/>
                <w:kern w:val="0"/>
                <w:szCs w:val="21"/>
                <w:highlight w:val="none"/>
                <w:u w:val="single"/>
              </w:rPr>
            </w:pPr>
          </w:p>
          <w:p>
            <w:pPr>
              <w:widowControl/>
              <w:snapToGrid w:val="0"/>
              <w:spacing w:after="100" w:afterAutospacing="1" w:line="400" w:lineRule="exact"/>
              <w:rPr>
                <w:rFonts w:ascii="宋体" w:hAnsi="宋体"/>
                <w:color w:val="auto"/>
                <w:kern w:val="0"/>
                <w:szCs w:val="21"/>
                <w:highlight w:val="none"/>
                <w:u w:val="single"/>
              </w:rPr>
            </w:pPr>
            <w:r>
              <w:rPr>
                <w:rFonts w:hint="eastAsia" w:ascii="宋体" w:hAnsi="宋体"/>
                <w:color w:val="auto"/>
                <w:kern w:val="0"/>
                <w:szCs w:val="21"/>
                <w:highlight w:val="none"/>
              </w:rPr>
              <w:t xml:space="preserve">             总监签名并加盖项目章：</w:t>
            </w:r>
            <w:r>
              <w:rPr>
                <w:rFonts w:hint="eastAsia" w:ascii="宋体" w:hAnsi="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236" w:type="dxa"/>
            <w:noWrap w:val="0"/>
            <w:vAlign w:val="center"/>
          </w:tcPr>
          <w:p>
            <w:pPr>
              <w:widowControl/>
              <w:snapToGrid w:val="0"/>
              <w:spacing w:after="100" w:afterAutospacing="1" w:line="400" w:lineRule="exact"/>
              <w:jc w:val="center"/>
              <w:rPr>
                <w:rFonts w:ascii="宋体" w:hAnsi="宋体"/>
                <w:color w:val="auto"/>
                <w:kern w:val="0"/>
                <w:szCs w:val="21"/>
                <w:highlight w:val="none"/>
              </w:rPr>
            </w:pPr>
            <w:r>
              <w:rPr>
                <w:rFonts w:hint="eastAsia" w:ascii="宋体" w:hAnsi="宋体"/>
                <w:color w:val="auto"/>
                <w:kern w:val="0"/>
                <w:szCs w:val="21"/>
                <w:highlight w:val="none"/>
              </w:rPr>
              <w:t>工程部项目负责人意见：</w:t>
            </w:r>
          </w:p>
        </w:tc>
        <w:tc>
          <w:tcPr>
            <w:tcW w:w="6201" w:type="dxa"/>
            <w:noWrap w:val="0"/>
            <w:vAlign w:val="top"/>
          </w:tcPr>
          <w:p>
            <w:pPr>
              <w:widowControl/>
              <w:snapToGrid w:val="0"/>
              <w:spacing w:after="100" w:afterAutospacing="1" w:line="400" w:lineRule="exact"/>
              <w:rPr>
                <w:rFonts w:ascii="宋体" w:hAnsi="宋体"/>
                <w:color w:val="auto"/>
                <w:kern w:val="0"/>
                <w:szCs w:val="21"/>
                <w:highlight w:val="none"/>
                <w:u w:val="single"/>
              </w:rPr>
            </w:pPr>
          </w:p>
          <w:p>
            <w:pPr>
              <w:widowControl/>
              <w:snapToGrid w:val="0"/>
              <w:spacing w:after="100" w:afterAutospacing="1" w:line="400" w:lineRule="exact"/>
              <w:rPr>
                <w:rFonts w:ascii="宋体" w:hAnsi="宋体"/>
                <w:color w:val="auto"/>
                <w:kern w:val="0"/>
                <w:szCs w:val="21"/>
                <w:highlight w:val="none"/>
                <w:u w:val="single"/>
              </w:rPr>
            </w:pPr>
            <w:r>
              <w:rPr>
                <w:rFonts w:hint="eastAsia" w:ascii="宋体" w:hAnsi="宋体"/>
                <w:color w:val="auto"/>
                <w:kern w:val="0"/>
                <w:szCs w:val="21"/>
                <w:highlight w:val="none"/>
              </w:rPr>
              <w:t xml:space="preserve">                   项目负责人签名：</w:t>
            </w:r>
            <w:r>
              <w:rPr>
                <w:rFonts w:hint="eastAsia" w:ascii="宋体" w:hAnsi="宋体"/>
                <w:color w:val="auto"/>
                <w:kern w:val="0"/>
                <w:szCs w:val="21"/>
                <w:highlight w:val="none"/>
                <w:u w:val="single"/>
              </w:rPr>
              <w:t xml:space="preserve">        </w:t>
            </w:r>
          </w:p>
        </w:tc>
      </w:tr>
    </w:tbl>
    <w:p>
      <w:pPr>
        <w:rPr>
          <w:rFonts w:ascii="宋体" w:hAnsi="宋体"/>
          <w:color w:val="auto"/>
          <w:sz w:val="24"/>
          <w:highlight w:val="none"/>
        </w:rPr>
      </w:pPr>
    </w:p>
    <w:bookmarkEnd w:id="355"/>
    <w:p>
      <w:pPr>
        <w:spacing w:line="360" w:lineRule="auto"/>
        <w:ind w:firstLine="420" w:firstLineChars="200"/>
        <w:rPr>
          <w:rFonts w:ascii="宋体" w:hAnsi="宋体"/>
          <w:color w:val="auto"/>
          <w:szCs w:val="20"/>
          <w:highlight w:val="none"/>
        </w:rPr>
      </w:pPr>
      <w:bookmarkStart w:id="1207" w:name="招标文件05章工程量清单"/>
      <w:bookmarkEnd w:id="1207"/>
    </w:p>
    <w:p>
      <w:pPr>
        <w:pStyle w:val="2"/>
        <w:ind w:left="0" w:leftChars="0" w:firstLine="0" w:firstLineChars="0"/>
        <w:rPr>
          <w:rFonts w:hint="default" w:ascii="Times New Roman" w:hAnsi="Times New Roman" w:cs="Times New Roman"/>
          <w:color w:val="auto"/>
          <w:highlight w:val="none"/>
        </w:rPr>
      </w:pPr>
    </w:p>
    <w:p>
      <w:pPr>
        <w:pStyle w:val="3"/>
        <w:spacing w:line="360" w:lineRule="auto"/>
        <w:jc w:val="left"/>
        <w:rPr>
          <w:rFonts w:ascii="宋体" w:hAnsi="宋体"/>
          <w:highlight w:val="none"/>
        </w:rPr>
        <w:sectPr>
          <w:footerReference r:id="rId7" w:type="default"/>
          <w:pgSz w:w="11906" w:h="16838"/>
          <w:pgMar w:top="1304" w:right="1134" w:bottom="1304" w:left="1304" w:header="851" w:footer="992" w:gutter="0"/>
          <w:cols w:space="720" w:num="1"/>
          <w:docGrid w:type="lines" w:linePitch="312" w:charSpace="0"/>
        </w:sectPr>
      </w:pPr>
    </w:p>
    <w:bookmarkEnd w:id="349"/>
    <w:bookmarkEnd w:id="350"/>
    <w:bookmarkEnd w:id="351"/>
    <w:p>
      <w:pPr>
        <w:pStyle w:val="3"/>
        <w:spacing w:before="0" w:after="0" w:line="360" w:lineRule="auto"/>
        <w:jc w:val="center"/>
        <w:rPr>
          <w:rFonts w:ascii="宋体" w:hAnsi="宋体"/>
          <w:highlight w:val="none"/>
        </w:rPr>
      </w:pPr>
      <w:bookmarkStart w:id="1208" w:name="_Toc24390"/>
      <w:bookmarkStart w:id="1209" w:name="_Toc23843"/>
      <w:bookmarkStart w:id="1210" w:name="_Toc287620812"/>
      <w:bookmarkStart w:id="1211" w:name="_Toc287607865"/>
      <w:bookmarkStart w:id="1212" w:name="_Toc430530528"/>
      <w:bookmarkStart w:id="1213" w:name="_Toc509218852"/>
      <w:bookmarkStart w:id="1214" w:name="_Toc534185829"/>
      <w:bookmarkStart w:id="1215" w:name="_Toc3098"/>
      <w:r>
        <w:rPr>
          <w:rFonts w:hint="eastAsia" w:ascii="宋体" w:hAnsi="宋体"/>
          <w:highlight w:val="none"/>
        </w:rPr>
        <w:t>第五章  工程量清单</w:t>
      </w:r>
      <w:bookmarkStart w:id="1216" w:name="招标文件05章工程量清单01"/>
      <w:bookmarkEnd w:id="1216"/>
      <w:bookmarkStart w:id="1217" w:name="_Toc277082638"/>
      <w:bookmarkStart w:id="1218" w:name="_Toc287607856"/>
      <w:bookmarkStart w:id="1219" w:name="_Toc430530514"/>
      <w:bookmarkStart w:id="1220" w:name="_Toc287620798"/>
      <w:bookmarkStart w:id="1221" w:name="_Toc224103477"/>
    </w:p>
    <w:bookmarkEnd w:id="1217"/>
    <w:bookmarkEnd w:id="1218"/>
    <w:bookmarkEnd w:id="1219"/>
    <w:bookmarkEnd w:id="1220"/>
    <w:bookmarkEnd w:id="1221"/>
    <w:p>
      <w:pPr>
        <w:snapToGrid w:val="0"/>
        <w:spacing w:line="360" w:lineRule="auto"/>
        <w:jc w:val="center"/>
        <w:rPr>
          <w:rFonts w:ascii="宋体" w:hAnsi="宋体"/>
          <w:sz w:val="24"/>
          <w:highlight w:val="none"/>
        </w:rPr>
      </w:pPr>
    </w:p>
    <w:p>
      <w:pPr>
        <w:snapToGrid w:val="0"/>
        <w:spacing w:line="360" w:lineRule="auto"/>
        <w:jc w:val="center"/>
        <w:rPr>
          <w:rFonts w:ascii="宋体" w:hAnsi="宋体"/>
          <w:szCs w:val="21"/>
          <w:highlight w:val="none"/>
        </w:rPr>
      </w:pPr>
      <w:r>
        <w:rPr>
          <w:rFonts w:hint="eastAsia" w:ascii="宋体" w:hAnsi="宋体"/>
          <w:szCs w:val="20"/>
          <w:highlight w:val="none"/>
          <w:lang w:val="en-US" w:eastAsia="zh-CN"/>
        </w:rPr>
        <w:t>同比选文件一并发布</w:t>
      </w:r>
      <w:r>
        <w:rPr>
          <w:rFonts w:hint="eastAsia" w:ascii="宋体" w:hAnsi="宋体"/>
          <w:szCs w:val="20"/>
          <w:highlight w:val="none"/>
        </w:rPr>
        <w:t>。</w:t>
      </w:r>
    </w:p>
    <w:p>
      <w:pPr>
        <w:ind w:right="561"/>
        <w:rPr>
          <w:rFonts w:ascii="宋体" w:hAnsi="宋体"/>
          <w:szCs w:val="21"/>
          <w:highlight w:val="none"/>
        </w:rPr>
      </w:pPr>
      <w:r>
        <w:rPr>
          <w:rFonts w:ascii="宋体" w:hAnsi="宋体"/>
          <w:sz w:val="24"/>
          <w:highlight w:val="none"/>
        </w:rPr>
        <w:br w:type="page"/>
      </w:r>
    </w:p>
    <w:p>
      <w:pPr>
        <w:spacing w:line="360" w:lineRule="auto"/>
        <w:rPr>
          <w:rFonts w:ascii="宋体" w:hAnsi="宋体"/>
          <w:szCs w:val="20"/>
          <w:highlight w:val="none"/>
        </w:rPr>
      </w:pPr>
    </w:p>
    <w:p>
      <w:pPr>
        <w:pStyle w:val="3"/>
        <w:spacing w:line="360" w:lineRule="auto"/>
        <w:jc w:val="center"/>
        <w:rPr>
          <w:rFonts w:hint="eastAsia" w:ascii="宋体" w:hAnsi="宋体" w:eastAsia="宋体"/>
          <w:highlight w:val="none"/>
          <w:lang w:eastAsia="zh-CN"/>
        </w:rPr>
      </w:pPr>
      <w:bookmarkStart w:id="1222" w:name="招标文件06章图纸"/>
      <w:bookmarkEnd w:id="1222"/>
      <w:bookmarkStart w:id="1223" w:name="_Toc30298"/>
      <w:bookmarkStart w:id="1224" w:name="_Toc534185825"/>
      <w:bookmarkStart w:id="1225" w:name="_Toc22154"/>
      <w:bookmarkStart w:id="1226" w:name="_Toc430530519"/>
      <w:bookmarkStart w:id="1227" w:name="_Toc8087"/>
      <w:bookmarkStart w:id="1228" w:name="_Toc287607861"/>
      <w:bookmarkStart w:id="1229" w:name="_Toc287620803"/>
      <w:bookmarkStart w:id="1230" w:name="_Toc509218846"/>
      <w:r>
        <w:rPr>
          <w:rFonts w:hint="eastAsia" w:ascii="宋体" w:hAnsi="宋体"/>
          <w:highlight w:val="none"/>
        </w:rPr>
        <w:t>第六章  图纸</w:t>
      </w:r>
      <w:bookmarkEnd w:id="1223"/>
      <w:bookmarkEnd w:id="1224"/>
      <w:bookmarkEnd w:id="1225"/>
      <w:bookmarkEnd w:id="1226"/>
      <w:bookmarkEnd w:id="1227"/>
      <w:bookmarkEnd w:id="1228"/>
      <w:bookmarkEnd w:id="1229"/>
      <w:bookmarkEnd w:id="1230"/>
      <w:r>
        <w:rPr>
          <w:rFonts w:hint="eastAsia" w:ascii="宋体" w:hAnsi="宋体"/>
          <w:highlight w:val="none"/>
          <w:lang w:eastAsia="zh-CN"/>
        </w:rPr>
        <w:t>（</w:t>
      </w:r>
      <w:r>
        <w:rPr>
          <w:rFonts w:hint="eastAsia" w:ascii="宋体" w:hAnsi="宋体"/>
          <w:highlight w:val="none"/>
          <w:lang w:val="en-US" w:eastAsia="zh-CN"/>
        </w:rPr>
        <w:t>如有</w:t>
      </w:r>
      <w:r>
        <w:rPr>
          <w:rFonts w:hint="eastAsia" w:ascii="宋体" w:hAnsi="宋体"/>
          <w:highlight w:val="none"/>
          <w:lang w:eastAsia="zh-CN"/>
        </w:rPr>
        <w:t>）</w:t>
      </w:r>
    </w:p>
    <w:p>
      <w:pPr>
        <w:snapToGrid w:val="0"/>
        <w:spacing w:line="360" w:lineRule="auto"/>
        <w:jc w:val="center"/>
        <w:rPr>
          <w:rFonts w:ascii="宋体" w:hAnsi="宋体"/>
          <w:szCs w:val="21"/>
          <w:highlight w:val="none"/>
        </w:rPr>
      </w:pPr>
      <w:r>
        <w:rPr>
          <w:rFonts w:hint="eastAsia" w:ascii="宋体" w:hAnsi="宋体"/>
          <w:szCs w:val="20"/>
          <w:highlight w:val="none"/>
          <w:lang w:val="en-US" w:eastAsia="zh-CN"/>
        </w:rPr>
        <w:t>同比选文件一并发布</w:t>
      </w:r>
      <w:r>
        <w:rPr>
          <w:rFonts w:hint="eastAsia" w:ascii="宋体" w:hAnsi="宋体"/>
          <w:szCs w:val="20"/>
          <w:highlight w:val="none"/>
        </w:rPr>
        <w:t>。</w:t>
      </w:r>
    </w:p>
    <w:p>
      <w:pPr>
        <w:spacing w:line="360" w:lineRule="auto"/>
        <w:jc w:val="center"/>
        <w:rPr>
          <w:rFonts w:ascii="宋体" w:hAnsi="宋体"/>
          <w:szCs w:val="20"/>
          <w:highlight w:val="none"/>
        </w:rPr>
      </w:pPr>
    </w:p>
    <w:p>
      <w:pPr>
        <w:spacing w:line="360" w:lineRule="auto"/>
        <w:rPr>
          <w:rFonts w:ascii="宋体" w:hAnsi="宋体"/>
          <w:szCs w:val="20"/>
          <w:highlight w:val="none"/>
        </w:rPr>
      </w:pPr>
      <w:bookmarkStart w:id="1231" w:name="招标文件06章图纸01"/>
      <w:bookmarkEnd w:id="1231"/>
      <w:bookmarkStart w:id="1232" w:name="_Toc430530520"/>
      <w:bookmarkStart w:id="1233" w:name="_Toc287620804"/>
    </w:p>
    <w:bookmarkEnd w:id="1232"/>
    <w:bookmarkEnd w:id="1233"/>
    <w:p>
      <w:pPr>
        <w:spacing w:line="360" w:lineRule="auto"/>
        <w:rPr>
          <w:rFonts w:ascii="宋体" w:hAnsi="宋体"/>
          <w:highlight w:val="none"/>
        </w:rPr>
      </w:pPr>
      <w:r>
        <w:rPr>
          <w:rFonts w:ascii="宋体" w:hAnsi="宋体"/>
          <w:szCs w:val="20"/>
          <w:highlight w:val="none"/>
        </w:rPr>
        <w:br w:type="page"/>
      </w:r>
    </w:p>
    <w:p>
      <w:pPr>
        <w:pStyle w:val="3"/>
        <w:spacing w:line="360" w:lineRule="auto"/>
        <w:jc w:val="center"/>
        <w:rPr>
          <w:rFonts w:ascii="宋体" w:hAnsi="宋体"/>
          <w:highlight w:val="none"/>
        </w:rPr>
      </w:pPr>
      <w:bookmarkStart w:id="1234" w:name="招标文件07章技术标准和要求"/>
      <w:bookmarkEnd w:id="1234"/>
      <w:r>
        <w:rPr>
          <w:rFonts w:ascii="宋体" w:hAnsi="宋体"/>
          <w:highlight w:val="none"/>
        </w:rPr>
        <w:t>第七章</w:t>
      </w:r>
      <w:r>
        <w:rPr>
          <w:rFonts w:hint="eastAsia" w:ascii="宋体" w:hAnsi="宋体"/>
          <w:highlight w:val="none"/>
        </w:rPr>
        <w:t xml:space="preserve">  </w:t>
      </w:r>
      <w:r>
        <w:rPr>
          <w:rFonts w:ascii="宋体" w:hAnsi="宋体"/>
          <w:highlight w:val="none"/>
        </w:rPr>
        <w:t>技术标准和要求</w:t>
      </w:r>
      <w:bookmarkStart w:id="1235" w:name="招标文件07章技术标准和要求01"/>
      <w:bookmarkEnd w:id="1235"/>
      <w:bookmarkStart w:id="1236" w:name="_Toc430530524"/>
      <w:bookmarkStart w:id="1237" w:name="_Toc287620808"/>
    </w:p>
    <w:bookmarkEnd w:id="1236"/>
    <w:bookmarkEnd w:id="1237"/>
    <w:p>
      <w:pPr>
        <w:spacing w:line="360" w:lineRule="auto"/>
        <w:jc w:val="center"/>
        <w:rPr>
          <w:rFonts w:ascii="宋体" w:hAnsi="宋体"/>
          <w:szCs w:val="21"/>
          <w:highlight w:val="none"/>
        </w:rPr>
      </w:pPr>
      <w:r>
        <w:rPr>
          <w:rFonts w:ascii="宋体" w:hAnsi="宋体"/>
          <w:szCs w:val="21"/>
          <w:highlight w:val="none"/>
        </w:rPr>
        <w:t>由</w:t>
      </w:r>
      <w:r>
        <w:rPr>
          <w:rFonts w:hint="eastAsia" w:ascii="宋体" w:hAnsi="宋体"/>
          <w:szCs w:val="21"/>
          <w:highlight w:val="none"/>
          <w:lang w:eastAsia="zh-CN"/>
        </w:rPr>
        <w:t>比选人</w:t>
      </w:r>
      <w:r>
        <w:rPr>
          <w:rFonts w:ascii="宋体" w:hAnsi="宋体"/>
          <w:szCs w:val="21"/>
          <w:highlight w:val="none"/>
        </w:rPr>
        <w:t>根据招标项目的实际情况编写</w:t>
      </w:r>
      <w:r>
        <w:rPr>
          <w:rFonts w:hint="eastAsia" w:ascii="宋体" w:hAnsi="宋体"/>
          <w:szCs w:val="21"/>
          <w:highlight w:val="none"/>
        </w:rPr>
        <w:t>（如有）。</w:t>
      </w:r>
    </w:p>
    <w:p>
      <w:pPr>
        <w:spacing w:line="360" w:lineRule="auto"/>
        <w:rPr>
          <w:rFonts w:ascii="宋体" w:hAnsi="宋体"/>
          <w:highlight w:val="none"/>
        </w:rPr>
      </w:pPr>
      <w:r>
        <w:rPr>
          <w:rFonts w:ascii="宋体" w:hAnsi="宋体"/>
          <w:highlight w:val="none"/>
        </w:rPr>
        <w:br w:type="page"/>
      </w:r>
    </w:p>
    <w:p>
      <w:pPr>
        <w:pStyle w:val="3"/>
        <w:spacing w:line="360" w:lineRule="auto"/>
        <w:jc w:val="center"/>
        <w:rPr>
          <w:rFonts w:ascii="宋体" w:hAnsi="宋体"/>
          <w:highlight w:val="none"/>
        </w:rPr>
      </w:pPr>
      <w:r>
        <w:rPr>
          <w:rFonts w:hint="eastAsia" w:ascii="宋体" w:hAnsi="宋体"/>
          <w:highlight w:val="none"/>
        </w:rPr>
        <w:t xml:space="preserve">第八章  </w:t>
      </w:r>
      <w:r>
        <w:rPr>
          <w:rFonts w:hint="eastAsia" w:ascii="宋体" w:hAnsi="宋体"/>
          <w:highlight w:val="none"/>
          <w:lang w:eastAsia="zh-CN"/>
        </w:rPr>
        <w:t>竞选文件</w:t>
      </w:r>
      <w:r>
        <w:rPr>
          <w:rFonts w:hint="eastAsia" w:ascii="宋体" w:hAnsi="宋体"/>
          <w:highlight w:val="none"/>
        </w:rPr>
        <w:t>格式</w:t>
      </w:r>
    </w:p>
    <w:bookmarkEnd w:id="1208"/>
    <w:bookmarkEnd w:id="1209"/>
    <w:bookmarkEnd w:id="1210"/>
    <w:bookmarkEnd w:id="1211"/>
    <w:bookmarkEnd w:id="1212"/>
    <w:bookmarkEnd w:id="1213"/>
    <w:bookmarkEnd w:id="1214"/>
    <w:bookmarkEnd w:id="1215"/>
    <w:p>
      <w:pPr>
        <w:spacing w:line="360" w:lineRule="auto"/>
        <w:rPr>
          <w:rFonts w:ascii="宋体" w:hAnsi="宋体"/>
          <w:sz w:val="32"/>
          <w:szCs w:val="32"/>
          <w:highlight w:val="none"/>
        </w:rPr>
      </w:pPr>
    </w:p>
    <w:p>
      <w:pPr>
        <w:spacing w:line="360" w:lineRule="auto"/>
        <w:jc w:val="center"/>
        <w:rPr>
          <w:rFonts w:ascii="宋体" w:hAnsi="宋体"/>
          <w:sz w:val="36"/>
          <w:szCs w:val="36"/>
          <w:highlight w:val="none"/>
        </w:rPr>
      </w:pPr>
      <w:bookmarkStart w:id="1238" w:name="_Toc224103493"/>
      <w:r>
        <w:rPr>
          <w:rFonts w:hint="eastAsia" w:ascii="宋体" w:hAnsi="宋体"/>
          <w:sz w:val="36"/>
          <w:szCs w:val="36"/>
          <w:highlight w:val="none"/>
        </w:rPr>
        <w:t>目  录</w:t>
      </w:r>
      <w:bookmarkEnd w:id="1238"/>
    </w:p>
    <w:p>
      <w:pPr>
        <w:spacing w:line="360" w:lineRule="auto"/>
        <w:jc w:val="center"/>
        <w:rPr>
          <w:rFonts w:ascii="宋体" w:hAnsi="宋体"/>
          <w:szCs w:val="20"/>
          <w:highlight w:val="none"/>
        </w:rPr>
      </w:pPr>
    </w:p>
    <w:p>
      <w:pPr>
        <w:spacing w:line="360" w:lineRule="auto"/>
        <w:rPr>
          <w:rFonts w:ascii="宋体" w:hAnsi="宋体"/>
          <w:b/>
          <w:highlight w:val="none"/>
        </w:rPr>
      </w:pPr>
      <w:r>
        <w:rPr>
          <w:rFonts w:hint="eastAsia" w:ascii="宋体" w:hAnsi="宋体"/>
          <w:b/>
          <w:highlight w:val="none"/>
          <w:lang w:val="en-US" w:eastAsia="zh-CN"/>
        </w:rPr>
        <w:t>一</w:t>
      </w:r>
      <w:r>
        <w:rPr>
          <w:rFonts w:ascii="宋体" w:hAnsi="宋体"/>
          <w:b/>
          <w:highlight w:val="none"/>
        </w:rPr>
        <w:t>、</w:t>
      </w:r>
      <w:r>
        <w:rPr>
          <w:rFonts w:hint="eastAsia" w:ascii="宋体" w:hAnsi="宋体"/>
          <w:b/>
          <w:highlight w:val="none"/>
          <w:lang w:eastAsia="zh-CN"/>
        </w:rPr>
        <w:t>竞选函</w:t>
      </w:r>
      <w:r>
        <w:rPr>
          <w:rFonts w:ascii="宋体" w:hAnsi="宋体"/>
          <w:b/>
          <w:highlight w:val="none"/>
        </w:rPr>
        <w:t>部分</w:t>
      </w:r>
    </w:p>
    <w:p>
      <w:pPr>
        <w:spacing w:line="360" w:lineRule="auto"/>
        <w:ind w:firstLine="420" w:firstLineChars="200"/>
        <w:rPr>
          <w:rFonts w:hint="eastAsia" w:ascii="宋体" w:hAnsi="宋体" w:eastAsia="宋体"/>
          <w:highlight w:val="none"/>
          <w:lang w:eastAsia="zh-CN"/>
        </w:rPr>
      </w:pPr>
      <w:r>
        <w:rPr>
          <w:rFonts w:ascii="宋体" w:hAnsi="宋体"/>
          <w:highlight w:val="none"/>
        </w:rPr>
        <w:t>（一）</w:t>
      </w:r>
      <w:r>
        <w:rPr>
          <w:rFonts w:hint="eastAsia" w:ascii="宋体" w:hAnsi="宋体"/>
          <w:highlight w:val="none"/>
          <w:lang w:eastAsia="zh-CN"/>
        </w:rPr>
        <w:t>竞选函</w:t>
      </w:r>
    </w:p>
    <w:p>
      <w:pPr>
        <w:spacing w:line="360" w:lineRule="auto"/>
        <w:ind w:firstLine="420" w:firstLineChars="200"/>
        <w:rPr>
          <w:rFonts w:ascii="宋体" w:hAnsi="宋体"/>
          <w:highlight w:val="none"/>
        </w:rPr>
      </w:pPr>
      <w:r>
        <w:rPr>
          <w:rFonts w:ascii="宋体" w:hAnsi="宋体"/>
          <w:highlight w:val="none"/>
        </w:rPr>
        <w:t>（二）</w:t>
      </w:r>
      <w:r>
        <w:rPr>
          <w:rFonts w:hint="eastAsia" w:ascii="宋体" w:hAnsi="宋体"/>
          <w:highlight w:val="none"/>
          <w:lang w:eastAsia="zh-CN"/>
        </w:rPr>
        <w:t>竞选函</w:t>
      </w:r>
      <w:r>
        <w:rPr>
          <w:rFonts w:ascii="宋体" w:hAnsi="宋体"/>
          <w:highlight w:val="none"/>
        </w:rPr>
        <w:t>附录</w:t>
      </w:r>
    </w:p>
    <w:p>
      <w:pPr>
        <w:spacing w:line="360" w:lineRule="auto"/>
        <w:ind w:firstLine="420" w:firstLineChars="200"/>
        <w:rPr>
          <w:rFonts w:hint="eastAsia" w:ascii="宋体" w:hAnsi="宋体"/>
          <w:highlight w:val="none"/>
        </w:rPr>
      </w:pPr>
      <w:r>
        <w:rPr>
          <w:rFonts w:ascii="宋体" w:hAnsi="宋体"/>
          <w:highlight w:val="none"/>
        </w:rPr>
        <w:t>（三）</w:t>
      </w:r>
      <w:r>
        <w:rPr>
          <w:rFonts w:hint="eastAsia" w:ascii="宋体" w:hAnsi="宋体"/>
          <w:highlight w:val="none"/>
        </w:rPr>
        <w:t>法定代表人身份证明或附有法定代表人身份证明的授权委托书</w:t>
      </w:r>
      <w:bookmarkStart w:id="1239" w:name="_Toc224103498"/>
      <w:bookmarkStart w:id="1240" w:name="_Toc277082646"/>
      <w:bookmarkStart w:id="1241" w:name="_Toc287620817"/>
      <w:bookmarkStart w:id="1242" w:name="_Toc287607870"/>
      <w:bookmarkStart w:id="1243" w:name="_Toc13933"/>
      <w:bookmarkStart w:id="1244" w:name="_Toc57905922"/>
    </w:p>
    <w:p>
      <w:pPr>
        <w:spacing w:line="360" w:lineRule="auto"/>
        <w:ind w:firstLine="420" w:firstLineChars="200"/>
      </w:pPr>
      <w:r>
        <w:rPr>
          <w:rFonts w:hint="eastAsia" w:ascii="宋体" w:hAnsi="宋体" w:eastAsia="宋体" w:cs="Times New Roman"/>
          <w:b w:val="0"/>
          <w:bCs w:val="0"/>
          <w:kern w:val="2"/>
          <w:sz w:val="21"/>
          <w:szCs w:val="24"/>
          <w:highlight w:val="none"/>
          <w:lang w:val="en-US" w:eastAsia="zh-CN" w:bidi="ar-SA"/>
        </w:rPr>
        <w:t>（四）</w:t>
      </w:r>
      <w:bookmarkEnd w:id="1239"/>
      <w:bookmarkEnd w:id="1240"/>
      <w:bookmarkEnd w:id="1241"/>
      <w:bookmarkEnd w:id="1242"/>
      <w:r>
        <w:rPr>
          <w:rFonts w:hint="eastAsia" w:ascii="宋体" w:hAnsi="宋体" w:eastAsia="宋体" w:cs="Times New Roman"/>
          <w:b w:val="0"/>
          <w:bCs w:val="0"/>
          <w:kern w:val="2"/>
          <w:sz w:val="21"/>
          <w:szCs w:val="24"/>
          <w:highlight w:val="none"/>
          <w:lang w:val="en-US" w:eastAsia="zh-CN" w:bidi="ar-SA"/>
        </w:rPr>
        <w:t>低价风险担保提交承诺书</w:t>
      </w:r>
      <w:bookmarkEnd w:id="1243"/>
      <w:bookmarkEnd w:id="1244"/>
    </w:p>
    <w:p>
      <w:pPr>
        <w:spacing w:line="360" w:lineRule="auto"/>
        <w:rPr>
          <w:rFonts w:ascii="宋体" w:hAnsi="宋体"/>
          <w:b/>
          <w:highlight w:val="none"/>
        </w:rPr>
      </w:pPr>
      <w:r>
        <w:rPr>
          <w:rFonts w:hint="eastAsia" w:ascii="宋体" w:hAnsi="宋体"/>
          <w:b/>
          <w:highlight w:val="none"/>
          <w:lang w:val="en-US" w:eastAsia="zh-CN"/>
        </w:rPr>
        <w:t>二</w:t>
      </w:r>
      <w:r>
        <w:rPr>
          <w:rFonts w:ascii="宋体" w:hAnsi="宋体"/>
          <w:b/>
          <w:highlight w:val="none"/>
        </w:rPr>
        <w:t>、</w:t>
      </w:r>
      <w:r>
        <w:rPr>
          <w:rFonts w:hint="eastAsia" w:ascii="宋体" w:hAnsi="宋体"/>
          <w:b/>
          <w:highlight w:val="none"/>
        </w:rPr>
        <w:t>经济</w:t>
      </w:r>
      <w:r>
        <w:rPr>
          <w:rFonts w:ascii="宋体" w:hAnsi="宋体"/>
          <w:b/>
          <w:highlight w:val="none"/>
        </w:rPr>
        <w:t>部分</w:t>
      </w:r>
    </w:p>
    <w:p>
      <w:pPr>
        <w:spacing w:line="360" w:lineRule="auto"/>
        <w:ind w:firstLine="420" w:firstLineChars="200"/>
        <w:rPr>
          <w:rFonts w:ascii="宋体" w:hAnsi="宋体"/>
          <w:highlight w:val="none"/>
        </w:rPr>
      </w:pPr>
      <w:r>
        <w:rPr>
          <w:rFonts w:ascii="宋体" w:hAnsi="宋体"/>
          <w:highlight w:val="none"/>
        </w:rPr>
        <w:t>已标价工程量清单</w:t>
      </w:r>
    </w:p>
    <w:p>
      <w:pPr>
        <w:spacing w:line="360" w:lineRule="auto"/>
        <w:rPr>
          <w:rFonts w:ascii="宋体" w:hAnsi="宋体"/>
          <w:b/>
          <w:highlight w:val="none"/>
        </w:rPr>
      </w:pPr>
      <w:r>
        <w:rPr>
          <w:rFonts w:hint="eastAsia" w:ascii="宋体" w:hAnsi="宋体"/>
          <w:b/>
          <w:highlight w:val="none"/>
          <w:lang w:val="en-US" w:eastAsia="zh-CN"/>
        </w:rPr>
        <w:t>三</w:t>
      </w:r>
      <w:r>
        <w:rPr>
          <w:rFonts w:ascii="宋体" w:hAnsi="宋体"/>
          <w:b/>
          <w:highlight w:val="none"/>
        </w:rPr>
        <w:t>、</w:t>
      </w:r>
      <w:r>
        <w:rPr>
          <w:rFonts w:hint="eastAsia" w:ascii="宋体" w:hAnsi="宋体"/>
          <w:b/>
          <w:highlight w:val="none"/>
        </w:rPr>
        <w:t>资格审查部分</w:t>
      </w:r>
    </w:p>
    <w:p>
      <w:pPr>
        <w:spacing w:line="360" w:lineRule="auto"/>
        <w:ind w:firstLine="420" w:firstLineChars="200"/>
        <w:rPr>
          <w:rFonts w:ascii="宋体" w:hAnsi="宋体"/>
          <w:highlight w:val="none"/>
        </w:rPr>
      </w:pPr>
      <w:r>
        <w:rPr>
          <w:rFonts w:ascii="宋体" w:hAnsi="宋体"/>
          <w:highlight w:val="none"/>
        </w:rPr>
        <w:t>（一）</w:t>
      </w:r>
      <w:r>
        <w:rPr>
          <w:rFonts w:hint="eastAsia" w:ascii="宋体" w:hAnsi="宋体"/>
          <w:highlight w:val="none"/>
        </w:rPr>
        <w:t>法定代表人身份证明或附有法定代表人身份证明的授权委托书</w:t>
      </w:r>
    </w:p>
    <w:p>
      <w:pPr>
        <w:spacing w:line="360" w:lineRule="auto"/>
        <w:ind w:firstLine="420" w:firstLineChars="200"/>
        <w:rPr>
          <w:rFonts w:ascii="宋体" w:hAnsi="宋体"/>
          <w:highlight w:val="none"/>
        </w:rPr>
      </w:pPr>
      <w:r>
        <w:rPr>
          <w:rFonts w:ascii="宋体" w:hAnsi="宋体"/>
          <w:highlight w:val="none"/>
        </w:rPr>
        <w:t>（二）</w:t>
      </w:r>
      <w:r>
        <w:rPr>
          <w:rFonts w:hint="eastAsia" w:ascii="宋体" w:hAnsi="宋体"/>
          <w:highlight w:val="none"/>
          <w:lang w:eastAsia="zh-CN"/>
        </w:rPr>
        <w:t>竞选人</w:t>
      </w:r>
      <w:r>
        <w:rPr>
          <w:rFonts w:ascii="宋体" w:hAnsi="宋体"/>
          <w:highlight w:val="none"/>
        </w:rPr>
        <w:t>基本情况表</w:t>
      </w:r>
    </w:p>
    <w:p>
      <w:pPr>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lang w:val="en-US" w:eastAsia="zh-CN"/>
        </w:rPr>
        <w:t>三</w:t>
      </w:r>
      <w:r>
        <w:rPr>
          <w:rFonts w:ascii="宋体" w:hAnsi="宋体"/>
          <w:highlight w:val="none"/>
        </w:rPr>
        <w:t>）项目管理机构</w:t>
      </w:r>
    </w:p>
    <w:p>
      <w:pPr>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lang w:val="en-US" w:eastAsia="zh-CN"/>
        </w:rPr>
        <w:t>四</w:t>
      </w:r>
      <w:r>
        <w:rPr>
          <w:rFonts w:ascii="宋体" w:hAnsi="宋体"/>
          <w:highlight w:val="none"/>
        </w:rPr>
        <w:t>）</w:t>
      </w:r>
      <w:r>
        <w:rPr>
          <w:rFonts w:hint="eastAsia" w:ascii="宋体" w:hAnsi="宋体"/>
          <w:highlight w:val="none"/>
        </w:rPr>
        <w:t>承诺</w:t>
      </w:r>
    </w:p>
    <w:p>
      <w:pPr>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lang w:val="en-US" w:eastAsia="zh-CN"/>
        </w:rPr>
        <w:t>五</w:t>
      </w:r>
      <w:r>
        <w:rPr>
          <w:rFonts w:ascii="宋体" w:hAnsi="宋体"/>
          <w:highlight w:val="none"/>
        </w:rPr>
        <w:t>）其他资料</w:t>
      </w:r>
    </w:p>
    <w:p>
      <w:pPr>
        <w:spacing w:line="360" w:lineRule="auto"/>
        <w:rPr>
          <w:rFonts w:ascii="宋体" w:hAnsi="宋体"/>
          <w:highlight w:val="none"/>
        </w:rPr>
      </w:pPr>
    </w:p>
    <w:p>
      <w:pPr>
        <w:autoSpaceDE w:val="0"/>
        <w:autoSpaceDN w:val="0"/>
        <w:adjustRightInd w:val="0"/>
        <w:spacing w:line="276" w:lineRule="auto"/>
        <w:ind w:right="-23"/>
        <w:jc w:val="left"/>
        <w:rPr>
          <w:rFonts w:ascii="宋体" w:hAnsi="宋体"/>
          <w:b/>
          <w:kern w:val="0"/>
          <w:sz w:val="24"/>
          <w:highlight w:val="none"/>
        </w:rPr>
      </w:pPr>
      <w:r>
        <w:rPr>
          <w:rFonts w:ascii="宋体" w:hAnsi="宋体"/>
          <w:b/>
          <w:kern w:val="0"/>
          <w:sz w:val="24"/>
          <w:highlight w:val="none"/>
        </w:rPr>
        <w:br w:type="page"/>
      </w:r>
      <w:bookmarkStart w:id="1245" w:name="_Toc430530529"/>
      <w:bookmarkStart w:id="1246" w:name="_Toc277082642"/>
      <w:bookmarkStart w:id="1247" w:name="_Toc287620813"/>
      <w:bookmarkStart w:id="1248" w:name="_Toc224103494"/>
      <w:bookmarkStart w:id="1249" w:name="_Toc287607866"/>
    </w:p>
    <w:p>
      <w:pPr>
        <w:pStyle w:val="4"/>
        <w:spacing w:line="360" w:lineRule="auto"/>
        <w:jc w:val="center"/>
        <w:rPr>
          <w:rFonts w:ascii="宋体" w:hAnsi="宋体"/>
          <w:b w:val="0"/>
          <w:bCs w:val="0"/>
          <w:sz w:val="44"/>
          <w:szCs w:val="44"/>
          <w:highlight w:val="none"/>
        </w:rPr>
      </w:pPr>
      <w:bookmarkStart w:id="1250" w:name="_Toc27035"/>
      <w:bookmarkStart w:id="1251" w:name="_Toc19476"/>
      <w:r>
        <w:rPr>
          <w:rFonts w:hint="eastAsia" w:ascii="宋体" w:hAnsi="宋体"/>
          <w:b w:val="0"/>
          <w:bCs w:val="0"/>
          <w:sz w:val="44"/>
          <w:szCs w:val="44"/>
          <w:highlight w:val="none"/>
          <w:lang w:val="en-US" w:eastAsia="zh-CN"/>
        </w:rPr>
        <w:t>一</w:t>
      </w:r>
      <w:r>
        <w:rPr>
          <w:rFonts w:hint="eastAsia" w:ascii="宋体" w:hAnsi="宋体"/>
          <w:b w:val="0"/>
          <w:bCs w:val="0"/>
          <w:sz w:val="44"/>
          <w:szCs w:val="44"/>
          <w:highlight w:val="none"/>
        </w:rPr>
        <w:t>、</w:t>
      </w:r>
      <w:r>
        <w:rPr>
          <w:rFonts w:hint="eastAsia" w:ascii="宋体" w:hAnsi="宋体"/>
          <w:b w:val="0"/>
          <w:bCs w:val="0"/>
          <w:sz w:val="44"/>
          <w:szCs w:val="44"/>
          <w:highlight w:val="none"/>
          <w:lang w:eastAsia="zh-CN"/>
        </w:rPr>
        <w:t>竞选函</w:t>
      </w:r>
      <w:r>
        <w:rPr>
          <w:rFonts w:hint="eastAsia" w:ascii="宋体" w:hAnsi="宋体"/>
          <w:b w:val="0"/>
          <w:bCs w:val="0"/>
          <w:sz w:val="44"/>
          <w:szCs w:val="44"/>
          <w:highlight w:val="none"/>
        </w:rPr>
        <w:t>部分</w:t>
      </w:r>
      <w:bookmarkEnd w:id="1245"/>
      <w:bookmarkEnd w:id="1246"/>
      <w:bookmarkEnd w:id="1247"/>
      <w:bookmarkEnd w:id="1248"/>
      <w:bookmarkEnd w:id="1249"/>
      <w:bookmarkEnd w:id="1250"/>
      <w:bookmarkEnd w:id="1251"/>
    </w:p>
    <w:p>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pPr>
        <w:tabs>
          <w:tab w:val="left" w:pos="2580"/>
          <w:tab w:val="left" w:pos="5940"/>
        </w:tabs>
        <w:autoSpaceDE w:val="0"/>
        <w:autoSpaceDN w:val="0"/>
        <w:adjustRightInd w:val="0"/>
        <w:snapToGrid w:val="0"/>
        <w:spacing w:line="360" w:lineRule="auto"/>
        <w:jc w:val="center"/>
        <w:rPr>
          <w:rFonts w:ascii="宋体" w:hAnsi="宋体"/>
          <w:kern w:val="0"/>
          <w:sz w:val="32"/>
          <w:szCs w:val="32"/>
          <w:highlight w:val="none"/>
        </w:rPr>
      </w:pPr>
      <w:r>
        <w:rPr>
          <w:rFonts w:hint="eastAsia" w:ascii="宋体" w:hAnsi="宋体"/>
          <w:kern w:val="0"/>
          <w:sz w:val="32"/>
          <w:szCs w:val="32"/>
          <w:highlight w:val="none"/>
          <w:u w:val="single"/>
          <w:lang w:val="en-US" w:eastAsia="zh-CN"/>
        </w:rPr>
        <w:t xml:space="preserve">                      </w:t>
      </w:r>
      <w:r>
        <w:rPr>
          <w:rFonts w:hint="eastAsia" w:ascii="宋体" w:hAnsi="宋体"/>
          <w:kern w:val="0"/>
          <w:sz w:val="32"/>
          <w:szCs w:val="32"/>
          <w:highlight w:val="none"/>
          <w:u w:val="single"/>
        </w:rPr>
        <w:t>（项目名称）</w:t>
      </w: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highlight w:val="none"/>
        </w:rPr>
      </w:pPr>
      <w:r>
        <w:rPr>
          <w:rFonts w:hint="eastAsia" w:ascii="宋体" w:hAnsi="宋体"/>
          <w:kern w:val="0"/>
          <w:sz w:val="72"/>
          <w:szCs w:val="72"/>
          <w:highlight w:val="none"/>
        </w:rPr>
        <w:t>投 标 文 件</w:t>
      </w:r>
    </w:p>
    <w:p>
      <w:pPr>
        <w:autoSpaceDE w:val="0"/>
        <w:autoSpaceDN w:val="0"/>
        <w:adjustRightInd w:val="0"/>
        <w:snapToGrid w:val="0"/>
        <w:spacing w:line="360" w:lineRule="auto"/>
        <w:jc w:val="left"/>
        <w:rPr>
          <w:rFonts w:ascii="宋体" w:hAnsi="宋体"/>
          <w:kern w:val="0"/>
          <w:sz w:val="16"/>
          <w:szCs w:val="16"/>
          <w:highlight w:val="none"/>
        </w:rPr>
      </w:pPr>
    </w:p>
    <w:p>
      <w:pPr>
        <w:autoSpaceDE w:val="0"/>
        <w:autoSpaceDN w:val="0"/>
        <w:adjustRightInd w:val="0"/>
        <w:snapToGrid w:val="0"/>
        <w:spacing w:line="360" w:lineRule="auto"/>
        <w:jc w:val="center"/>
        <w:rPr>
          <w:rFonts w:ascii="宋体" w:hAnsi="宋体"/>
          <w:kern w:val="0"/>
          <w:sz w:val="36"/>
          <w:szCs w:val="36"/>
          <w:highlight w:val="none"/>
        </w:rPr>
      </w:pPr>
      <w:r>
        <w:rPr>
          <w:rFonts w:hint="eastAsia" w:ascii="宋体" w:hAnsi="宋体"/>
          <w:kern w:val="0"/>
          <w:sz w:val="36"/>
          <w:szCs w:val="36"/>
          <w:highlight w:val="none"/>
          <w:lang w:eastAsia="zh-CN"/>
        </w:rPr>
        <w:t>竞选函</w:t>
      </w:r>
      <w:r>
        <w:rPr>
          <w:rFonts w:hint="eastAsia" w:ascii="宋体" w:hAnsi="宋体"/>
          <w:kern w:val="0"/>
          <w:sz w:val="36"/>
          <w:szCs w:val="36"/>
          <w:highlight w:val="none"/>
        </w:rPr>
        <w:t>部分</w:t>
      </w: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highlight w:val="none"/>
        </w:rPr>
      </w:pPr>
      <w:r>
        <w:rPr>
          <w:rFonts w:hint="eastAsia" w:ascii="宋体" w:hAnsi="宋体"/>
          <w:w w:val="99"/>
          <w:kern w:val="0"/>
          <w:sz w:val="28"/>
          <w:szCs w:val="28"/>
          <w:highlight w:val="none"/>
          <w:lang w:eastAsia="zh-CN"/>
        </w:rPr>
        <w:t>竞选人</w:t>
      </w:r>
      <w:r>
        <w:rPr>
          <w:rFonts w:ascii="宋体" w:hAnsi="宋体"/>
          <w:spacing w:val="1"/>
          <w:w w:val="99"/>
          <w:kern w:val="0"/>
          <w:sz w:val="28"/>
          <w:szCs w:val="28"/>
          <w:highlight w:val="none"/>
        </w:rPr>
        <w:t>：</w:t>
      </w:r>
      <w:r>
        <w:rPr>
          <w:rFonts w:ascii="宋体" w:hAnsi="宋体"/>
          <w:w w:val="198"/>
          <w:kern w:val="0"/>
          <w:sz w:val="28"/>
          <w:szCs w:val="28"/>
          <w:highlight w:val="none"/>
          <w:u w:val="single"/>
        </w:rPr>
        <w:t xml:space="preserve"> 　　　　 　　</w:t>
      </w:r>
      <w:r>
        <w:rPr>
          <w:rFonts w:ascii="宋体" w:hAnsi="宋体"/>
          <w:w w:val="99"/>
          <w:kern w:val="0"/>
          <w:sz w:val="28"/>
          <w:szCs w:val="28"/>
          <w:highlight w:val="none"/>
        </w:rPr>
        <w:t>（盖单位法人章）</w:t>
      </w:r>
    </w:p>
    <w:p>
      <w:pPr>
        <w:tabs>
          <w:tab w:val="left" w:pos="6080"/>
          <w:tab w:val="left" w:pos="6640"/>
        </w:tabs>
        <w:autoSpaceDE w:val="0"/>
        <w:autoSpaceDN w:val="0"/>
        <w:adjustRightInd w:val="0"/>
        <w:snapToGrid w:val="0"/>
        <w:spacing w:after="156" w:afterLines="50" w:line="360" w:lineRule="auto"/>
        <w:jc w:val="center"/>
        <w:rPr>
          <w:rFonts w:ascii="宋体" w:hAnsi="宋体"/>
          <w:kern w:val="0"/>
          <w:sz w:val="28"/>
          <w:szCs w:val="28"/>
          <w:highlight w:val="none"/>
        </w:rPr>
      </w:pPr>
      <w:r>
        <w:rPr>
          <w:rFonts w:ascii="宋体" w:hAnsi="宋体"/>
          <w:w w:val="99"/>
          <w:kern w:val="0"/>
          <w:sz w:val="28"/>
          <w:szCs w:val="28"/>
          <w:highlight w:val="none"/>
        </w:rPr>
        <w:t>法定代表人或其委托代理人：</w:t>
      </w:r>
      <w:r>
        <w:rPr>
          <w:rFonts w:ascii="宋体" w:hAnsi="宋体"/>
          <w:w w:val="198"/>
          <w:kern w:val="0"/>
          <w:sz w:val="28"/>
          <w:szCs w:val="28"/>
          <w:highlight w:val="none"/>
          <w:u w:val="single"/>
        </w:rPr>
        <w:t xml:space="preserve"> 　　 </w:t>
      </w:r>
      <w:r>
        <w:rPr>
          <w:rFonts w:ascii="宋体" w:hAnsi="宋体"/>
          <w:w w:val="99"/>
          <w:kern w:val="0"/>
          <w:sz w:val="28"/>
          <w:szCs w:val="28"/>
          <w:highlight w:val="none"/>
        </w:rPr>
        <w:t>（</w:t>
      </w:r>
      <w:r>
        <w:rPr>
          <w:rFonts w:hint="eastAsia" w:ascii="宋体" w:hAnsi="宋体"/>
          <w:w w:val="99"/>
          <w:kern w:val="0"/>
          <w:sz w:val="28"/>
          <w:szCs w:val="28"/>
          <w:highlight w:val="none"/>
        </w:rPr>
        <w:t>签名</w:t>
      </w:r>
      <w:r>
        <w:rPr>
          <w:rFonts w:ascii="宋体" w:hAnsi="宋体"/>
          <w:w w:val="99"/>
          <w:kern w:val="0"/>
          <w:sz w:val="28"/>
          <w:szCs w:val="28"/>
          <w:highlight w:val="none"/>
        </w:rPr>
        <w:t>或盖章）</w:t>
      </w:r>
    </w:p>
    <w:p>
      <w:pPr>
        <w:autoSpaceDE w:val="0"/>
        <w:autoSpaceDN w:val="0"/>
        <w:adjustRightInd w:val="0"/>
        <w:snapToGrid w:val="0"/>
        <w:spacing w:line="360" w:lineRule="auto"/>
        <w:jc w:val="center"/>
        <w:rPr>
          <w:rFonts w:ascii="宋体" w:hAnsi="宋体"/>
          <w:kern w:val="0"/>
          <w:sz w:val="24"/>
          <w:szCs w:val="21"/>
          <w:highlight w:val="none"/>
        </w:rPr>
      </w:pPr>
      <w:r>
        <w:rPr>
          <w:rFonts w:hint="eastAsia" w:ascii="宋体" w:hAnsi="宋体"/>
          <w:w w:val="99"/>
          <w:kern w:val="0"/>
          <w:sz w:val="28"/>
          <w:szCs w:val="28"/>
          <w:highlight w:val="none"/>
          <w:u w:val="single"/>
        </w:rPr>
        <w:t xml:space="preserve">    </w:t>
      </w:r>
      <w:r>
        <w:rPr>
          <w:rFonts w:hint="eastAsia" w:ascii="宋体" w:hAnsi="宋体"/>
          <w:w w:val="99"/>
          <w:kern w:val="0"/>
          <w:sz w:val="28"/>
          <w:szCs w:val="28"/>
          <w:highlight w:val="none"/>
        </w:rPr>
        <w:t>年</w:t>
      </w:r>
      <w:r>
        <w:rPr>
          <w:rFonts w:hint="eastAsia" w:ascii="宋体" w:hAnsi="宋体"/>
          <w:w w:val="99"/>
          <w:kern w:val="0"/>
          <w:sz w:val="28"/>
          <w:szCs w:val="28"/>
          <w:highlight w:val="none"/>
          <w:u w:val="single"/>
        </w:rPr>
        <w:t xml:space="preserve">    </w:t>
      </w:r>
      <w:r>
        <w:rPr>
          <w:rFonts w:hint="eastAsia" w:ascii="宋体" w:hAnsi="宋体"/>
          <w:w w:val="99"/>
          <w:kern w:val="0"/>
          <w:sz w:val="28"/>
          <w:szCs w:val="28"/>
          <w:highlight w:val="none"/>
        </w:rPr>
        <w:t>月</w:t>
      </w:r>
      <w:r>
        <w:rPr>
          <w:rFonts w:hint="eastAsia" w:ascii="宋体" w:hAnsi="宋体"/>
          <w:w w:val="99"/>
          <w:kern w:val="0"/>
          <w:sz w:val="28"/>
          <w:szCs w:val="28"/>
          <w:highlight w:val="none"/>
          <w:u w:val="single"/>
        </w:rPr>
        <w:t xml:space="preserve">    </w:t>
      </w:r>
      <w:r>
        <w:rPr>
          <w:rFonts w:hint="eastAsia" w:ascii="宋体" w:hAnsi="宋体"/>
          <w:w w:val="99"/>
          <w:kern w:val="0"/>
          <w:sz w:val="28"/>
          <w:szCs w:val="28"/>
          <w:highlight w:val="none"/>
        </w:rPr>
        <w:t>日</w:t>
      </w:r>
      <w:r>
        <w:rPr>
          <w:rFonts w:ascii="宋体" w:hAnsi="宋体"/>
          <w:kern w:val="0"/>
          <w:sz w:val="24"/>
          <w:szCs w:val="21"/>
          <w:highlight w:val="none"/>
        </w:rPr>
        <w:br w:type="page"/>
      </w:r>
    </w:p>
    <w:p>
      <w:pPr>
        <w:autoSpaceDE w:val="0"/>
        <w:autoSpaceDN w:val="0"/>
        <w:adjustRightInd w:val="0"/>
        <w:snapToGrid w:val="0"/>
        <w:spacing w:line="360" w:lineRule="auto"/>
        <w:jc w:val="center"/>
        <w:rPr>
          <w:rFonts w:ascii="宋体" w:hAnsi="宋体"/>
          <w:kern w:val="0"/>
          <w:sz w:val="36"/>
          <w:szCs w:val="36"/>
          <w:highlight w:val="none"/>
        </w:rPr>
      </w:pPr>
      <w:r>
        <w:rPr>
          <w:rFonts w:hint="eastAsia" w:ascii="宋体" w:hAnsi="宋体"/>
          <w:kern w:val="0"/>
          <w:sz w:val="36"/>
          <w:szCs w:val="36"/>
          <w:highlight w:val="none"/>
        </w:rPr>
        <w:t>目  录</w:t>
      </w:r>
    </w:p>
    <w:p>
      <w:pPr>
        <w:autoSpaceDE w:val="0"/>
        <w:autoSpaceDN w:val="0"/>
        <w:adjustRightInd w:val="0"/>
        <w:snapToGrid w:val="0"/>
        <w:spacing w:line="360" w:lineRule="auto"/>
        <w:jc w:val="left"/>
        <w:rPr>
          <w:rFonts w:ascii="宋体" w:hAnsi="宋体"/>
          <w:kern w:val="0"/>
          <w:sz w:val="24"/>
          <w:szCs w:val="21"/>
          <w:highlight w:val="none"/>
        </w:rPr>
      </w:pPr>
    </w:p>
    <w:p>
      <w:pPr>
        <w:autoSpaceDE w:val="0"/>
        <w:autoSpaceDN w:val="0"/>
        <w:adjustRightInd w:val="0"/>
        <w:spacing w:line="360" w:lineRule="auto"/>
        <w:ind w:firstLine="480" w:firstLineChars="200"/>
        <w:jc w:val="left"/>
        <w:rPr>
          <w:rFonts w:hint="eastAsia" w:ascii="宋体" w:hAnsi="宋体" w:eastAsia="宋体"/>
          <w:kern w:val="0"/>
          <w:sz w:val="24"/>
          <w:highlight w:val="none"/>
          <w:lang w:eastAsia="zh-CN"/>
        </w:rPr>
      </w:pPr>
      <w:r>
        <w:rPr>
          <w:rFonts w:ascii="宋体" w:hAnsi="宋体"/>
          <w:kern w:val="0"/>
          <w:sz w:val="24"/>
          <w:highlight w:val="none"/>
        </w:rPr>
        <w:t>（一）</w:t>
      </w:r>
      <w:r>
        <w:rPr>
          <w:rFonts w:hint="eastAsia" w:ascii="宋体" w:hAnsi="宋体"/>
          <w:kern w:val="0"/>
          <w:sz w:val="24"/>
          <w:highlight w:val="none"/>
          <w:lang w:eastAsia="zh-CN"/>
        </w:rPr>
        <w:t>竞选函</w:t>
      </w:r>
    </w:p>
    <w:p>
      <w:pPr>
        <w:autoSpaceDE w:val="0"/>
        <w:autoSpaceDN w:val="0"/>
        <w:adjustRightInd w:val="0"/>
        <w:spacing w:line="360" w:lineRule="auto"/>
        <w:ind w:firstLine="480" w:firstLineChars="200"/>
        <w:jc w:val="left"/>
        <w:rPr>
          <w:rFonts w:ascii="宋体" w:hAnsi="宋体"/>
          <w:kern w:val="0"/>
          <w:sz w:val="24"/>
          <w:highlight w:val="none"/>
        </w:rPr>
      </w:pPr>
      <w:r>
        <w:rPr>
          <w:rFonts w:ascii="宋体" w:hAnsi="宋体"/>
          <w:kern w:val="0"/>
          <w:sz w:val="24"/>
          <w:highlight w:val="none"/>
        </w:rPr>
        <w:t>（二）</w:t>
      </w:r>
      <w:r>
        <w:rPr>
          <w:rFonts w:hint="eastAsia" w:ascii="宋体" w:hAnsi="宋体"/>
          <w:kern w:val="0"/>
          <w:sz w:val="24"/>
          <w:highlight w:val="none"/>
          <w:lang w:eastAsia="zh-CN"/>
        </w:rPr>
        <w:t>竞选函</w:t>
      </w:r>
      <w:r>
        <w:rPr>
          <w:rFonts w:ascii="宋体" w:hAnsi="宋体"/>
          <w:kern w:val="0"/>
          <w:sz w:val="24"/>
          <w:highlight w:val="none"/>
        </w:rPr>
        <w:t>附录</w:t>
      </w:r>
    </w:p>
    <w:p>
      <w:pPr>
        <w:autoSpaceDE w:val="0"/>
        <w:autoSpaceDN w:val="0"/>
        <w:adjustRightInd w:val="0"/>
        <w:spacing w:line="360" w:lineRule="auto"/>
        <w:ind w:firstLine="480" w:firstLineChars="200"/>
        <w:jc w:val="left"/>
        <w:rPr>
          <w:rFonts w:ascii="宋体" w:hAnsi="宋体"/>
          <w:kern w:val="0"/>
          <w:sz w:val="24"/>
          <w:highlight w:val="none"/>
        </w:rPr>
      </w:pPr>
      <w:r>
        <w:rPr>
          <w:rFonts w:ascii="宋体" w:hAnsi="宋体"/>
          <w:kern w:val="0"/>
          <w:sz w:val="24"/>
          <w:highlight w:val="none"/>
        </w:rPr>
        <w:t>（三）</w:t>
      </w:r>
      <w:r>
        <w:rPr>
          <w:rFonts w:hint="eastAsia" w:ascii="宋体" w:hAnsi="宋体"/>
          <w:kern w:val="0"/>
          <w:sz w:val="24"/>
          <w:highlight w:val="none"/>
        </w:rPr>
        <w:t>法定代表人身份证明或附有法定代表人身份证明的授权委托书</w:t>
      </w:r>
    </w:p>
    <w:p>
      <w:pPr>
        <w:autoSpaceDE w:val="0"/>
        <w:autoSpaceDN w:val="0"/>
        <w:adjustRightInd w:val="0"/>
        <w:snapToGrid w:val="0"/>
        <w:spacing w:line="360" w:lineRule="auto"/>
        <w:jc w:val="left"/>
        <w:rPr>
          <w:rFonts w:ascii="宋体" w:hAnsi="宋体"/>
          <w:w w:val="99"/>
          <w:kern w:val="0"/>
          <w:sz w:val="28"/>
          <w:szCs w:val="28"/>
          <w:highlight w:val="none"/>
        </w:rPr>
      </w:pPr>
    </w:p>
    <w:p>
      <w:pPr>
        <w:pStyle w:val="5"/>
        <w:spacing w:before="0" w:after="0" w:line="400" w:lineRule="exact"/>
        <w:jc w:val="center"/>
        <w:rPr>
          <w:rFonts w:hint="eastAsia" w:ascii="宋体" w:hAnsi="宋体" w:eastAsia="宋体"/>
          <w:b w:val="0"/>
          <w:highlight w:val="none"/>
          <w:lang w:eastAsia="zh-CN"/>
        </w:rPr>
      </w:pPr>
      <w:bookmarkStart w:id="1252" w:name="_Toc287620814"/>
      <w:bookmarkStart w:id="1253" w:name="_Toc277082643"/>
      <w:bookmarkStart w:id="1254" w:name="_Toc430530530"/>
      <w:bookmarkStart w:id="1255" w:name="_Toc509218854"/>
      <w:bookmarkStart w:id="1256" w:name="_Toc224103495"/>
      <w:bookmarkStart w:id="1257" w:name="_Toc287607867"/>
      <w:bookmarkStart w:id="1258" w:name="_Toc534185831"/>
      <w:r>
        <w:rPr>
          <w:rFonts w:ascii="宋体" w:hAnsi="宋体"/>
          <w:highlight w:val="none"/>
        </w:rPr>
        <w:br w:type="page"/>
      </w:r>
      <w:bookmarkStart w:id="1259" w:name="_Toc26071"/>
      <w:bookmarkStart w:id="1260" w:name="_Toc882"/>
      <w:r>
        <w:rPr>
          <w:rFonts w:hint="eastAsia"/>
          <w:highlight w:val="none"/>
        </w:rPr>
        <w:t>（一）</w:t>
      </w:r>
      <w:bookmarkEnd w:id="1252"/>
      <w:bookmarkEnd w:id="1253"/>
      <w:bookmarkEnd w:id="1254"/>
      <w:bookmarkEnd w:id="1255"/>
      <w:bookmarkEnd w:id="1256"/>
      <w:bookmarkEnd w:id="1257"/>
      <w:bookmarkEnd w:id="1258"/>
      <w:bookmarkEnd w:id="1259"/>
      <w:r>
        <w:rPr>
          <w:rFonts w:hint="eastAsia"/>
          <w:highlight w:val="none"/>
          <w:lang w:eastAsia="zh-CN"/>
        </w:rPr>
        <w:t>竞选函</w:t>
      </w:r>
      <w:bookmarkEnd w:id="1260"/>
    </w:p>
    <w:p>
      <w:pPr>
        <w:tabs>
          <w:tab w:val="left" w:pos="2640"/>
        </w:tabs>
        <w:autoSpaceDE w:val="0"/>
        <w:autoSpaceDN w:val="0"/>
        <w:adjustRightInd w:val="0"/>
        <w:spacing w:line="400" w:lineRule="exact"/>
        <w:rPr>
          <w:rFonts w:ascii="宋体" w:hAnsi="宋体"/>
          <w:snapToGrid w:val="0"/>
          <w:kern w:val="0"/>
          <w:szCs w:val="21"/>
          <w:highlight w:val="none"/>
        </w:rPr>
      </w:pPr>
      <w:r>
        <w:rPr>
          <w:rFonts w:ascii="宋体" w:hAnsi="宋体"/>
          <w:snapToGrid w:val="0"/>
          <w:kern w:val="0"/>
          <w:szCs w:val="21"/>
          <w:highlight w:val="none"/>
          <w:u w:val="single"/>
        </w:rPr>
        <w:tab/>
      </w:r>
      <w:r>
        <w:rPr>
          <w:rFonts w:ascii="宋体" w:hAnsi="宋体"/>
          <w:snapToGrid w:val="0"/>
          <w:kern w:val="0"/>
          <w:szCs w:val="21"/>
          <w:highlight w:val="none"/>
          <w:u w:val="single"/>
        </w:rPr>
        <w:t>（</w:t>
      </w:r>
      <w:r>
        <w:rPr>
          <w:rFonts w:hint="eastAsia" w:ascii="宋体" w:hAnsi="宋体"/>
          <w:snapToGrid w:val="0"/>
          <w:kern w:val="0"/>
          <w:szCs w:val="21"/>
          <w:highlight w:val="none"/>
          <w:u w:val="single"/>
          <w:lang w:eastAsia="zh-CN"/>
        </w:rPr>
        <w:t>比选人</w:t>
      </w:r>
      <w:r>
        <w:rPr>
          <w:rFonts w:ascii="宋体" w:hAnsi="宋体"/>
          <w:snapToGrid w:val="0"/>
          <w:kern w:val="0"/>
          <w:szCs w:val="21"/>
          <w:highlight w:val="none"/>
          <w:u w:val="single"/>
        </w:rPr>
        <w:t>名称）</w:t>
      </w:r>
      <w:r>
        <w:rPr>
          <w:rFonts w:ascii="宋体" w:hAnsi="宋体"/>
          <w:snapToGrid w:val="0"/>
          <w:kern w:val="0"/>
          <w:szCs w:val="21"/>
          <w:highlight w:val="none"/>
        </w:rPr>
        <w:t>：</w:t>
      </w:r>
    </w:p>
    <w:p>
      <w:pPr>
        <w:tabs>
          <w:tab w:val="left" w:pos="546"/>
          <w:tab w:val="left" w:pos="711"/>
        </w:tabs>
        <w:snapToGri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1</w:t>
      </w:r>
      <w:r>
        <w:rPr>
          <w:rFonts w:hint="eastAsia" w:ascii="宋体" w:hAnsi="宋体"/>
          <w:snapToGrid w:val="0"/>
          <w:kern w:val="0"/>
          <w:szCs w:val="21"/>
          <w:highlight w:val="none"/>
        </w:rPr>
        <w:t xml:space="preserve">. </w:t>
      </w:r>
      <w:r>
        <w:rPr>
          <w:rFonts w:ascii="宋体" w:hAnsi="宋体"/>
          <w:snapToGrid w:val="0"/>
          <w:kern w:val="0"/>
          <w:szCs w:val="21"/>
          <w:highlight w:val="none"/>
        </w:rPr>
        <w:t>我方已仔细研究了</w:t>
      </w:r>
      <w:r>
        <w:rPr>
          <w:rFonts w:ascii="宋体" w:hAnsi="宋体"/>
          <w:snapToGrid w:val="0"/>
          <w:kern w:val="0"/>
          <w:szCs w:val="21"/>
          <w:highlight w:val="none"/>
          <w:u w:val="single"/>
        </w:rPr>
        <w:tab/>
      </w:r>
      <w:r>
        <w:rPr>
          <w:rFonts w:ascii="宋体" w:hAnsi="宋体"/>
          <w:snapToGrid w:val="0"/>
          <w:kern w:val="0"/>
          <w:szCs w:val="21"/>
          <w:highlight w:val="none"/>
          <w:u w:val="single"/>
        </w:rPr>
        <w:tab/>
      </w:r>
      <w:r>
        <w:rPr>
          <w:rFonts w:ascii="宋体" w:hAnsi="宋体"/>
          <w:snapToGrid w:val="0"/>
          <w:kern w:val="0"/>
          <w:szCs w:val="21"/>
          <w:highlight w:val="none"/>
          <w:u w:val="single"/>
        </w:rPr>
        <w:t>（项目名称）</w:t>
      </w:r>
      <w:r>
        <w:rPr>
          <w:rFonts w:ascii="宋体" w:hAnsi="宋体"/>
          <w:snapToGrid w:val="0"/>
          <w:kern w:val="0"/>
          <w:szCs w:val="21"/>
          <w:highlight w:val="none"/>
        </w:rPr>
        <w:t>招标文件的全部内容，愿意以人民币（大写）</w:t>
      </w:r>
      <w:r>
        <w:rPr>
          <w:rFonts w:ascii="宋体" w:hAnsi="宋体"/>
          <w:snapToGrid w:val="0"/>
          <w:kern w:val="0"/>
          <w:szCs w:val="21"/>
          <w:highlight w:val="none"/>
          <w:u w:val="single"/>
        </w:rPr>
        <w:tab/>
      </w:r>
      <w:r>
        <w:rPr>
          <w:rFonts w:ascii="宋体" w:hAnsi="宋体"/>
          <w:snapToGrid w:val="0"/>
          <w:kern w:val="0"/>
          <w:szCs w:val="21"/>
          <w:highlight w:val="none"/>
        </w:rPr>
        <w:t>（¥</w:t>
      </w:r>
      <w:r>
        <w:rPr>
          <w:rFonts w:ascii="宋体" w:hAnsi="宋体"/>
          <w:snapToGrid w:val="0"/>
          <w:kern w:val="0"/>
          <w:szCs w:val="21"/>
          <w:highlight w:val="none"/>
          <w:u w:val="single"/>
        </w:rPr>
        <w:tab/>
      </w:r>
      <w:r>
        <w:rPr>
          <w:rFonts w:ascii="宋体" w:hAnsi="宋体"/>
          <w:snapToGrid w:val="0"/>
          <w:kern w:val="0"/>
          <w:szCs w:val="21"/>
          <w:highlight w:val="none"/>
        </w:rPr>
        <w:t>）的投标总报价进行报价</w:t>
      </w:r>
      <w:r>
        <w:rPr>
          <w:rFonts w:hint="eastAsia" w:ascii="宋体" w:hAnsi="宋体"/>
          <w:snapToGrid w:val="0"/>
          <w:kern w:val="0"/>
          <w:szCs w:val="21"/>
          <w:highlight w:val="none"/>
          <w:lang w:eastAsia="zh-CN"/>
        </w:rPr>
        <w:t>（</w:t>
      </w:r>
      <w:r>
        <w:rPr>
          <w:rFonts w:hint="eastAsia" w:ascii="宋体" w:hAnsi="宋体"/>
          <w:snapToGrid w:val="0"/>
          <w:kern w:val="0"/>
          <w:szCs w:val="21"/>
          <w:highlight w:val="none"/>
          <w:lang w:val="en-US" w:eastAsia="zh-CN"/>
        </w:rPr>
        <w:t>其中安全文明施工费为</w:t>
      </w:r>
      <w:r>
        <w:rPr>
          <w:rFonts w:hint="eastAsia" w:ascii="宋体" w:hAnsi="宋体"/>
          <w:snapToGrid w:val="0"/>
          <w:kern w:val="0"/>
          <w:szCs w:val="21"/>
          <w:highlight w:val="none"/>
          <w:u w:val="single"/>
          <w:lang w:val="en-US" w:eastAsia="zh-CN"/>
        </w:rPr>
        <w:t xml:space="preserve">         元</w:t>
      </w:r>
      <w:r>
        <w:rPr>
          <w:rFonts w:hint="eastAsia" w:ascii="宋体" w:hAnsi="宋体"/>
          <w:snapToGrid w:val="0"/>
          <w:kern w:val="0"/>
          <w:szCs w:val="21"/>
          <w:highlight w:val="none"/>
          <w:lang w:eastAsia="zh-CN"/>
        </w:rPr>
        <w:t>）；</w:t>
      </w:r>
      <w:r>
        <w:rPr>
          <w:rFonts w:hint="eastAsia" w:ascii="宋体" w:hAnsi="宋体"/>
          <w:snapToGrid w:val="0"/>
          <w:kern w:val="0"/>
          <w:szCs w:val="21"/>
          <w:highlight w:val="none"/>
        </w:rPr>
        <w:t>委托代理人为：</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rPr>
        <w:t>，身份证号码为</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。工期</w:t>
      </w:r>
      <w:r>
        <w:rPr>
          <w:rFonts w:hint="eastAsia" w:ascii="宋体" w:hAnsi="宋体"/>
          <w:snapToGrid w:val="0"/>
          <w:kern w:val="0"/>
          <w:szCs w:val="21"/>
          <w:highlight w:val="none"/>
          <w:u w:val="single"/>
          <w:lang w:val="en-US" w:eastAsia="zh-CN"/>
        </w:rPr>
        <w:t xml:space="preserve">       </w:t>
      </w:r>
      <w:r>
        <w:rPr>
          <w:rFonts w:hint="eastAsia" w:ascii="宋体" w:hAnsi="宋体"/>
          <w:snapToGrid w:val="0"/>
          <w:kern w:val="0"/>
          <w:szCs w:val="21"/>
          <w:highlight w:val="none"/>
        </w:rPr>
        <w:t>，</w:t>
      </w:r>
      <w:r>
        <w:rPr>
          <w:rFonts w:ascii="宋体" w:hAnsi="宋体"/>
          <w:snapToGrid w:val="0"/>
          <w:kern w:val="0"/>
          <w:szCs w:val="21"/>
          <w:highlight w:val="none"/>
        </w:rPr>
        <w:t>按合同约定实施和完成承包工程，修补工程中的任何缺陷，工程质量达到</w:t>
      </w:r>
      <w:r>
        <w:rPr>
          <w:rFonts w:hint="eastAsia" w:ascii="宋体" w:hAnsi="宋体"/>
          <w:snapToGrid w:val="0"/>
          <w:kern w:val="0"/>
          <w:szCs w:val="21"/>
          <w:highlight w:val="none"/>
        </w:rPr>
        <w:t>招标文件的要求</w:t>
      </w:r>
      <w:r>
        <w:rPr>
          <w:rFonts w:ascii="宋体" w:hAnsi="宋体"/>
          <w:snapToGrid w:val="0"/>
          <w:kern w:val="0"/>
          <w:szCs w:val="21"/>
          <w:highlight w:val="none"/>
        </w:rPr>
        <w:t>。</w:t>
      </w:r>
    </w:p>
    <w:p>
      <w:pPr>
        <w:autoSpaceDE w:val="0"/>
        <w:autoSpaceDN w:val="0"/>
        <w:adjustRightInd w:val="0"/>
        <w:spacing w:line="400" w:lineRule="exact"/>
        <w:ind w:firstLine="420" w:firstLineChars="200"/>
        <w:rPr>
          <w:rFonts w:ascii="宋体" w:hAnsi="宋体"/>
          <w:snapToGrid w:val="0"/>
          <w:kern w:val="0"/>
          <w:sz w:val="10"/>
          <w:szCs w:val="10"/>
          <w:highlight w:val="none"/>
        </w:rPr>
      </w:pPr>
      <w:r>
        <w:rPr>
          <w:rFonts w:ascii="宋体" w:hAnsi="宋体"/>
          <w:snapToGrid w:val="0"/>
          <w:kern w:val="0"/>
          <w:szCs w:val="21"/>
          <w:highlight w:val="none"/>
        </w:rPr>
        <w:t>2</w:t>
      </w:r>
      <w:r>
        <w:rPr>
          <w:rFonts w:hint="eastAsia" w:ascii="宋体" w:hAnsi="宋体"/>
          <w:snapToGrid w:val="0"/>
          <w:kern w:val="0"/>
          <w:szCs w:val="21"/>
          <w:highlight w:val="none"/>
        </w:rPr>
        <w:t xml:space="preserve">. </w:t>
      </w:r>
      <w:r>
        <w:rPr>
          <w:rFonts w:ascii="宋体" w:hAnsi="宋体"/>
          <w:snapToGrid w:val="0"/>
          <w:kern w:val="0"/>
          <w:szCs w:val="21"/>
          <w:highlight w:val="none"/>
        </w:rPr>
        <w:t>我方承诺</w:t>
      </w:r>
      <w:r>
        <w:rPr>
          <w:rFonts w:hint="eastAsia" w:ascii="宋体" w:hAnsi="宋体"/>
          <w:snapToGrid w:val="0"/>
          <w:kern w:val="0"/>
          <w:szCs w:val="21"/>
          <w:highlight w:val="none"/>
        </w:rPr>
        <w:t>响应招标文件规定的投标有效期，</w:t>
      </w:r>
      <w:r>
        <w:rPr>
          <w:rFonts w:ascii="宋体" w:hAnsi="宋体"/>
          <w:snapToGrid w:val="0"/>
          <w:kern w:val="0"/>
          <w:szCs w:val="21"/>
          <w:highlight w:val="none"/>
        </w:rPr>
        <w:t>在投标有效期内不修改、撤销</w:t>
      </w:r>
      <w:r>
        <w:rPr>
          <w:rFonts w:hint="eastAsia" w:ascii="宋体" w:hAnsi="宋体"/>
          <w:snapToGrid w:val="0"/>
          <w:kern w:val="0"/>
          <w:szCs w:val="21"/>
          <w:highlight w:val="none"/>
          <w:lang w:eastAsia="zh-CN"/>
        </w:rPr>
        <w:t>竞选文件</w:t>
      </w:r>
      <w:r>
        <w:rPr>
          <w:rFonts w:ascii="宋体" w:hAnsi="宋体"/>
          <w:snapToGrid w:val="0"/>
          <w:kern w:val="0"/>
          <w:szCs w:val="21"/>
          <w:highlight w:val="none"/>
        </w:rPr>
        <w:t>。</w:t>
      </w:r>
    </w:p>
    <w:p>
      <w:pPr>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3</w:t>
      </w:r>
      <w:r>
        <w:rPr>
          <w:rFonts w:hint="eastAsia" w:ascii="宋体" w:hAnsi="宋体"/>
          <w:snapToGrid w:val="0"/>
          <w:kern w:val="0"/>
          <w:szCs w:val="21"/>
          <w:highlight w:val="none"/>
        </w:rPr>
        <w:t xml:space="preserve">. </w:t>
      </w:r>
      <w:r>
        <w:rPr>
          <w:rFonts w:ascii="宋体" w:hAnsi="宋体"/>
          <w:snapToGrid w:val="0"/>
          <w:kern w:val="0"/>
          <w:szCs w:val="21"/>
          <w:highlight w:val="none"/>
        </w:rPr>
        <w:t>如我方中标：</w:t>
      </w:r>
    </w:p>
    <w:p>
      <w:pPr>
        <w:autoSpaceDE w:val="0"/>
        <w:autoSpaceDN w:val="0"/>
        <w:adjustRightInd w:val="0"/>
        <w:spacing w:line="400" w:lineRule="exact"/>
        <w:ind w:firstLine="420" w:firstLineChars="200"/>
        <w:rPr>
          <w:rFonts w:ascii="宋体" w:hAnsi="宋体"/>
          <w:snapToGrid w:val="0"/>
          <w:kern w:val="0"/>
          <w:sz w:val="10"/>
          <w:szCs w:val="10"/>
          <w:highlight w:val="none"/>
        </w:rPr>
      </w:pPr>
      <w:r>
        <w:rPr>
          <w:rFonts w:ascii="宋体" w:hAnsi="宋体"/>
          <w:snapToGrid w:val="0"/>
          <w:kern w:val="0"/>
          <w:szCs w:val="21"/>
          <w:highlight w:val="none"/>
        </w:rPr>
        <w:t>（1）我方承诺在收到中标通知书后，在中标通知书规定的期限内与你方签订合同。</w:t>
      </w:r>
    </w:p>
    <w:p>
      <w:pPr>
        <w:autoSpaceDE w:val="0"/>
        <w:autoSpaceDN w:val="0"/>
        <w:adjustRightInd w:val="0"/>
        <w:spacing w:line="400" w:lineRule="exact"/>
        <w:ind w:firstLine="420" w:firstLineChars="200"/>
        <w:rPr>
          <w:rFonts w:ascii="宋体" w:hAnsi="宋体"/>
          <w:snapToGrid w:val="0"/>
          <w:kern w:val="0"/>
          <w:sz w:val="10"/>
          <w:szCs w:val="10"/>
          <w:highlight w:val="none"/>
        </w:rPr>
      </w:pPr>
      <w:r>
        <w:rPr>
          <w:rFonts w:ascii="宋体" w:hAnsi="宋体"/>
          <w:snapToGrid w:val="0"/>
          <w:kern w:val="0"/>
          <w:szCs w:val="21"/>
          <w:highlight w:val="none"/>
        </w:rPr>
        <w:t>（2）随同本</w:t>
      </w:r>
      <w:r>
        <w:rPr>
          <w:rFonts w:hint="eastAsia" w:ascii="宋体" w:hAnsi="宋体"/>
          <w:snapToGrid w:val="0"/>
          <w:kern w:val="0"/>
          <w:szCs w:val="21"/>
          <w:highlight w:val="none"/>
          <w:lang w:eastAsia="zh-CN"/>
        </w:rPr>
        <w:t>竞选函</w:t>
      </w:r>
      <w:r>
        <w:rPr>
          <w:rFonts w:ascii="宋体" w:hAnsi="宋体"/>
          <w:snapToGrid w:val="0"/>
          <w:kern w:val="0"/>
          <w:szCs w:val="21"/>
          <w:highlight w:val="none"/>
        </w:rPr>
        <w:t>递交的</w:t>
      </w:r>
      <w:r>
        <w:rPr>
          <w:rFonts w:hint="eastAsia" w:ascii="宋体" w:hAnsi="宋体"/>
          <w:snapToGrid w:val="0"/>
          <w:kern w:val="0"/>
          <w:szCs w:val="21"/>
          <w:highlight w:val="none"/>
          <w:lang w:eastAsia="zh-CN"/>
        </w:rPr>
        <w:t>竞选函</w:t>
      </w:r>
      <w:r>
        <w:rPr>
          <w:rFonts w:ascii="宋体" w:hAnsi="宋体"/>
          <w:snapToGrid w:val="0"/>
          <w:kern w:val="0"/>
          <w:szCs w:val="21"/>
          <w:highlight w:val="none"/>
        </w:rPr>
        <w:t>附录属于合同文件的组成部分。</w:t>
      </w:r>
    </w:p>
    <w:p>
      <w:pPr>
        <w:autoSpaceDE w:val="0"/>
        <w:autoSpaceDN w:val="0"/>
        <w:adjustRightInd w:val="0"/>
        <w:spacing w:line="400" w:lineRule="exact"/>
        <w:ind w:firstLine="420" w:firstLineChars="200"/>
        <w:rPr>
          <w:rFonts w:ascii="宋体" w:hAnsi="宋体"/>
          <w:snapToGrid w:val="0"/>
          <w:kern w:val="0"/>
          <w:sz w:val="10"/>
          <w:szCs w:val="10"/>
          <w:highlight w:val="none"/>
        </w:rPr>
      </w:pPr>
      <w:r>
        <w:rPr>
          <w:rFonts w:ascii="宋体" w:hAnsi="宋体"/>
          <w:snapToGrid w:val="0"/>
          <w:kern w:val="0"/>
          <w:szCs w:val="21"/>
          <w:highlight w:val="none"/>
        </w:rPr>
        <w:t>（3）我方承诺按照招标文件规定向你方递交履约担保。</w:t>
      </w:r>
    </w:p>
    <w:p>
      <w:pPr>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（4）我方承诺在合同约定的期限内完成并移交全部合同工程。</w:t>
      </w:r>
    </w:p>
    <w:p>
      <w:pPr>
        <w:autoSpaceDE w:val="0"/>
        <w:autoSpaceDN w:val="0"/>
        <w:adjustRightInd w:val="0"/>
        <w:spacing w:line="400" w:lineRule="exact"/>
        <w:ind w:firstLine="420" w:firstLineChars="200"/>
        <w:rPr>
          <w:rFonts w:ascii="宋体" w:hAnsi="宋体"/>
          <w:snapToGrid w:val="0"/>
          <w:kern w:val="0"/>
          <w:sz w:val="10"/>
          <w:szCs w:val="10"/>
          <w:highlight w:val="none"/>
        </w:rPr>
      </w:pPr>
      <w:r>
        <w:rPr>
          <w:rFonts w:hint="eastAsia" w:ascii="宋体" w:hAnsi="宋体"/>
          <w:snapToGrid w:val="0"/>
          <w:kern w:val="0"/>
          <w:szCs w:val="21"/>
          <w:highlight w:val="none"/>
        </w:rPr>
        <w:t>（5）我方承诺以不低于招标文件第七章 技术标准和要求中所列的技术指标和参数要求完成全部合同工程。</w:t>
      </w:r>
    </w:p>
    <w:p>
      <w:pPr>
        <w:tabs>
          <w:tab w:val="left" w:pos="5985"/>
        </w:tabs>
        <w:autoSpaceDE w:val="0"/>
        <w:autoSpaceDN w:val="0"/>
        <w:adjustRightInd w:val="0"/>
        <w:spacing w:line="400" w:lineRule="exact"/>
        <w:ind w:firstLine="420" w:firstLineChars="200"/>
        <w:rPr>
          <w:rFonts w:ascii="宋体" w:hAnsi="宋体"/>
          <w:snapToGrid w:val="0"/>
          <w:kern w:val="0"/>
          <w:szCs w:val="21"/>
          <w:highlight w:val="none"/>
        </w:rPr>
      </w:pPr>
      <w:r>
        <w:rPr>
          <w:rFonts w:hint="eastAsia" w:ascii="宋体" w:hAnsi="宋体"/>
          <w:snapToGrid w:val="0"/>
          <w:kern w:val="0"/>
          <w:szCs w:val="21"/>
          <w:highlight w:val="none"/>
          <w:lang w:val="en-US" w:eastAsia="zh-CN"/>
        </w:rPr>
        <w:t>4</w:t>
      </w:r>
      <w:r>
        <w:rPr>
          <w:rFonts w:hint="eastAsia" w:ascii="宋体" w:hAnsi="宋体"/>
          <w:snapToGrid w:val="0"/>
          <w:kern w:val="0"/>
          <w:szCs w:val="21"/>
          <w:highlight w:val="none"/>
        </w:rPr>
        <w:t xml:space="preserve">. </w:t>
      </w:r>
      <w:r>
        <w:rPr>
          <w:rFonts w:ascii="宋体" w:hAnsi="宋体"/>
          <w:snapToGrid w:val="0"/>
          <w:kern w:val="0"/>
          <w:szCs w:val="21"/>
          <w:highlight w:val="none"/>
        </w:rPr>
        <w:t>我方</w:t>
      </w:r>
      <w:r>
        <w:rPr>
          <w:rFonts w:ascii="宋体" w:hAnsi="宋体"/>
          <w:snapToGrid w:val="0"/>
          <w:spacing w:val="-2"/>
          <w:kern w:val="0"/>
          <w:szCs w:val="21"/>
          <w:highlight w:val="none"/>
        </w:rPr>
        <w:t>在此声明，所递交的</w:t>
      </w:r>
      <w:r>
        <w:rPr>
          <w:rFonts w:hint="eastAsia" w:ascii="宋体" w:hAnsi="宋体"/>
          <w:snapToGrid w:val="0"/>
          <w:spacing w:val="-2"/>
          <w:kern w:val="0"/>
          <w:szCs w:val="21"/>
          <w:highlight w:val="none"/>
          <w:lang w:eastAsia="zh-CN"/>
        </w:rPr>
        <w:t>竞选文件</w:t>
      </w:r>
      <w:r>
        <w:rPr>
          <w:rFonts w:ascii="宋体" w:hAnsi="宋体"/>
          <w:snapToGrid w:val="0"/>
          <w:spacing w:val="-2"/>
          <w:kern w:val="0"/>
          <w:szCs w:val="21"/>
          <w:highlight w:val="none"/>
        </w:rPr>
        <w:t>及有关资料内容完整、真实和准确，且不存在第二章“</w:t>
      </w:r>
      <w:r>
        <w:rPr>
          <w:rFonts w:hint="eastAsia" w:ascii="宋体" w:hAnsi="宋体"/>
          <w:snapToGrid w:val="0"/>
          <w:spacing w:val="-2"/>
          <w:kern w:val="0"/>
          <w:szCs w:val="21"/>
          <w:highlight w:val="none"/>
          <w:lang w:eastAsia="zh-CN"/>
        </w:rPr>
        <w:t>竞选人</w:t>
      </w:r>
      <w:r>
        <w:rPr>
          <w:rFonts w:ascii="宋体" w:hAnsi="宋体"/>
          <w:snapToGrid w:val="0"/>
          <w:kern w:val="0"/>
          <w:szCs w:val="21"/>
          <w:highlight w:val="none"/>
        </w:rPr>
        <w:t>须知”第 1.4.3 项规定的任何一种情形。同时我方承诺接受招标文件及附件、澄清及</w:t>
      </w:r>
      <w:r>
        <w:rPr>
          <w:rFonts w:hint="eastAsia" w:ascii="宋体" w:hAnsi="宋体"/>
          <w:snapToGrid w:val="0"/>
          <w:kern w:val="0"/>
          <w:szCs w:val="21"/>
          <w:highlight w:val="none"/>
        </w:rPr>
        <w:t>修改</w:t>
      </w:r>
      <w:r>
        <w:rPr>
          <w:rFonts w:ascii="宋体" w:hAnsi="宋体"/>
          <w:snapToGrid w:val="0"/>
          <w:kern w:val="0"/>
          <w:szCs w:val="21"/>
          <w:highlight w:val="none"/>
        </w:rPr>
        <w:t>通知中所有的内容。</w:t>
      </w:r>
    </w:p>
    <w:p>
      <w:pPr>
        <w:tabs>
          <w:tab w:val="left" w:pos="5985"/>
        </w:tabs>
        <w:autoSpaceDE w:val="0"/>
        <w:autoSpaceDN w:val="0"/>
        <w:adjustRightInd w:val="0"/>
        <w:spacing w:line="400" w:lineRule="exact"/>
        <w:ind w:firstLine="420" w:firstLineChars="200"/>
        <w:rPr>
          <w:rFonts w:ascii="宋体" w:hAnsi="宋体"/>
          <w:snapToGrid w:val="0"/>
          <w:kern w:val="0"/>
          <w:szCs w:val="21"/>
          <w:highlight w:val="none"/>
        </w:rPr>
      </w:pPr>
      <w:r>
        <w:rPr>
          <w:rFonts w:hint="eastAsia" w:ascii="宋体" w:hAnsi="宋体"/>
          <w:snapToGrid w:val="0"/>
          <w:kern w:val="0"/>
          <w:szCs w:val="21"/>
          <w:highlight w:val="none"/>
          <w:lang w:val="en-US" w:eastAsia="zh-CN"/>
        </w:rPr>
        <w:t>5</w:t>
      </w:r>
      <w:r>
        <w:rPr>
          <w:rFonts w:hint="eastAsia" w:ascii="宋体" w:hAnsi="宋体"/>
          <w:snapToGrid w:val="0"/>
          <w:kern w:val="0"/>
          <w:szCs w:val="21"/>
          <w:highlight w:val="none"/>
        </w:rPr>
        <w:t xml:space="preserve">. </w:t>
      </w:r>
      <w:r>
        <w:rPr>
          <w:rFonts w:ascii="宋体" w:hAnsi="宋体"/>
          <w:snapToGrid w:val="0"/>
          <w:w w:val="200"/>
          <w:kern w:val="0"/>
          <w:szCs w:val="21"/>
          <w:highlight w:val="none"/>
          <w:u w:val="single"/>
        </w:rPr>
        <w:t xml:space="preserve"> </w:t>
      </w:r>
      <w:r>
        <w:rPr>
          <w:rFonts w:ascii="宋体" w:hAnsi="宋体"/>
          <w:snapToGrid w:val="0"/>
          <w:kern w:val="0"/>
          <w:szCs w:val="21"/>
          <w:highlight w:val="none"/>
          <w:u w:val="single"/>
        </w:rPr>
        <w:tab/>
      </w:r>
      <w:r>
        <w:rPr>
          <w:rFonts w:ascii="宋体" w:hAnsi="宋体"/>
          <w:snapToGrid w:val="0"/>
          <w:kern w:val="0"/>
          <w:szCs w:val="21"/>
          <w:highlight w:val="none"/>
          <w:u w:val="single"/>
        </w:rPr>
        <w:t>（其他补充说明）</w:t>
      </w:r>
      <w:r>
        <w:rPr>
          <w:rFonts w:ascii="宋体" w:hAnsi="宋体"/>
          <w:snapToGrid w:val="0"/>
          <w:kern w:val="0"/>
          <w:szCs w:val="21"/>
          <w:highlight w:val="none"/>
        </w:rPr>
        <w:t>。</w:t>
      </w: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highlight w:val="none"/>
        </w:rPr>
      </w:pP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hint="eastAsia" w:ascii="宋体" w:hAnsi="宋体"/>
          <w:snapToGrid w:val="0"/>
          <w:kern w:val="0"/>
          <w:szCs w:val="21"/>
          <w:highlight w:val="none"/>
          <w:lang w:val="en-US" w:eastAsia="zh-CN"/>
        </w:rPr>
        <w:t>竞 选</w:t>
      </w:r>
      <w:r>
        <w:rPr>
          <w:rFonts w:ascii="宋体" w:hAnsi="宋体"/>
          <w:snapToGrid w:val="0"/>
          <w:kern w:val="0"/>
          <w:szCs w:val="21"/>
          <w:highlight w:val="none"/>
        </w:rPr>
        <w:t xml:space="preserve"> 人：</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ascii="宋体" w:hAnsi="宋体"/>
          <w:snapToGrid w:val="0"/>
          <w:kern w:val="0"/>
          <w:szCs w:val="21"/>
          <w:highlight w:val="none"/>
        </w:rPr>
        <w:t xml:space="preserve">（盖单位法人章） </w:t>
      </w: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法定代表人</w:t>
      </w:r>
      <w:r>
        <w:rPr>
          <w:rFonts w:hint="eastAsia" w:ascii="宋体" w:hAnsi="宋体"/>
          <w:snapToGrid w:val="0"/>
          <w:kern w:val="0"/>
          <w:szCs w:val="21"/>
          <w:highlight w:val="none"/>
        </w:rPr>
        <w:t>或其委托代理人</w:t>
      </w:r>
      <w:r>
        <w:rPr>
          <w:rFonts w:ascii="宋体" w:hAnsi="宋体"/>
          <w:snapToGrid w:val="0"/>
          <w:kern w:val="0"/>
          <w:szCs w:val="21"/>
          <w:highlight w:val="none"/>
        </w:rPr>
        <w:t>：</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w:t>
      </w:r>
      <w:r>
        <w:rPr>
          <w:rFonts w:hint="eastAsia" w:ascii="宋体" w:hAnsi="宋体"/>
          <w:snapToGrid w:val="0"/>
          <w:kern w:val="0"/>
          <w:szCs w:val="21"/>
          <w:highlight w:val="none"/>
        </w:rPr>
        <w:t>签名</w:t>
      </w:r>
      <w:r>
        <w:rPr>
          <w:rFonts w:ascii="宋体" w:hAnsi="宋体"/>
          <w:snapToGrid w:val="0"/>
          <w:kern w:val="0"/>
          <w:szCs w:val="21"/>
          <w:highlight w:val="none"/>
        </w:rPr>
        <w:t>或盖章）</w:t>
      </w:r>
    </w:p>
    <w:p>
      <w:pPr>
        <w:tabs>
          <w:tab w:val="left" w:pos="7035"/>
          <w:tab w:val="left" w:pos="7560"/>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地</w:t>
      </w:r>
      <w:r>
        <w:rPr>
          <w:rFonts w:hint="eastAsia" w:ascii="宋体" w:hAnsi="宋体"/>
          <w:snapToGrid w:val="0"/>
          <w:kern w:val="0"/>
          <w:szCs w:val="21"/>
          <w:highlight w:val="none"/>
        </w:rPr>
        <w:t xml:space="preserve">    </w:t>
      </w:r>
      <w:r>
        <w:rPr>
          <w:rFonts w:ascii="宋体" w:hAnsi="宋体"/>
          <w:snapToGrid w:val="0"/>
          <w:kern w:val="0"/>
          <w:szCs w:val="21"/>
          <w:highlight w:val="none"/>
        </w:rPr>
        <w:t>址：</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网</w:t>
      </w:r>
      <w:r>
        <w:rPr>
          <w:rFonts w:hint="eastAsia" w:ascii="宋体" w:hAnsi="宋体"/>
          <w:snapToGrid w:val="0"/>
          <w:kern w:val="0"/>
          <w:szCs w:val="21"/>
          <w:highlight w:val="none"/>
        </w:rPr>
        <w:t xml:space="preserve">    </w:t>
      </w:r>
      <w:r>
        <w:rPr>
          <w:rFonts w:ascii="宋体" w:hAnsi="宋体"/>
          <w:snapToGrid w:val="0"/>
          <w:kern w:val="0"/>
          <w:szCs w:val="21"/>
          <w:highlight w:val="none"/>
        </w:rPr>
        <w:t>址：</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highlight w:val="none"/>
          <w:u w:val="single"/>
        </w:rPr>
      </w:pPr>
      <w:r>
        <w:rPr>
          <w:rFonts w:hint="eastAsia" w:ascii="宋体" w:hAnsi="宋体"/>
          <w:snapToGrid w:val="0"/>
          <w:kern w:val="0"/>
          <w:szCs w:val="21"/>
          <w:highlight w:val="none"/>
        </w:rPr>
        <w:t>单位电话（座机）：</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rPr>
        <w:t>委托代理人电话（手机）：</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传</w:t>
      </w:r>
      <w:r>
        <w:rPr>
          <w:rFonts w:hint="eastAsia" w:ascii="宋体" w:hAnsi="宋体"/>
          <w:snapToGrid w:val="0"/>
          <w:kern w:val="0"/>
          <w:szCs w:val="21"/>
          <w:highlight w:val="none"/>
        </w:rPr>
        <w:t xml:space="preserve">    </w:t>
      </w:r>
      <w:r>
        <w:rPr>
          <w:rFonts w:ascii="宋体" w:hAnsi="宋体"/>
          <w:snapToGrid w:val="0"/>
          <w:kern w:val="0"/>
          <w:szCs w:val="21"/>
          <w:highlight w:val="none"/>
        </w:rPr>
        <w:t>真：</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highlight w:val="none"/>
          <w:u w:val="single"/>
        </w:rPr>
      </w:pPr>
      <w:r>
        <w:rPr>
          <w:rFonts w:ascii="宋体" w:hAnsi="宋体"/>
          <w:snapToGrid w:val="0"/>
          <w:kern w:val="0"/>
          <w:szCs w:val="21"/>
          <w:highlight w:val="none"/>
        </w:rPr>
        <w:t>邮政编码：</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p>
    <w:p>
      <w:pPr>
        <w:tabs>
          <w:tab w:val="left" w:pos="8300"/>
        </w:tabs>
        <w:autoSpaceDE w:val="0"/>
        <w:autoSpaceDN w:val="0"/>
        <w:adjustRightInd w:val="0"/>
        <w:spacing w:line="400" w:lineRule="exact"/>
        <w:ind w:firstLine="400" w:firstLineChars="200"/>
        <w:rPr>
          <w:rFonts w:ascii="宋体" w:hAnsi="宋体"/>
          <w:snapToGrid w:val="0"/>
          <w:kern w:val="0"/>
          <w:sz w:val="20"/>
          <w:szCs w:val="20"/>
          <w:highlight w:val="none"/>
        </w:rPr>
      </w:pPr>
    </w:p>
    <w:p>
      <w:pPr>
        <w:tabs>
          <w:tab w:val="left" w:pos="8300"/>
        </w:tabs>
        <w:autoSpaceDE w:val="0"/>
        <w:autoSpaceDN w:val="0"/>
        <w:adjustRightInd w:val="0"/>
        <w:spacing w:line="400" w:lineRule="exact"/>
        <w:ind w:firstLine="420" w:firstLineChars="200"/>
        <w:jc w:val="right"/>
        <w:rPr>
          <w:rFonts w:ascii="宋体" w:hAnsi="宋体"/>
          <w:kern w:val="0"/>
          <w:szCs w:val="21"/>
          <w:highlight w:val="none"/>
        </w:rPr>
      </w:pPr>
      <w:r>
        <w:rPr>
          <w:rFonts w:hint="eastAsia" w:ascii="宋体" w:hAnsi="宋体"/>
          <w:kern w:val="0"/>
          <w:szCs w:val="21"/>
          <w:highlight w:val="none"/>
          <w:u w:val="single"/>
        </w:rPr>
        <w:t xml:space="preserve">    </w:t>
      </w:r>
      <w:r>
        <w:rPr>
          <w:rFonts w:ascii="宋体" w:hAnsi="宋体"/>
          <w:kern w:val="0"/>
          <w:szCs w:val="21"/>
          <w:highlight w:val="none"/>
        </w:rPr>
        <w:t>年</w:t>
      </w:r>
      <w:r>
        <w:rPr>
          <w:rFonts w:hint="eastAsia" w:ascii="宋体" w:hAnsi="宋体"/>
          <w:kern w:val="0"/>
          <w:szCs w:val="21"/>
          <w:highlight w:val="none"/>
          <w:u w:val="single"/>
        </w:rPr>
        <w:t xml:space="preserve">    </w:t>
      </w:r>
      <w:r>
        <w:rPr>
          <w:rFonts w:ascii="宋体" w:hAnsi="宋体"/>
          <w:kern w:val="0"/>
          <w:szCs w:val="21"/>
          <w:highlight w:val="none"/>
        </w:rPr>
        <w:t>月</w:t>
      </w:r>
      <w:r>
        <w:rPr>
          <w:rFonts w:hint="eastAsia" w:ascii="宋体" w:hAnsi="宋体"/>
          <w:kern w:val="0"/>
          <w:szCs w:val="21"/>
          <w:highlight w:val="none"/>
          <w:u w:val="single"/>
        </w:rPr>
        <w:t xml:space="preserve">    </w:t>
      </w:r>
      <w:r>
        <w:rPr>
          <w:rFonts w:ascii="宋体" w:hAnsi="宋体"/>
          <w:kern w:val="0"/>
          <w:szCs w:val="21"/>
          <w:highlight w:val="none"/>
        </w:rPr>
        <w:t>日</w:t>
      </w:r>
    </w:p>
    <w:p>
      <w:pPr>
        <w:tabs>
          <w:tab w:val="left" w:pos="8300"/>
        </w:tabs>
        <w:autoSpaceDE w:val="0"/>
        <w:autoSpaceDN w:val="0"/>
        <w:adjustRightInd w:val="0"/>
        <w:spacing w:line="400" w:lineRule="exact"/>
        <w:ind w:firstLine="420" w:firstLineChars="200"/>
        <w:jc w:val="right"/>
        <w:rPr>
          <w:rFonts w:ascii="宋体" w:hAnsi="宋体"/>
          <w:kern w:val="0"/>
          <w:szCs w:val="21"/>
          <w:highlight w:val="none"/>
        </w:rPr>
      </w:pPr>
    </w:p>
    <w:p>
      <w:pPr>
        <w:tabs>
          <w:tab w:val="left" w:pos="8300"/>
        </w:tabs>
        <w:autoSpaceDE w:val="0"/>
        <w:autoSpaceDN w:val="0"/>
        <w:adjustRightInd w:val="0"/>
        <w:spacing w:line="400" w:lineRule="exact"/>
        <w:ind w:firstLine="400" w:firstLineChars="200"/>
        <w:jc w:val="right"/>
        <w:rPr>
          <w:rFonts w:ascii="宋体" w:hAnsi="宋体"/>
          <w:snapToGrid w:val="0"/>
          <w:kern w:val="0"/>
          <w:sz w:val="20"/>
          <w:szCs w:val="20"/>
          <w:highlight w:val="none"/>
        </w:rPr>
      </w:pPr>
    </w:p>
    <w:p>
      <w:pPr>
        <w:pStyle w:val="5"/>
        <w:jc w:val="center"/>
        <w:rPr>
          <w:rFonts w:ascii="宋体" w:hAnsi="宋体"/>
          <w:snapToGrid w:val="0"/>
          <w:kern w:val="0"/>
          <w:szCs w:val="21"/>
          <w:highlight w:val="none"/>
        </w:rPr>
      </w:pPr>
      <w:bookmarkStart w:id="1261" w:name="_Toc430530531"/>
      <w:bookmarkStart w:id="1262" w:name="_Toc277082644"/>
      <w:bookmarkStart w:id="1263" w:name="_Toc224103496"/>
      <w:bookmarkStart w:id="1264" w:name="_Toc287620815"/>
      <w:bookmarkStart w:id="1265" w:name="_Toc287607868"/>
      <w:r>
        <w:rPr>
          <w:rFonts w:ascii="宋体" w:hAnsi="宋体"/>
          <w:sz w:val="28"/>
          <w:highlight w:val="none"/>
        </w:rPr>
        <w:br w:type="page"/>
      </w:r>
      <w:bookmarkStart w:id="1266" w:name="_Toc6045"/>
      <w:bookmarkStart w:id="1267" w:name="_Toc30967"/>
      <w:bookmarkStart w:id="1268" w:name="_Toc509218855"/>
      <w:bookmarkStart w:id="1269" w:name="_Toc534185832"/>
      <w:r>
        <w:rPr>
          <w:highlight w:val="none"/>
        </w:rPr>
        <w:t>（二）</w:t>
      </w:r>
      <w:r>
        <w:rPr>
          <w:rFonts w:hint="eastAsia"/>
          <w:highlight w:val="none"/>
          <w:lang w:eastAsia="zh-CN"/>
        </w:rPr>
        <w:t>竞选函</w:t>
      </w:r>
      <w:r>
        <w:rPr>
          <w:highlight w:val="none"/>
        </w:rPr>
        <w:t>附录</w:t>
      </w:r>
      <w:bookmarkEnd w:id="1261"/>
      <w:bookmarkEnd w:id="1262"/>
      <w:bookmarkEnd w:id="1263"/>
      <w:bookmarkEnd w:id="1264"/>
      <w:bookmarkEnd w:id="1265"/>
      <w:bookmarkEnd w:id="1266"/>
      <w:bookmarkEnd w:id="1267"/>
      <w:bookmarkEnd w:id="1268"/>
      <w:bookmarkEnd w:id="1269"/>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序号</w:t>
            </w:r>
          </w:p>
        </w:tc>
        <w:tc>
          <w:tcPr>
            <w:tcW w:w="2582" w:type="dxa"/>
            <w:vAlign w:val="center"/>
          </w:tcPr>
          <w:p>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条款名称</w:t>
            </w:r>
          </w:p>
        </w:tc>
        <w:tc>
          <w:tcPr>
            <w:tcW w:w="2388" w:type="dxa"/>
            <w:vAlign w:val="center"/>
          </w:tcPr>
          <w:p>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合同条款号</w:t>
            </w:r>
          </w:p>
        </w:tc>
        <w:tc>
          <w:tcPr>
            <w:tcW w:w="2987" w:type="dxa"/>
            <w:vAlign w:val="center"/>
          </w:tcPr>
          <w:p>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约定内容</w:t>
            </w:r>
          </w:p>
        </w:tc>
        <w:tc>
          <w:tcPr>
            <w:tcW w:w="792" w:type="dxa"/>
            <w:vAlign w:val="center"/>
          </w:tcPr>
          <w:p>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kern w:val="0"/>
                <w:szCs w:val="21"/>
                <w:highlight w:val="none"/>
              </w:rPr>
            </w:pPr>
            <w:r>
              <w:rPr>
                <w:rFonts w:ascii="宋体" w:hAnsi="宋体"/>
                <w:snapToGrid w:val="0"/>
                <w:kern w:val="0"/>
                <w:sz w:val="21"/>
                <w:szCs w:val="21"/>
              </w:rPr>
              <w:t>1</w:t>
            </w:r>
          </w:p>
        </w:tc>
        <w:tc>
          <w:tcPr>
            <w:tcW w:w="2582" w:type="dxa"/>
            <w:vAlign w:val="center"/>
          </w:tcPr>
          <w:p>
            <w:pPr>
              <w:autoSpaceDE w:val="0"/>
              <w:autoSpaceDN w:val="0"/>
              <w:adjustRightInd w:val="0"/>
              <w:jc w:val="center"/>
              <w:rPr>
                <w:rFonts w:ascii="宋体" w:hAnsi="宋体"/>
                <w:snapToGrid w:val="0"/>
                <w:kern w:val="0"/>
                <w:szCs w:val="21"/>
                <w:highlight w:val="none"/>
              </w:rPr>
            </w:pPr>
            <w:r>
              <w:rPr>
                <w:rFonts w:ascii="宋体" w:hAnsi="宋体"/>
                <w:snapToGrid w:val="0"/>
                <w:kern w:val="0"/>
                <w:sz w:val="21"/>
                <w:szCs w:val="21"/>
              </w:rPr>
              <w:t>项目经理</w:t>
            </w:r>
          </w:p>
        </w:tc>
        <w:tc>
          <w:tcPr>
            <w:tcW w:w="2388" w:type="dxa"/>
            <w:vAlign w:val="center"/>
          </w:tcPr>
          <w:p>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 w:val="21"/>
                <w:szCs w:val="21"/>
              </w:rPr>
              <w:t>1.1.2.8</w:t>
            </w:r>
          </w:p>
        </w:tc>
        <w:tc>
          <w:tcPr>
            <w:tcW w:w="2987" w:type="dxa"/>
            <w:vAlign w:val="center"/>
          </w:tcPr>
          <w:p>
            <w:pPr>
              <w:tabs>
                <w:tab w:val="left" w:pos="2190"/>
              </w:tabs>
              <w:autoSpaceDE w:val="0"/>
              <w:autoSpaceDN w:val="0"/>
              <w:adjustRightInd w:val="0"/>
              <w:ind w:firstLine="420" w:firstLineChars="200"/>
              <w:jc w:val="left"/>
              <w:rPr>
                <w:rFonts w:hint="eastAsia" w:ascii="宋体" w:hAnsi="宋体" w:eastAsia="宋体"/>
                <w:snapToGrid w:val="0"/>
                <w:kern w:val="0"/>
                <w:szCs w:val="21"/>
                <w:highlight w:val="none"/>
                <w:lang w:val="en-US" w:eastAsia="zh-CN"/>
              </w:rPr>
            </w:pPr>
            <w:r>
              <w:rPr>
                <w:rFonts w:ascii="宋体" w:hAnsi="宋体"/>
                <w:snapToGrid w:val="0"/>
                <w:kern w:val="0"/>
                <w:sz w:val="21"/>
                <w:szCs w:val="21"/>
              </w:rPr>
              <w:t>姓名：</w:t>
            </w:r>
          </w:p>
        </w:tc>
        <w:tc>
          <w:tcPr>
            <w:tcW w:w="792" w:type="dxa"/>
            <w:vAlign w:val="center"/>
          </w:tcPr>
          <w:p>
            <w:pPr>
              <w:autoSpaceDE w:val="0"/>
              <w:autoSpaceDN w:val="0"/>
              <w:adjustRightInd w:val="0"/>
              <w:jc w:val="center"/>
              <w:rPr>
                <w:rFonts w:ascii="宋体" w:hAnsi="宋体"/>
                <w:snapToGrid w:val="0"/>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hint="eastAsia" w:ascii="宋体" w:hAnsi="宋体" w:eastAsia="宋体" w:cs="Times New Roman"/>
                <w:snapToGrid w:val="0"/>
                <w:kern w:val="0"/>
                <w:sz w:val="21"/>
                <w:szCs w:val="21"/>
                <w:highlight w:val="none"/>
                <w:lang w:val="en-US" w:eastAsia="zh-CN" w:bidi="ar-SA"/>
              </w:rPr>
            </w:pPr>
            <w:r>
              <w:rPr>
                <w:rFonts w:ascii="宋体" w:hAnsi="宋体"/>
                <w:snapToGrid w:val="0"/>
                <w:kern w:val="0"/>
                <w:sz w:val="21"/>
                <w:szCs w:val="21"/>
              </w:rPr>
              <w:t>2</w:t>
            </w:r>
          </w:p>
        </w:tc>
        <w:tc>
          <w:tcPr>
            <w:tcW w:w="2582" w:type="dxa"/>
            <w:vAlign w:val="center"/>
          </w:tcPr>
          <w:p>
            <w:pPr>
              <w:autoSpaceDE w:val="0"/>
              <w:autoSpaceDN w:val="0"/>
              <w:adjustRightInd w:val="0"/>
              <w:jc w:val="center"/>
              <w:rPr>
                <w:rFonts w:ascii="宋体" w:hAnsi="宋体" w:eastAsia="宋体" w:cs="Times New Roman"/>
                <w:snapToGrid w:val="0"/>
                <w:kern w:val="0"/>
                <w:sz w:val="21"/>
                <w:szCs w:val="21"/>
                <w:highlight w:val="none"/>
                <w:lang w:val="en-US" w:eastAsia="zh-CN" w:bidi="ar-SA"/>
              </w:rPr>
            </w:pPr>
            <w:r>
              <w:rPr>
                <w:rFonts w:ascii="宋体" w:hAnsi="宋体"/>
                <w:snapToGrid w:val="0"/>
                <w:kern w:val="0"/>
                <w:sz w:val="21"/>
                <w:szCs w:val="21"/>
              </w:rPr>
              <w:t>工期</w:t>
            </w:r>
          </w:p>
        </w:tc>
        <w:tc>
          <w:tcPr>
            <w:tcW w:w="2388" w:type="dxa"/>
            <w:vAlign w:val="center"/>
          </w:tcPr>
          <w:p>
            <w:pPr>
              <w:tabs>
                <w:tab w:val="left" w:pos="2051"/>
              </w:tabs>
              <w:autoSpaceDE w:val="0"/>
              <w:autoSpaceDN w:val="0"/>
              <w:adjustRightInd w:val="0"/>
              <w:jc w:val="center"/>
              <w:rPr>
                <w:rFonts w:ascii="宋体" w:hAnsi="宋体" w:eastAsia="宋体" w:cs="Times New Roman"/>
                <w:snapToGrid w:val="0"/>
                <w:kern w:val="0"/>
                <w:sz w:val="21"/>
                <w:szCs w:val="21"/>
                <w:highlight w:val="none"/>
                <w:lang w:val="en-US" w:eastAsia="zh-CN" w:bidi="ar-SA"/>
              </w:rPr>
            </w:pPr>
            <w:r>
              <w:rPr>
                <w:rFonts w:ascii="宋体" w:hAnsi="宋体"/>
                <w:snapToGrid w:val="0"/>
                <w:kern w:val="0"/>
                <w:sz w:val="21"/>
                <w:szCs w:val="21"/>
              </w:rPr>
              <w:t>1.1.4.3</w:t>
            </w:r>
          </w:p>
        </w:tc>
        <w:tc>
          <w:tcPr>
            <w:tcW w:w="2987" w:type="dxa"/>
            <w:vAlign w:val="center"/>
          </w:tcPr>
          <w:p>
            <w:pPr>
              <w:tabs>
                <w:tab w:val="left" w:pos="1560"/>
              </w:tabs>
              <w:autoSpaceDE w:val="0"/>
              <w:autoSpaceDN w:val="0"/>
              <w:adjustRightInd w:val="0"/>
              <w:jc w:val="center"/>
              <w:rPr>
                <w:rFonts w:hint="eastAsia" w:ascii="宋体" w:hAnsi="宋体" w:eastAsia="宋体" w:cs="Times New Roman"/>
                <w:snapToGrid w:val="0"/>
                <w:kern w:val="0"/>
                <w:sz w:val="21"/>
                <w:szCs w:val="21"/>
                <w:highlight w:val="none"/>
                <w:lang w:val="en-US" w:eastAsia="zh-CN" w:bidi="ar-SA"/>
              </w:rPr>
            </w:pPr>
            <w:r>
              <w:rPr>
                <w:rFonts w:ascii="宋体" w:hAnsi="宋体"/>
                <w:snapToGrid w:val="0"/>
                <w:kern w:val="0"/>
                <w:sz w:val="21"/>
                <w:szCs w:val="21"/>
              </w:rPr>
              <w:t>天数：</w:t>
            </w:r>
            <w:r>
              <w:rPr>
                <w:rFonts w:ascii="宋体" w:hAnsi="宋体"/>
                <w:snapToGrid w:val="0"/>
                <w:kern w:val="0"/>
                <w:sz w:val="21"/>
                <w:szCs w:val="21"/>
                <w:u w:val="single"/>
              </w:rPr>
              <w:tab/>
            </w:r>
            <w:r>
              <w:rPr>
                <w:rFonts w:ascii="宋体" w:hAnsi="宋体"/>
                <w:snapToGrid w:val="0"/>
                <w:kern w:val="0"/>
                <w:sz w:val="21"/>
                <w:szCs w:val="21"/>
              </w:rPr>
              <w:t>日历天</w:t>
            </w:r>
          </w:p>
        </w:tc>
        <w:tc>
          <w:tcPr>
            <w:tcW w:w="792" w:type="dxa"/>
            <w:vAlign w:val="center"/>
          </w:tcPr>
          <w:p>
            <w:pPr>
              <w:autoSpaceDE w:val="0"/>
              <w:autoSpaceDN w:val="0"/>
              <w:adjustRightInd w:val="0"/>
              <w:jc w:val="center"/>
              <w:rPr>
                <w:rFonts w:ascii="宋体" w:hAnsi="宋体"/>
                <w:snapToGrid w:val="0"/>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hint="eastAsia" w:ascii="宋体" w:hAnsi="宋体"/>
                <w:snapToGrid w:val="0"/>
                <w:kern w:val="0"/>
                <w:szCs w:val="21"/>
                <w:highlight w:val="none"/>
              </w:rPr>
            </w:pPr>
            <w:r>
              <w:rPr>
                <w:rFonts w:ascii="宋体" w:hAnsi="宋体"/>
                <w:snapToGrid w:val="0"/>
                <w:kern w:val="0"/>
                <w:sz w:val="21"/>
                <w:szCs w:val="21"/>
              </w:rPr>
              <w:t>3</w:t>
            </w:r>
          </w:p>
        </w:tc>
        <w:tc>
          <w:tcPr>
            <w:tcW w:w="2582" w:type="dxa"/>
            <w:vAlign w:val="center"/>
          </w:tcPr>
          <w:p>
            <w:pPr>
              <w:autoSpaceDE w:val="0"/>
              <w:autoSpaceDN w:val="0"/>
              <w:adjustRightInd w:val="0"/>
              <w:jc w:val="center"/>
              <w:rPr>
                <w:rFonts w:ascii="宋体" w:hAnsi="宋体"/>
                <w:snapToGrid w:val="0"/>
                <w:kern w:val="0"/>
                <w:szCs w:val="21"/>
                <w:highlight w:val="none"/>
              </w:rPr>
            </w:pPr>
            <w:r>
              <w:rPr>
                <w:rFonts w:ascii="宋体" w:hAnsi="宋体"/>
                <w:snapToGrid w:val="0"/>
                <w:kern w:val="0"/>
                <w:sz w:val="21"/>
                <w:szCs w:val="21"/>
              </w:rPr>
              <w:t>缺陷责任期</w:t>
            </w:r>
          </w:p>
        </w:tc>
        <w:tc>
          <w:tcPr>
            <w:tcW w:w="2388" w:type="dxa"/>
            <w:vAlign w:val="center"/>
          </w:tcPr>
          <w:p>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 w:val="21"/>
                <w:szCs w:val="21"/>
              </w:rPr>
              <w:t>1.1.4.4</w:t>
            </w:r>
          </w:p>
        </w:tc>
        <w:tc>
          <w:tcPr>
            <w:tcW w:w="2987" w:type="dxa"/>
            <w:vAlign w:val="center"/>
          </w:tcPr>
          <w:p>
            <w:pPr>
              <w:autoSpaceDE w:val="0"/>
              <w:autoSpaceDN w:val="0"/>
              <w:adjustRightInd w:val="0"/>
              <w:jc w:val="center"/>
              <w:rPr>
                <w:rFonts w:hint="eastAsia" w:ascii="宋体" w:hAnsi="宋体"/>
                <w:snapToGrid w:val="0"/>
                <w:kern w:val="0"/>
                <w:szCs w:val="21"/>
                <w:highlight w:val="none"/>
                <w:lang w:val="en-US" w:eastAsia="zh-CN"/>
              </w:rPr>
            </w:pPr>
          </w:p>
        </w:tc>
        <w:tc>
          <w:tcPr>
            <w:tcW w:w="792" w:type="dxa"/>
            <w:vAlign w:val="center"/>
          </w:tcPr>
          <w:p>
            <w:pPr>
              <w:autoSpaceDE w:val="0"/>
              <w:autoSpaceDN w:val="0"/>
              <w:adjustRightInd w:val="0"/>
              <w:jc w:val="center"/>
              <w:rPr>
                <w:rFonts w:ascii="宋体" w:hAnsi="宋体"/>
                <w:snapToGrid w:val="0"/>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kern w:val="0"/>
                <w:szCs w:val="21"/>
                <w:highlight w:val="none"/>
              </w:rPr>
            </w:pPr>
            <w:r>
              <w:rPr>
                <w:rFonts w:hint="eastAsia" w:ascii="宋体" w:hAnsi="宋体"/>
                <w:snapToGrid w:val="0"/>
                <w:kern w:val="0"/>
                <w:szCs w:val="21"/>
                <w:highlight w:val="none"/>
              </w:rPr>
              <w:t>2</w:t>
            </w:r>
          </w:p>
        </w:tc>
        <w:tc>
          <w:tcPr>
            <w:tcW w:w="2582" w:type="dxa"/>
            <w:vAlign w:val="center"/>
          </w:tcPr>
          <w:p>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分包</w:t>
            </w:r>
          </w:p>
        </w:tc>
        <w:tc>
          <w:tcPr>
            <w:tcW w:w="2388" w:type="dxa"/>
            <w:vAlign w:val="center"/>
          </w:tcPr>
          <w:p>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3.5</w:t>
            </w:r>
          </w:p>
        </w:tc>
        <w:tc>
          <w:tcPr>
            <w:tcW w:w="2987" w:type="dxa"/>
            <w:vAlign w:val="center"/>
          </w:tcPr>
          <w:p>
            <w:pPr>
              <w:autoSpaceDE w:val="0"/>
              <w:autoSpaceDN w:val="0"/>
              <w:adjustRightInd w:val="0"/>
              <w:jc w:val="center"/>
              <w:rPr>
                <w:rFonts w:hint="eastAsia" w:ascii="宋体" w:hAnsi="宋体" w:eastAsia="宋体"/>
                <w:snapToGrid w:val="0"/>
                <w:kern w:val="0"/>
                <w:szCs w:val="21"/>
                <w:highlight w:val="none"/>
                <w:lang w:val="en-US" w:eastAsia="zh-CN"/>
              </w:rPr>
            </w:pPr>
            <w:r>
              <w:rPr>
                <w:rFonts w:hint="eastAsia" w:ascii="宋体" w:hAnsi="宋体"/>
                <w:snapToGrid w:val="0"/>
                <w:kern w:val="0"/>
                <w:szCs w:val="21"/>
                <w:highlight w:val="none"/>
                <w:lang w:val="en-US" w:eastAsia="zh-CN"/>
              </w:rPr>
              <w:t>不允许</w:t>
            </w:r>
          </w:p>
        </w:tc>
        <w:tc>
          <w:tcPr>
            <w:tcW w:w="792" w:type="dxa"/>
            <w:vAlign w:val="center"/>
          </w:tcPr>
          <w:p>
            <w:pPr>
              <w:autoSpaceDE w:val="0"/>
              <w:autoSpaceDN w:val="0"/>
              <w:adjustRightInd w:val="0"/>
              <w:jc w:val="center"/>
              <w:rPr>
                <w:rFonts w:ascii="宋体" w:hAnsi="宋体"/>
                <w:snapToGrid w:val="0"/>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kern w:val="0"/>
                <w:szCs w:val="21"/>
                <w:highlight w:val="none"/>
              </w:rPr>
            </w:pPr>
            <w:r>
              <w:rPr>
                <w:rFonts w:hint="eastAsia" w:ascii="宋体" w:hAnsi="宋体"/>
                <w:snapToGrid w:val="0"/>
                <w:kern w:val="0"/>
                <w:szCs w:val="21"/>
                <w:highlight w:val="none"/>
              </w:rPr>
              <w:t>3</w:t>
            </w:r>
          </w:p>
        </w:tc>
        <w:tc>
          <w:tcPr>
            <w:tcW w:w="2582" w:type="dxa"/>
            <w:vAlign w:val="center"/>
          </w:tcPr>
          <w:p>
            <w:pPr>
              <w:autoSpaceDE w:val="0"/>
              <w:autoSpaceDN w:val="0"/>
              <w:adjustRightInd w:val="0"/>
              <w:jc w:val="center"/>
              <w:rPr>
                <w:rFonts w:ascii="宋体" w:hAnsi="宋体"/>
                <w:snapToGrid w:val="0"/>
                <w:kern w:val="0"/>
                <w:szCs w:val="21"/>
                <w:highlight w:val="none"/>
              </w:rPr>
            </w:pPr>
            <w:r>
              <w:rPr>
                <w:rFonts w:hint="eastAsia" w:ascii="宋体" w:hAnsi="宋体"/>
                <w:snapToGrid w:val="0"/>
                <w:kern w:val="0"/>
                <w:szCs w:val="21"/>
                <w:highlight w:val="none"/>
              </w:rPr>
              <w:t>工程质量</w:t>
            </w:r>
          </w:p>
        </w:tc>
        <w:tc>
          <w:tcPr>
            <w:tcW w:w="2388" w:type="dxa"/>
            <w:vAlign w:val="center"/>
          </w:tcPr>
          <w:p>
            <w:pPr>
              <w:tabs>
                <w:tab w:val="left" w:pos="2051"/>
              </w:tabs>
              <w:autoSpaceDE w:val="0"/>
              <w:autoSpaceDN w:val="0"/>
              <w:adjustRightInd w:val="0"/>
              <w:jc w:val="center"/>
              <w:rPr>
                <w:rFonts w:ascii="宋体" w:hAnsi="宋体"/>
                <w:snapToGrid w:val="0"/>
                <w:kern w:val="0"/>
                <w:szCs w:val="21"/>
                <w:highlight w:val="none"/>
              </w:rPr>
            </w:pPr>
            <w:r>
              <w:rPr>
                <w:rFonts w:hint="eastAsia" w:ascii="宋体" w:hAnsi="宋体"/>
                <w:snapToGrid w:val="0"/>
                <w:kern w:val="0"/>
                <w:szCs w:val="21"/>
                <w:highlight w:val="none"/>
              </w:rPr>
              <w:t>5.1</w:t>
            </w:r>
          </w:p>
        </w:tc>
        <w:tc>
          <w:tcPr>
            <w:tcW w:w="2987" w:type="dxa"/>
            <w:vAlign w:val="center"/>
          </w:tcPr>
          <w:p>
            <w:pPr>
              <w:autoSpaceDE w:val="0"/>
              <w:autoSpaceDN w:val="0"/>
              <w:adjustRightInd w:val="0"/>
              <w:jc w:val="center"/>
              <w:rPr>
                <w:rFonts w:hint="eastAsia" w:ascii="宋体" w:hAnsi="宋体" w:eastAsia="宋体"/>
                <w:snapToGrid w:val="0"/>
                <w:kern w:val="0"/>
                <w:szCs w:val="21"/>
                <w:highlight w:val="none"/>
                <w:lang w:val="en-US" w:eastAsia="zh-CN"/>
              </w:rPr>
            </w:pPr>
            <w:r>
              <w:rPr>
                <w:rFonts w:hint="eastAsia" w:ascii="宋体" w:hAnsi="宋体"/>
                <w:snapToGrid w:val="0"/>
                <w:kern w:val="0"/>
                <w:szCs w:val="21"/>
                <w:highlight w:val="none"/>
                <w:lang w:val="en-US" w:eastAsia="zh-CN"/>
              </w:rPr>
              <w:t>合格</w:t>
            </w:r>
          </w:p>
        </w:tc>
        <w:tc>
          <w:tcPr>
            <w:tcW w:w="792" w:type="dxa"/>
            <w:vAlign w:val="center"/>
          </w:tcPr>
          <w:p>
            <w:pPr>
              <w:autoSpaceDE w:val="0"/>
              <w:autoSpaceDN w:val="0"/>
              <w:adjustRightInd w:val="0"/>
              <w:jc w:val="center"/>
              <w:rPr>
                <w:rFonts w:ascii="宋体" w:hAnsi="宋体"/>
                <w:snapToGrid w:val="0"/>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2582" w:type="dxa"/>
            <w:vAlign w:val="center"/>
          </w:tcPr>
          <w:p>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2388" w:type="dxa"/>
            <w:vAlign w:val="center"/>
          </w:tcPr>
          <w:p>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2987" w:type="dxa"/>
            <w:vAlign w:val="center"/>
          </w:tcPr>
          <w:p>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792" w:type="dxa"/>
            <w:vAlign w:val="center"/>
          </w:tcPr>
          <w:p>
            <w:pPr>
              <w:autoSpaceDE w:val="0"/>
              <w:autoSpaceDN w:val="0"/>
              <w:adjustRightInd w:val="0"/>
              <w:jc w:val="center"/>
              <w:rPr>
                <w:rFonts w:ascii="宋体" w:hAnsi="宋体"/>
                <w:snapToGrid w:val="0"/>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2582" w:type="dxa"/>
            <w:vAlign w:val="center"/>
          </w:tcPr>
          <w:p>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2388" w:type="dxa"/>
            <w:vAlign w:val="center"/>
          </w:tcPr>
          <w:p>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2987" w:type="dxa"/>
            <w:vAlign w:val="center"/>
          </w:tcPr>
          <w:p>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792" w:type="dxa"/>
            <w:vAlign w:val="center"/>
          </w:tcPr>
          <w:p>
            <w:pPr>
              <w:autoSpaceDE w:val="0"/>
              <w:autoSpaceDN w:val="0"/>
              <w:adjustRightInd w:val="0"/>
              <w:jc w:val="center"/>
              <w:rPr>
                <w:rFonts w:ascii="宋体" w:hAnsi="宋体"/>
                <w:snapToGrid w:val="0"/>
                <w:kern w:val="0"/>
                <w:szCs w:val="21"/>
                <w:highlight w:val="none"/>
              </w:rPr>
            </w:pPr>
          </w:p>
        </w:tc>
      </w:tr>
    </w:tbl>
    <w:p>
      <w:pPr>
        <w:spacing w:line="360" w:lineRule="auto"/>
        <w:rPr>
          <w:rFonts w:ascii="宋体" w:hAnsi="宋体"/>
          <w:snapToGrid w:val="0"/>
          <w:w w:val="99"/>
          <w:highlight w:val="none"/>
        </w:rPr>
      </w:pPr>
    </w:p>
    <w:p>
      <w:pPr>
        <w:spacing w:line="360" w:lineRule="auto"/>
        <w:rPr>
          <w:rFonts w:ascii="宋体" w:hAnsi="宋体"/>
          <w:snapToGrid w:val="0"/>
          <w:highlight w:val="none"/>
        </w:rPr>
      </w:pPr>
    </w:p>
    <w:p>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kern w:val="0"/>
          <w:szCs w:val="21"/>
          <w:highlight w:val="none"/>
        </w:rPr>
      </w:pPr>
      <w:r>
        <w:rPr>
          <w:rFonts w:hint="eastAsia" w:ascii="宋体" w:hAnsi="宋体"/>
          <w:snapToGrid w:val="0"/>
          <w:kern w:val="0"/>
          <w:szCs w:val="21"/>
          <w:highlight w:val="none"/>
          <w:lang w:val="en-US" w:eastAsia="zh-CN"/>
        </w:rPr>
        <w:t>竞  选</w:t>
      </w:r>
      <w:r>
        <w:rPr>
          <w:rFonts w:ascii="宋体" w:hAnsi="宋体"/>
          <w:snapToGrid w:val="0"/>
          <w:kern w:val="0"/>
          <w:szCs w:val="21"/>
          <w:highlight w:val="none"/>
        </w:rPr>
        <w:t xml:space="preserve">  人：</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ascii="宋体" w:hAnsi="宋体"/>
          <w:snapToGrid w:val="0"/>
          <w:kern w:val="0"/>
          <w:szCs w:val="21"/>
          <w:highlight w:val="none"/>
        </w:rPr>
        <w:t xml:space="preserve">（盖单位法人章） </w:t>
      </w:r>
    </w:p>
    <w:p>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kern w:val="0"/>
          <w:szCs w:val="21"/>
          <w:highlight w:val="none"/>
        </w:rPr>
      </w:pPr>
      <w:r>
        <w:rPr>
          <w:rFonts w:hint="eastAsia" w:ascii="宋体" w:hAnsi="宋体"/>
          <w:snapToGrid w:val="0"/>
          <w:kern w:val="0"/>
          <w:szCs w:val="21"/>
          <w:highlight w:val="none"/>
        </w:rPr>
        <w:t xml:space="preserve">   </w:t>
      </w:r>
    </w:p>
    <w:p>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kern w:val="0"/>
          <w:szCs w:val="21"/>
          <w:highlight w:val="none"/>
        </w:rPr>
      </w:pPr>
      <w:r>
        <w:rPr>
          <w:rFonts w:ascii="宋体" w:hAnsi="宋体"/>
          <w:snapToGrid w:val="0"/>
          <w:kern w:val="0"/>
          <w:szCs w:val="21"/>
          <w:highlight w:val="none"/>
        </w:rPr>
        <w:t>法定代表人或其委托代理人：</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w:t>
      </w:r>
      <w:r>
        <w:rPr>
          <w:rFonts w:hint="eastAsia" w:ascii="宋体" w:hAnsi="宋体"/>
          <w:snapToGrid w:val="0"/>
          <w:kern w:val="0"/>
          <w:szCs w:val="21"/>
          <w:highlight w:val="none"/>
        </w:rPr>
        <w:t>签名</w:t>
      </w:r>
      <w:r>
        <w:rPr>
          <w:rFonts w:ascii="宋体" w:hAnsi="宋体"/>
          <w:snapToGrid w:val="0"/>
          <w:kern w:val="0"/>
          <w:szCs w:val="21"/>
          <w:highlight w:val="none"/>
        </w:rPr>
        <w:t xml:space="preserve">或盖章） </w:t>
      </w:r>
    </w:p>
    <w:p>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kern w:val="0"/>
          <w:szCs w:val="21"/>
          <w:highlight w:val="none"/>
        </w:rPr>
      </w:pPr>
    </w:p>
    <w:p>
      <w:pPr>
        <w:pStyle w:val="5"/>
        <w:jc w:val="center"/>
        <w:rPr>
          <w:rFonts w:ascii="宋体" w:hAnsi="宋体"/>
          <w:b w:val="0"/>
          <w:snapToGrid w:val="0"/>
          <w:kern w:val="0"/>
          <w:sz w:val="30"/>
          <w:szCs w:val="30"/>
          <w:highlight w:val="none"/>
        </w:rPr>
      </w:pPr>
      <w:r>
        <w:rPr>
          <w:rFonts w:ascii="宋体" w:hAnsi="宋体"/>
          <w:snapToGrid w:val="0"/>
          <w:highlight w:val="none"/>
        </w:rPr>
        <w:br w:type="page"/>
      </w:r>
      <w:bookmarkStart w:id="1270" w:name="_Toc287620816"/>
      <w:bookmarkStart w:id="1271" w:name="_Toc277082645"/>
      <w:bookmarkStart w:id="1272" w:name="_Toc287607869"/>
      <w:bookmarkStart w:id="1273" w:name="_Toc20860"/>
      <w:bookmarkStart w:id="1274" w:name="_Toc224103497"/>
      <w:bookmarkStart w:id="1275" w:name="_Toc8650"/>
      <w:bookmarkStart w:id="1276" w:name="_Toc430530532"/>
      <w:r>
        <w:rPr>
          <w:sz w:val="30"/>
          <w:szCs w:val="30"/>
          <w:highlight w:val="none"/>
        </w:rPr>
        <w:t>（三）</w:t>
      </w:r>
      <w:r>
        <w:rPr>
          <w:rFonts w:hint="eastAsia"/>
          <w:sz w:val="30"/>
          <w:szCs w:val="30"/>
          <w:highlight w:val="none"/>
        </w:rPr>
        <w:t>法定代表人身份证明或附有法定代表人身份证明的授权委托书</w:t>
      </w:r>
      <w:bookmarkEnd w:id="1270"/>
      <w:bookmarkEnd w:id="1271"/>
      <w:bookmarkEnd w:id="1272"/>
      <w:bookmarkEnd w:id="1273"/>
      <w:bookmarkEnd w:id="1274"/>
      <w:bookmarkEnd w:id="1275"/>
      <w:bookmarkEnd w:id="1276"/>
    </w:p>
    <w:p>
      <w:pPr>
        <w:spacing w:line="480" w:lineRule="auto"/>
        <w:jc w:val="center"/>
        <w:rPr>
          <w:rFonts w:ascii="宋体" w:hAnsi="宋体"/>
          <w:sz w:val="28"/>
          <w:highlight w:val="none"/>
        </w:rPr>
      </w:pPr>
      <w:r>
        <w:rPr>
          <w:rFonts w:hint="eastAsia" w:ascii="宋体" w:hAnsi="宋体"/>
          <w:sz w:val="28"/>
          <w:highlight w:val="none"/>
        </w:rPr>
        <w:t>法定代表人身份证明</w:t>
      </w:r>
    </w:p>
    <w:p>
      <w:pPr>
        <w:spacing w:line="480" w:lineRule="auto"/>
        <w:jc w:val="center"/>
        <w:rPr>
          <w:rFonts w:ascii="宋体" w:hAnsi="宋体"/>
          <w:highlight w:val="none"/>
        </w:rPr>
      </w:pPr>
    </w:p>
    <w:p>
      <w:pPr>
        <w:tabs>
          <w:tab w:val="left" w:pos="556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hint="eastAsia" w:ascii="宋体" w:hAnsi="宋体"/>
          <w:kern w:val="0"/>
          <w:szCs w:val="21"/>
          <w:highlight w:val="none"/>
          <w:lang w:eastAsia="zh-CN"/>
        </w:rPr>
        <w:t>竞选人</w:t>
      </w:r>
      <w:r>
        <w:rPr>
          <w:rFonts w:ascii="宋体" w:hAnsi="宋体"/>
          <w:kern w:val="0"/>
          <w:szCs w:val="21"/>
          <w:highlight w:val="none"/>
        </w:rPr>
        <w:t>名称：</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单位性质：</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地</w:t>
      </w:r>
      <w:r>
        <w:rPr>
          <w:rFonts w:hint="eastAsia" w:ascii="宋体" w:hAnsi="宋体"/>
          <w:kern w:val="0"/>
          <w:szCs w:val="21"/>
          <w:highlight w:val="none"/>
        </w:rPr>
        <w:t xml:space="preserve">    </w:t>
      </w:r>
      <w:r>
        <w:rPr>
          <w:rFonts w:ascii="宋体" w:hAnsi="宋体"/>
          <w:kern w:val="0"/>
          <w:szCs w:val="21"/>
          <w:highlight w:val="none"/>
        </w:rPr>
        <w:t>址：</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highlight w:val="none"/>
        </w:rPr>
      </w:pPr>
      <w:r>
        <w:rPr>
          <w:rFonts w:ascii="宋体" w:hAnsi="宋体"/>
          <w:kern w:val="0"/>
          <w:szCs w:val="21"/>
          <w:highlight w:val="none"/>
        </w:rPr>
        <w:t>成立时间：</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年</w:t>
      </w:r>
      <w:r>
        <w:rPr>
          <w:rFonts w:ascii="宋体" w:hAnsi="宋体"/>
          <w:w w:val="200"/>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月</w:t>
      </w:r>
      <w:r>
        <w:rPr>
          <w:rFonts w:ascii="宋体" w:hAnsi="宋体"/>
          <w:w w:val="200"/>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经营期限：</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姓名：</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性别</w:t>
      </w:r>
      <w:r>
        <w:rPr>
          <w:rFonts w:ascii="宋体" w:hAnsi="宋体"/>
          <w:spacing w:val="-1"/>
          <w:kern w:val="0"/>
          <w:szCs w:val="21"/>
          <w:highlight w:val="none"/>
        </w:rPr>
        <w:t>：</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spacing w:val="-1"/>
          <w:kern w:val="0"/>
          <w:szCs w:val="21"/>
          <w:highlight w:val="none"/>
        </w:rPr>
        <w:t>年</w:t>
      </w:r>
      <w:r>
        <w:rPr>
          <w:rFonts w:ascii="宋体" w:hAnsi="宋体"/>
          <w:kern w:val="0"/>
          <w:szCs w:val="21"/>
          <w:highlight w:val="none"/>
        </w:rPr>
        <w:t>龄：</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职务：</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系</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lang w:eastAsia="zh-CN"/>
        </w:rPr>
        <w:t>竞选人</w:t>
      </w:r>
      <w:r>
        <w:rPr>
          <w:rFonts w:ascii="宋体" w:hAnsi="宋体"/>
          <w:kern w:val="0"/>
          <w:szCs w:val="21"/>
          <w:highlight w:val="none"/>
          <w:u w:val="single"/>
        </w:rPr>
        <w:t>名称）</w:t>
      </w:r>
      <w:r>
        <w:rPr>
          <w:rFonts w:ascii="宋体" w:hAnsi="宋体"/>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特此证明。</w:t>
      </w:r>
    </w:p>
    <w:p>
      <w:pPr>
        <w:autoSpaceDE w:val="0"/>
        <w:autoSpaceDN w:val="0"/>
        <w:adjustRightInd w:val="0"/>
        <w:snapToGrid w:val="0"/>
        <w:spacing w:line="480" w:lineRule="auto"/>
        <w:ind w:firstLine="810" w:firstLineChars="386"/>
        <w:jc w:val="left"/>
        <w:rPr>
          <w:rFonts w:ascii="宋体" w:hAnsi="宋体"/>
          <w:kern w:val="0"/>
          <w:szCs w:val="21"/>
          <w:highlight w:val="none"/>
        </w:rPr>
      </w:pPr>
      <w:r>
        <w:rPr>
          <w:rFonts w:hint="eastAsia" w:ascii="宋体" w:hAnsi="宋体"/>
          <w:kern w:val="0"/>
          <w:szCs w:val="21"/>
          <w:highlight w:val="none"/>
        </w:rPr>
        <w:t>附：法定代表人身份证复印件（双面）</w:t>
      </w:r>
    </w:p>
    <w:p>
      <w:pPr>
        <w:pStyle w:val="2"/>
        <w:spacing w:after="0" w:line="360" w:lineRule="auto"/>
        <w:rPr>
          <w:rFonts w:ascii="宋体" w:hAnsi="宋体"/>
          <w:szCs w:val="21"/>
          <w:highlight w:val="none"/>
        </w:rPr>
      </w:pPr>
    </w:p>
    <w:p>
      <w:pPr>
        <w:pStyle w:val="2"/>
        <w:spacing w:after="0" w:line="360" w:lineRule="auto"/>
        <w:rPr>
          <w:rFonts w:ascii="宋体" w:hAnsi="宋体"/>
          <w:szCs w:val="21"/>
          <w:highlight w:val="none"/>
        </w:rPr>
      </w:pPr>
    </w:p>
    <w:p>
      <w:pPr>
        <w:pStyle w:val="2"/>
        <w:spacing w:after="0" w:line="360" w:lineRule="auto"/>
        <w:rPr>
          <w:rFonts w:ascii="宋体" w:hAnsi="宋体"/>
          <w:szCs w:val="21"/>
          <w:highlight w:val="none"/>
        </w:rPr>
      </w:pPr>
    </w:p>
    <w:p>
      <w:pPr>
        <w:pStyle w:val="2"/>
        <w:spacing w:after="0" w:line="360" w:lineRule="auto"/>
        <w:rPr>
          <w:rFonts w:ascii="宋体" w:hAnsi="宋体"/>
          <w:szCs w:val="21"/>
          <w:highlight w:val="none"/>
        </w:rPr>
      </w:pPr>
    </w:p>
    <w:p>
      <w:pPr>
        <w:pStyle w:val="2"/>
        <w:spacing w:after="0" w:line="360" w:lineRule="auto"/>
        <w:rPr>
          <w:rFonts w:ascii="宋体" w:hAnsi="宋体"/>
          <w:szCs w:val="21"/>
          <w:highlight w:val="none"/>
        </w:rPr>
      </w:pPr>
    </w:p>
    <w:p>
      <w:pPr>
        <w:pStyle w:val="2"/>
        <w:spacing w:after="0" w:line="360" w:lineRule="auto"/>
        <w:rPr>
          <w:rFonts w:ascii="宋体" w:hAnsi="宋体"/>
          <w:szCs w:val="21"/>
          <w:highlight w:val="none"/>
        </w:rPr>
      </w:pPr>
    </w:p>
    <w:p>
      <w:pPr>
        <w:autoSpaceDE w:val="0"/>
        <w:autoSpaceDN w:val="0"/>
        <w:adjustRightInd w:val="0"/>
        <w:snapToGrid w:val="0"/>
        <w:spacing w:line="480" w:lineRule="auto"/>
        <w:ind w:firstLine="420" w:firstLineChars="200"/>
        <w:jc w:val="right"/>
        <w:rPr>
          <w:rFonts w:ascii="宋体" w:hAnsi="宋体"/>
          <w:kern w:val="0"/>
          <w:szCs w:val="21"/>
          <w:highlight w:val="none"/>
        </w:rPr>
      </w:pPr>
      <w:r>
        <w:rPr>
          <w:rFonts w:hint="eastAsia" w:ascii="宋体" w:hAnsi="宋体"/>
          <w:kern w:val="0"/>
          <w:szCs w:val="21"/>
          <w:highlight w:val="none"/>
          <w:lang w:eastAsia="zh-CN"/>
        </w:rPr>
        <w:t>竞选人</w:t>
      </w:r>
      <w:r>
        <w:rPr>
          <w:rFonts w:ascii="宋体" w:hAnsi="宋体"/>
          <w:kern w:val="0"/>
          <w:szCs w:val="21"/>
          <w:highlight w:val="none"/>
        </w:rPr>
        <w:t>：</w:t>
      </w:r>
      <w:r>
        <w:rPr>
          <w:rFonts w:ascii="宋体" w:hAnsi="宋体"/>
          <w:w w:val="200"/>
          <w:kern w:val="0"/>
          <w:szCs w:val="21"/>
          <w:highlight w:val="none"/>
          <w:u w:val="single"/>
        </w:rPr>
        <w:t xml:space="preserve">              </w:t>
      </w:r>
      <w:r>
        <w:rPr>
          <w:rFonts w:ascii="宋体" w:hAnsi="宋体"/>
          <w:kern w:val="0"/>
          <w:szCs w:val="21"/>
          <w:highlight w:val="none"/>
          <w:u w:val="single"/>
        </w:rPr>
        <w:tab/>
      </w:r>
      <w:r>
        <w:rPr>
          <w:rFonts w:ascii="宋体" w:hAnsi="宋体"/>
          <w:spacing w:val="-1"/>
          <w:kern w:val="0"/>
          <w:szCs w:val="21"/>
          <w:highlight w:val="none"/>
        </w:rPr>
        <w:t>（</w:t>
      </w:r>
      <w:r>
        <w:rPr>
          <w:rFonts w:ascii="宋体" w:hAnsi="宋体"/>
          <w:kern w:val="0"/>
          <w:szCs w:val="21"/>
          <w:highlight w:val="none"/>
        </w:rPr>
        <w:t>盖单位法人章）</w:t>
      </w:r>
    </w:p>
    <w:p>
      <w:pPr>
        <w:autoSpaceDE w:val="0"/>
        <w:autoSpaceDN w:val="0"/>
        <w:adjustRightInd w:val="0"/>
        <w:snapToGrid w:val="0"/>
        <w:spacing w:line="480" w:lineRule="auto"/>
        <w:jc w:val="left"/>
        <w:rPr>
          <w:rFonts w:ascii="宋体" w:hAnsi="宋体"/>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highlight w:val="none"/>
        </w:rPr>
      </w:pPr>
      <w:r>
        <w:rPr>
          <w:rFonts w:hint="eastAsia" w:ascii="宋体" w:hAnsi="宋体"/>
          <w:w w:val="200"/>
          <w:kern w:val="0"/>
          <w:szCs w:val="21"/>
          <w:highlight w:val="none"/>
          <w:u w:val="single"/>
        </w:rPr>
        <w:t xml:space="preserve">      </w:t>
      </w:r>
      <w:r>
        <w:rPr>
          <w:rFonts w:ascii="宋体" w:hAnsi="宋体"/>
          <w:kern w:val="0"/>
          <w:szCs w:val="21"/>
          <w:highlight w:val="none"/>
        </w:rPr>
        <w:t>年</w:t>
      </w:r>
      <w:r>
        <w:rPr>
          <w:rFonts w:ascii="宋体" w:hAnsi="宋体"/>
          <w:w w:val="200"/>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月</w:t>
      </w:r>
      <w:r>
        <w:rPr>
          <w:rFonts w:ascii="宋体" w:hAnsi="宋体"/>
          <w:w w:val="200"/>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日</w:t>
      </w:r>
      <w:r>
        <w:rPr>
          <w:rFonts w:hint="eastAsia" w:ascii="宋体" w:hAnsi="宋体"/>
          <w:kern w:val="0"/>
          <w:szCs w:val="21"/>
          <w:highlight w:val="none"/>
        </w:rPr>
        <w:t xml:space="preserve">  </w:t>
      </w:r>
    </w:p>
    <w:p>
      <w:pPr>
        <w:autoSpaceDE w:val="0"/>
        <w:autoSpaceDN w:val="0"/>
        <w:adjustRightInd w:val="0"/>
        <w:snapToGrid w:val="0"/>
        <w:spacing w:line="360" w:lineRule="auto"/>
        <w:jc w:val="left"/>
        <w:rPr>
          <w:rFonts w:ascii="宋体" w:hAnsi="宋体"/>
          <w:kern w:val="0"/>
          <w:highlight w:val="none"/>
        </w:rPr>
      </w:pPr>
    </w:p>
    <w:p>
      <w:pPr>
        <w:autoSpaceDE w:val="0"/>
        <w:autoSpaceDN w:val="0"/>
        <w:adjustRightInd w:val="0"/>
        <w:snapToGrid w:val="0"/>
        <w:spacing w:line="360" w:lineRule="auto"/>
        <w:jc w:val="left"/>
        <w:rPr>
          <w:rFonts w:ascii="宋体" w:hAnsi="宋体"/>
          <w:kern w:val="0"/>
          <w:highlight w:val="none"/>
        </w:rPr>
      </w:pPr>
    </w:p>
    <w:p>
      <w:pPr>
        <w:spacing w:line="360" w:lineRule="auto"/>
        <w:ind w:firstLine="420" w:firstLineChars="200"/>
        <w:rPr>
          <w:rFonts w:ascii="宋体" w:hAnsi="宋体"/>
          <w:highlight w:val="none"/>
        </w:rPr>
      </w:pPr>
      <w:r>
        <w:rPr>
          <w:rFonts w:ascii="宋体" w:hAnsi="宋体"/>
          <w:highlight w:val="none"/>
        </w:rPr>
        <w:t>注：法定代表人身份证明需按上述格式填写完整，不可缺少内容。在此基础上增加内容的不影响其有效性。</w:t>
      </w:r>
    </w:p>
    <w:p>
      <w:pPr>
        <w:autoSpaceDE w:val="0"/>
        <w:autoSpaceDN w:val="0"/>
        <w:adjustRightInd w:val="0"/>
        <w:snapToGrid w:val="0"/>
        <w:spacing w:line="360" w:lineRule="auto"/>
        <w:jc w:val="left"/>
        <w:rPr>
          <w:rFonts w:ascii="宋体" w:hAnsi="宋体"/>
          <w:kern w:val="0"/>
          <w:highlight w:val="none"/>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0"/>
          <w:szCs w:val="20"/>
          <w:highlight w:val="none"/>
        </w:rPr>
      </w:pPr>
      <w:r>
        <w:rPr>
          <w:rFonts w:ascii="宋体" w:hAnsi="宋体"/>
          <w:b/>
          <w:kern w:val="0"/>
          <w:sz w:val="28"/>
          <w:szCs w:val="28"/>
          <w:highlight w:val="none"/>
        </w:rPr>
        <w:br w:type="page"/>
      </w:r>
      <w:r>
        <w:rPr>
          <w:rFonts w:ascii="宋体" w:hAnsi="宋体"/>
          <w:snapToGrid w:val="0"/>
          <w:kern w:val="0"/>
          <w:sz w:val="32"/>
          <w:szCs w:val="32"/>
          <w:highlight w:val="none"/>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highlight w:val="none"/>
        </w:rPr>
      </w:pPr>
      <w:r>
        <w:rPr>
          <w:rFonts w:ascii="宋体" w:hAnsi="宋体"/>
          <w:kern w:val="0"/>
          <w:szCs w:val="21"/>
          <w:highlight w:val="none"/>
        </w:rPr>
        <w:t>本人</w:t>
      </w:r>
      <w:r>
        <w:rPr>
          <w:rFonts w:hint="eastAsia" w:ascii="宋体" w:hAnsi="宋体"/>
          <w:w w:val="200"/>
          <w:kern w:val="0"/>
          <w:szCs w:val="21"/>
          <w:highlight w:val="none"/>
          <w:u w:val="single"/>
        </w:rPr>
        <w:t xml:space="preserve">    </w:t>
      </w:r>
      <w:r>
        <w:rPr>
          <w:rFonts w:ascii="宋体" w:hAnsi="宋体"/>
          <w:kern w:val="0"/>
          <w:szCs w:val="21"/>
          <w:highlight w:val="none"/>
          <w:u w:val="single"/>
        </w:rPr>
        <w:t>（姓名）</w:t>
      </w:r>
      <w:r>
        <w:rPr>
          <w:rFonts w:ascii="宋体" w:hAnsi="宋体"/>
          <w:kern w:val="0"/>
          <w:szCs w:val="21"/>
          <w:highlight w:val="none"/>
        </w:rPr>
        <w:t>系</w:t>
      </w:r>
      <w:r>
        <w:rPr>
          <w:rFonts w:hint="eastAsia" w:ascii="宋体" w:hAnsi="宋体"/>
          <w:w w:val="200"/>
          <w:kern w:val="0"/>
          <w:szCs w:val="21"/>
          <w:highlight w:val="none"/>
          <w:u w:val="single"/>
        </w:rPr>
        <w:t xml:space="preserve">        </w:t>
      </w:r>
      <w:r>
        <w:rPr>
          <w:rFonts w:ascii="宋体" w:hAnsi="宋体"/>
          <w:kern w:val="0"/>
          <w:szCs w:val="21"/>
          <w:highlight w:val="none"/>
          <w:u w:val="single"/>
        </w:rPr>
        <w:t>（</w:t>
      </w:r>
      <w:r>
        <w:rPr>
          <w:rFonts w:hint="eastAsia" w:ascii="宋体" w:hAnsi="宋体"/>
          <w:spacing w:val="-1"/>
          <w:kern w:val="0"/>
          <w:szCs w:val="21"/>
          <w:highlight w:val="none"/>
          <w:u w:val="single"/>
          <w:lang w:eastAsia="zh-CN"/>
        </w:rPr>
        <w:t>竞选人</w:t>
      </w:r>
      <w:r>
        <w:rPr>
          <w:rFonts w:ascii="宋体" w:hAnsi="宋体"/>
          <w:kern w:val="0"/>
          <w:szCs w:val="21"/>
          <w:highlight w:val="none"/>
          <w:u w:val="single"/>
        </w:rPr>
        <w:t>名称</w:t>
      </w:r>
      <w:r>
        <w:rPr>
          <w:rFonts w:ascii="宋体" w:hAnsi="宋体"/>
          <w:spacing w:val="1"/>
          <w:kern w:val="0"/>
          <w:szCs w:val="21"/>
          <w:highlight w:val="none"/>
          <w:u w:val="single"/>
        </w:rPr>
        <w:t>）</w:t>
      </w:r>
      <w:r>
        <w:rPr>
          <w:rFonts w:ascii="宋体" w:hAnsi="宋体"/>
          <w:kern w:val="0"/>
          <w:szCs w:val="21"/>
          <w:highlight w:val="none"/>
        </w:rPr>
        <w:t>的法定代</w:t>
      </w:r>
      <w:r>
        <w:rPr>
          <w:rFonts w:ascii="宋体" w:hAnsi="宋体"/>
          <w:spacing w:val="1"/>
          <w:kern w:val="0"/>
          <w:szCs w:val="21"/>
          <w:highlight w:val="none"/>
        </w:rPr>
        <w:t>表</w:t>
      </w:r>
      <w:r>
        <w:rPr>
          <w:rFonts w:ascii="宋体" w:hAnsi="宋体"/>
          <w:kern w:val="0"/>
          <w:szCs w:val="21"/>
          <w:highlight w:val="none"/>
        </w:rPr>
        <w:t>人，现委托</w:t>
      </w:r>
      <w:r>
        <w:rPr>
          <w:rFonts w:hint="eastAsia" w:ascii="宋体" w:hAnsi="宋体"/>
          <w:w w:val="200"/>
          <w:kern w:val="0"/>
          <w:szCs w:val="21"/>
          <w:highlight w:val="none"/>
          <w:u w:val="single"/>
        </w:rPr>
        <w:t xml:space="preserve">    </w:t>
      </w:r>
      <w:r>
        <w:rPr>
          <w:rFonts w:ascii="宋体" w:hAnsi="宋体"/>
          <w:kern w:val="0"/>
          <w:szCs w:val="21"/>
          <w:highlight w:val="none"/>
          <w:u w:val="single"/>
        </w:rPr>
        <w:t>（姓名）</w:t>
      </w:r>
      <w:r>
        <w:rPr>
          <w:rFonts w:ascii="宋体" w:hAnsi="宋体"/>
          <w:kern w:val="0"/>
          <w:szCs w:val="21"/>
          <w:highlight w:val="none"/>
        </w:rPr>
        <w:t>为我方代理人。代理人根据授权，以我方名义签署、澄清、说明、补正、递交、撤回、 修改</w:t>
      </w:r>
      <w:r>
        <w:rPr>
          <w:rFonts w:hint="eastAsia" w:ascii="宋体" w:hAnsi="宋体"/>
          <w:w w:val="200"/>
          <w:kern w:val="0"/>
          <w:szCs w:val="21"/>
          <w:highlight w:val="none"/>
          <w:u w:val="single"/>
        </w:rPr>
        <w:t xml:space="preserve">        </w:t>
      </w:r>
      <w:r>
        <w:rPr>
          <w:rFonts w:ascii="宋体" w:hAnsi="宋体"/>
          <w:kern w:val="0"/>
          <w:szCs w:val="21"/>
          <w:highlight w:val="none"/>
          <w:u w:val="single"/>
        </w:rPr>
        <w:t>（项</w:t>
      </w:r>
      <w:r>
        <w:rPr>
          <w:rFonts w:ascii="宋体" w:hAnsi="宋体"/>
          <w:spacing w:val="-1"/>
          <w:kern w:val="0"/>
          <w:szCs w:val="21"/>
          <w:highlight w:val="none"/>
          <w:u w:val="single"/>
        </w:rPr>
        <w:t>目</w:t>
      </w:r>
      <w:r>
        <w:rPr>
          <w:rFonts w:ascii="宋体" w:hAnsi="宋体"/>
          <w:kern w:val="0"/>
          <w:szCs w:val="21"/>
          <w:highlight w:val="none"/>
          <w:u w:val="single"/>
        </w:rPr>
        <w:t>名称）</w:t>
      </w:r>
      <w:r>
        <w:rPr>
          <w:rFonts w:hint="eastAsia" w:ascii="宋体" w:hAnsi="宋体"/>
          <w:kern w:val="0"/>
          <w:szCs w:val="21"/>
          <w:highlight w:val="none"/>
          <w:lang w:eastAsia="zh-CN"/>
        </w:rPr>
        <w:t>竞选文件</w:t>
      </w:r>
      <w:r>
        <w:rPr>
          <w:rFonts w:ascii="宋体" w:hAnsi="宋体"/>
          <w:kern w:val="0"/>
          <w:szCs w:val="21"/>
          <w:highlight w:val="none"/>
        </w:rPr>
        <w:t>、签订合同和处理有关事宜，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ascii="宋体" w:hAnsi="宋体"/>
          <w:kern w:val="0"/>
          <w:szCs w:val="21"/>
          <w:highlight w:val="none"/>
        </w:rPr>
        <w:t>委托</w:t>
      </w:r>
      <w:r>
        <w:rPr>
          <w:rFonts w:ascii="宋体" w:hAnsi="宋体"/>
          <w:spacing w:val="-1"/>
          <w:kern w:val="0"/>
          <w:szCs w:val="21"/>
          <w:highlight w:val="none"/>
        </w:rPr>
        <w:t>期</w:t>
      </w:r>
      <w:r>
        <w:rPr>
          <w:rFonts w:ascii="宋体" w:hAnsi="宋体"/>
          <w:kern w:val="0"/>
          <w:szCs w:val="21"/>
          <w:highlight w:val="none"/>
        </w:rPr>
        <w:t>限：</w:t>
      </w:r>
      <w:r>
        <w:rPr>
          <w:rFonts w:hint="eastAsia" w:ascii="宋体" w:hAnsi="宋体"/>
          <w:w w:val="200"/>
          <w:kern w:val="0"/>
          <w:szCs w:val="21"/>
          <w:highlight w:val="none"/>
          <w:u w:val="single"/>
        </w:rPr>
        <w:t xml:space="preserve">        </w:t>
      </w:r>
      <w:r>
        <w:rPr>
          <w:rFonts w:ascii="宋体" w:hAnsi="宋体"/>
          <w:kern w:val="0"/>
          <w:szCs w:val="21"/>
          <w:highlight w:val="none"/>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ascii="宋体" w:hAnsi="宋体"/>
          <w:kern w:val="0"/>
          <w:szCs w:val="21"/>
          <w:highlight w:val="none"/>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hint="eastAsia" w:ascii="宋体" w:hAnsi="宋体"/>
          <w:kern w:val="0"/>
          <w:szCs w:val="21"/>
          <w:highlight w:val="none"/>
          <w:lang w:val="en-US" w:eastAsia="zh-CN"/>
        </w:rPr>
        <w:t>竞  选</w:t>
      </w:r>
      <w:r>
        <w:rPr>
          <w:rFonts w:ascii="宋体" w:hAnsi="宋体"/>
          <w:kern w:val="0"/>
          <w:szCs w:val="21"/>
          <w:highlight w:val="none"/>
        </w:rPr>
        <w:t xml:space="preserve">  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ascii="宋体" w:hAnsi="宋体"/>
          <w:spacing w:val="-1"/>
          <w:kern w:val="0"/>
          <w:szCs w:val="21"/>
          <w:highlight w:val="none"/>
        </w:rPr>
        <w:t>盖单位法人章</w:t>
      </w:r>
      <w:r>
        <w:rPr>
          <w:rFonts w:ascii="宋体" w:hAnsi="宋体"/>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法定代表人：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签名</w:t>
      </w:r>
      <w:r>
        <w:rPr>
          <w:rFonts w:ascii="宋体" w:hAnsi="宋体"/>
          <w:kern w:val="0"/>
          <w:szCs w:val="21"/>
          <w:highlight w:val="none"/>
        </w:rPr>
        <w:t>或盖章）</w:t>
      </w:r>
    </w:p>
    <w:p>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u w:val="single"/>
        </w:rPr>
      </w:pPr>
      <w:r>
        <w:rPr>
          <w:rFonts w:ascii="宋体" w:hAnsi="宋体"/>
          <w:kern w:val="0"/>
          <w:szCs w:val="21"/>
          <w:highlight w:val="none"/>
        </w:rPr>
        <w:t>身份证号码：</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委托代理人：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签名</w:t>
      </w:r>
      <w:r>
        <w:rPr>
          <w:rFonts w:ascii="宋体" w:hAnsi="宋体"/>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ascii="宋体" w:hAnsi="宋体"/>
          <w:w w:val="200"/>
          <w:kern w:val="0"/>
          <w:szCs w:val="21"/>
          <w:highlight w:val="none"/>
          <w:u w:val="single"/>
        </w:rPr>
      </w:pPr>
      <w:r>
        <w:rPr>
          <w:rFonts w:ascii="宋体" w:hAnsi="宋体"/>
          <w:kern w:val="0"/>
          <w:szCs w:val="21"/>
          <w:highlight w:val="none"/>
        </w:rPr>
        <w:t>身份证号码：</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kern w:val="0"/>
          <w:szCs w:val="21"/>
          <w:highlight w:val="none"/>
          <w:u w:val="single"/>
        </w:rPr>
      </w:pPr>
      <w:r>
        <w:rPr>
          <w:rFonts w:hint="eastAsia" w:ascii="宋体" w:hAnsi="宋体"/>
          <w:kern w:val="0"/>
          <w:szCs w:val="21"/>
          <w:highlight w:val="none"/>
        </w:rPr>
        <w:t>单位电话（座机）：</w:t>
      </w:r>
      <w:r>
        <w:rPr>
          <w:rFonts w:hint="eastAsia" w:ascii="宋体" w:hAnsi="宋体"/>
          <w:kern w:val="0"/>
          <w:szCs w:val="21"/>
          <w:highlight w:val="none"/>
          <w:u w:val="single"/>
        </w:rPr>
        <w:t xml:space="preserve">                              </w:t>
      </w:r>
    </w:p>
    <w:p>
      <w:pPr>
        <w:autoSpaceDE w:val="0"/>
        <w:autoSpaceDN w:val="0"/>
        <w:adjustRightInd w:val="0"/>
        <w:snapToGrid w:val="0"/>
        <w:spacing w:line="480" w:lineRule="auto"/>
        <w:ind w:firstLine="420" w:firstLineChars="200"/>
        <w:jc w:val="left"/>
        <w:rPr>
          <w:rFonts w:ascii="宋体" w:hAnsi="宋体"/>
          <w:kern w:val="0"/>
          <w:szCs w:val="21"/>
          <w:highlight w:val="none"/>
        </w:rPr>
      </w:pPr>
      <w:r>
        <w:rPr>
          <w:rFonts w:hint="eastAsia" w:ascii="宋体" w:hAnsi="宋体"/>
          <w:kern w:val="0"/>
          <w:szCs w:val="21"/>
          <w:highlight w:val="none"/>
        </w:rPr>
        <w:t xml:space="preserve">委托代理人电话（手机）：                                          </w:t>
      </w:r>
    </w:p>
    <w:p>
      <w:pPr>
        <w:autoSpaceDE w:val="0"/>
        <w:autoSpaceDN w:val="0"/>
        <w:adjustRightInd w:val="0"/>
        <w:snapToGrid w:val="0"/>
        <w:spacing w:line="480" w:lineRule="auto"/>
        <w:ind w:firstLine="810" w:firstLineChars="386"/>
        <w:jc w:val="left"/>
        <w:rPr>
          <w:rFonts w:ascii="宋体" w:hAnsi="宋体"/>
          <w:kern w:val="0"/>
          <w:szCs w:val="21"/>
          <w:highlight w:val="none"/>
        </w:rPr>
      </w:pPr>
      <w:r>
        <w:rPr>
          <w:rFonts w:hint="eastAsia" w:ascii="宋体" w:hAnsi="宋体"/>
          <w:kern w:val="0"/>
          <w:szCs w:val="21"/>
          <w:highlight w:val="none"/>
        </w:rPr>
        <w:t>附：法定代表人和委托代理人身份证复印件（双面）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highlight w:val="none"/>
        </w:rPr>
      </w:pPr>
      <w:r>
        <w:rPr>
          <w:rFonts w:hint="eastAsia" w:ascii="宋体" w:hAnsi="宋体"/>
          <w:w w:val="200"/>
          <w:kern w:val="0"/>
          <w:szCs w:val="21"/>
          <w:highlight w:val="none"/>
          <w:u w:val="single"/>
        </w:rPr>
        <w:t xml:space="preserve">  </w:t>
      </w:r>
      <w:r>
        <w:rPr>
          <w:rFonts w:ascii="宋体" w:hAnsi="宋体"/>
          <w:kern w:val="0"/>
          <w:szCs w:val="21"/>
          <w:highlight w:val="none"/>
        </w:rPr>
        <w:t>年</w:t>
      </w:r>
      <w:r>
        <w:rPr>
          <w:rFonts w:hint="eastAsia" w:ascii="宋体" w:hAnsi="宋体"/>
          <w:w w:val="200"/>
          <w:kern w:val="0"/>
          <w:szCs w:val="21"/>
          <w:highlight w:val="none"/>
          <w:u w:val="single"/>
        </w:rPr>
        <w:t xml:space="preserve">  </w:t>
      </w:r>
      <w:r>
        <w:rPr>
          <w:rFonts w:ascii="宋体" w:hAnsi="宋体"/>
          <w:kern w:val="0"/>
          <w:szCs w:val="21"/>
          <w:highlight w:val="none"/>
        </w:rPr>
        <w:t>月</w:t>
      </w:r>
      <w:r>
        <w:rPr>
          <w:rFonts w:hint="eastAsia" w:ascii="宋体" w:hAnsi="宋体"/>
          <w:w w:val="200"/>
          <w:kern w:val="0"/>
          <w:szCs w:val="21"/>
          <w:highlight w:val="none"/>
          <w:u w:val="single"/>
        </w:rPr>
        <w:t xml:space="preserve">  </w:t>
      </w:r>
      <w:r>
        <w:rPr>
          <w:rFonts w:ascii="宋体" w:hAnsi="宋体"/>
          <w:kern w:val="0"/>
          <w:szCs w:val="21"/>
          <w:highlight w:val="none"/>
        </w:rPr>
        <w:t>日</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highlight w:val="none"/>
        </w:rPr>
      </w:pPr>
    </w:p>
    <w:p>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kern w:val="0"/>
          <w:szCs w:val="21"/>
          <w:highlight w:val="none"/>
        </w:rPr>
      </w:pPr>
      <w:r>
        <w:rPr>
          <w:rFonts w:ascii="宋体" w:hAnsi="宋体"/>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auto"/>
        <w:ind w:firstLine="420" w:firstLineChars="200"/>
        <w:jc w:val="left"/>
        <w:rPr>
          <w:rFonts w:ascii="宋体" w:hAnsi="宋体"/>
          <w:kern w:val="0"/>
          <w:szCs w:val="21"/>
          <w:highlight w:val="none"/>
        </w:rPr>
      </w:pPr>
      <w:r>
        <w:rPr>
          <w:rFonts w:ascii="宋体" w:hAnsi="宋体"/>
          <w:kern w:val="0"/>
          <w:szCs w:val="21"/>
          <w:highlight w:val="none"/>
        </w:rPr>
        <w:t>2、法定代表人身份证明及授权委托书原件装入</w:t>
      </w:r>
      <w:r>
        <w:rPr>
          <w:rFonts w:hint="eastAsia" w:ascii="宋体" w:hAnsi="宋体"/>
          <w:kern w:val="0"/>
          <w:szCs w:val="21"/>
          <w:highlight w:val="none"/>
          <w:lang w:eastAsia="zh-CN"/>
        </w:rPr>
        <w:t>竞选文件</w:t>
      </w:r>
      <w:r>
        <w:rPr>
          <w:rFonts w:ascii="宋体" w:hAnsi="宋体"/>
          <w:kern w:val="0"/>
          <w:szCs w:val="21"/>
          <w:highlight w:val="none"/>
        </w:rPr>
        <w:t>一并递交。另外须准备一份授权委托书原件在开标现场出具。</w:t>
      </w:r>
    </w:p>
    <w:p>
      <w:pPr>
        <w:spacing w:line="360" w:lineRule="auto"/>
        <w:ind w:firstLine="420" w:firstLineChars="200"/>
        <w:jc w:val="left"/>
        <w:rPr>
          <w:rFonts w:ascii="宋体" w:hAnsi="宋体"/>
          <w:highlight w:val="none"/>
        </w:rPr>
        <w:sectPr>
          <w:pgSz w:w="11906" w:h="16838"/>
          <w:pgMar w:top="1304" w:right="1134" w:bottom="1304" w:left="1304" w:header="851" w:footer="992" w:gutter="0"/>
          <w:cols w:space="720" w:num="1"/>
          <w:docGrid w:type="lines" w:linePitch="312" w:charSpace="0"/>
        </w:sectPr>
      </w:pPr>
      <w:r>
        <w:rPr>
          <w:rFonts w:hint="eastAsia" w:ascii="宋体" w:hAnsi="宋体"/>
          <w:kern w:val="0"/>
          <w:szCs w:val="21"/>
          <w:highlight w:val="none"/>
        </w:rPr>
        <w:t>3.</w:t>
      </w:r>
      <w:r>
        <w:rPr>
          <w:rFonts w:hint="eastAsia" w:ascii="宋体" w:hAnsi="宋体"/>
          <w:highlight w:val="none"/>
        </w:rPr>
        <w:t>授权委托书</w:t>
      </w:r>
      <w:r>
        <w:rPr>
          <w:rFonts w:ascii="宋体" w:hAnsi="宋体"/>
          <w:highlight w:val="none"/>
        </w:rPr>
        <w:t>需按上述格式填写完整，不可缺少内容。在此基础上增加内容的不影响其有效性。</w:t>
      </w:r>
    </w:p>
    <w:p>
      <w:pPr>
        <w:pStyle w:val="5"/>
        <w:jc w:val="center"/>
        <w:rPr>
          <w:color w:val="auto"/>
          <w:highlight w:val="none"/>
        </w:rPr>
      </w:pPr>
      <w:r>
        <w:rPr>
          <w:color w:val="auto"/>
          <w:highlight w:val="none"/>
        </w:rPr>
        <w:t>（四）</w:t>
      </w:r>
      <w:r>
        <w:rPr>
          <w:rFonts w:hint="eastAsia"/>
          <w:color w:val="auto"/>
          <w:highlight w:val="none"/>
        </w:rPr>
        <w:t>低价风险担保提交承诺书</w:t>
      </w:r>
    </w:p>
    <w:p>
      <w:pPr>
        <w:autoSpaceDE w:val="0"/>
        <w:autoSpaceDN w:val="0"/>
        <w:adjustRightInd w:val="0"/>
        <w:snapToGrid w:val="0"/>
        <w:spacing w:line="360" w:lineRule="auto"/>
        <w:jc w:val="center"/>
        <w:rPr>
          <w:rFonts w:ascii="宋体" w:hAnsi="宋体"/>
          <w:snapToGrid w:val="0"/>
          <w:color w:val="auto"/>
          <w:kern w:val="0"/>
          <w:sz w:val="32"/>
          <w:szCs w:val="32"/>
          <w:highlight w:val="none"/>
        </w:rPr>
      </w:pPr>
    </w:p>
    <w:p>
      <w:pPr>
        <w:autoSpaceDE w:val="0"/>
        <w:autoSpaceDN w:val="0"/>
        <w:adjustRightInd w:val="0"/>
        <w:snapToGrid w:val="0"/>
        <w:spacing w:line="360" w:lineRule="auto"/>
        <w:jc w:val="center"/>
        <w:rPr>
          <w:rFonts w:ascii="宋体" w:hAnsi="宋体"/>
          <w:snapToGrid w:val="0"/>
          <w:color w:val="auto"/>
          <w:kern w:val="0"/>
          <w:sz w:val="32"/>
          <w:szCs w:val="32"/>
          <w:highlight w:val="none"/>
        </w:rPr>
      </w:pPr>
      <w:r>
        <w:rPr>
          <w:rFonts w:hint="eastAsia" w:ascii="宋体" w:hAnsi="宋体"/>
          <w:snapToGrid w:val="0"/>
          <w:color w:val="auto"/>
          <w:kern w:val="0"/>
          <w:sz w:val="32"/>
          <w:szCs w:val="32"/>
          <w:highlight w:val="none"/>
        </w:rPr>
        <w:t>（投标报价低于招标项目最高限价的85%时采用）</w:t>
      </w:r>
    </w:p>
    <w:p>
      <w:pPr>
        <w:autoSpaceDE w:val="0"/>
        <w:autoSpaceDN w:val="0"/>
        <w:adjustRightInd w:val="0"/>
        <w:snapToGrid w:val="0"/>
        <w:spacing w:line="360" w:lineRule="auto"/>
        <w:jc w:val="center"/>
        <w:rPr>
          <w:rFonts w:ascii="宋体" w:hAnsi="宋体"/>
          <w:snapToGrid w:val="0"/>
          <w:color w:val="auto"/>
          <w:kern w:val="0"/>
          <w:sz w:val="32"/>
          <w:szCs w:val="32"/>
          <w:highlight w:val="none"/>
        </w:rPr>
      </w:pPr>
    </w:p>
    <w:p>
      <w:pPr>
        <w:autoSpaceDE w:val="0"/>
        <w:autoSpaceDN w:val="0"/>
        <w:adjustRightInd w:val="0"/>
        <w:snapToGrid w:val="0"/>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eastAsia="zh-CN"/>
        </w:rPr>
        <w:t>比选人</w:t>
      </w:r>
      <w:r>
        <w:rPr>
          <w:rFonts w:hint="eastAsia" w:ascii="宋体" w:hAnsi="宋体" w:cs="宋体"/>
          <w:snapToGrid w:val="0"/>
          <w:color w:val="auto"/>
          <w:kern w:val="0"/>
          <w:szCs w:val="21"/>
          <w:highlight w:val="none"/>
          <w:u w:val="single"/>
        </w:rPr>
        <w:t>名称）</w:t>
      </w:r>
      <w:r>
        <w:rPr>
          <w:rFonts w:hint="eastAsia" w:ascii="宋体" w:hAnsi="宋体" w:cs="宋体"/>
          <w:snapToGrid w:val="0"/>
          <w:color w:val="auto"/>
          <w:kern w:val="0"/>
          <w:szCs w:val="21"/>
          <w:highlight w:val="none"/>
        </w:rPr>
        <w:t>：</w:t>
      </w:r>
    </w:p>
    <w:p>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val="en-US" w:eastAsia="zh-CN"/>
        </w:rPr>
        <w:t>竞选人</w:t>
      </w:r>
      <w:r>
        <w:rPr>
          <w:rFonts w:hint="eastAsia" w:ascii="宋体" w:hAnsi="宋体" w:cs="宋体"/>
          <w:snapToGrid w:val="0"/>
          <w:color w:val="auto"/>
          <w:kern w:val="0"/>
          <w:szCs w:val="21"/>
          <w:highlight w:val="none"/>
          <w:u w:val="single"/>
        </w:rPr>
        <w:t>名称）</w:t>
      </w:r>
      <w:r>
        <w:rPr>
          <w:rFonts w:hint="eastAsia" w:ascii="宋体" w:hAnsi="宋体" w:cs="宋体"/>
          <w:snapToGrid w:val="0"/>
          <w:color w:val="auto"/>
          <w:kern w:val="0"/>
          <w:szCs w:val="21"/>
          <w:highlight w:val="none"/>
        </w:rPr>
        <w:t>参加了你</w:t>
      </w:r>
      <w:r>
        <w:rPr>
          <w:rFonts w:hint="eastAsia" w:ascii="宋体" w:hAnsi="宋体" w:cs="宋体"/>
          <w:snapToGrid w:val="0"/>
          <w:color w:val="auto"/>
          <w:kern w:val="0"/>
          <w:szCs w:val="21"/>
          <w:highlight w:val="none"/>
          <w:lang w:eastAsia="zh-CN"/>
        </w:rPr>
        <w:t>单位</w:t>
      </w:r>
      <w:r>
        <w:rPr>
          <w:rFonts w:hint="eastAsia" w:ascii="宋体" w:hAnsi="宋体" w:cs="宋体"/>
          <w:snapToGrid w:val="0"/>
          <w:color w:val="auto"/>
          <w:kern w:val="0"/>
          <w:szCs w:val="21"/>
          <w:highlight w:val="none"/>
          <w:u w:val="single"/>
        </w:rPr>
        <w:t xml:space="preserve">        （项目名称）</w:t>
      </w:r>
      <w:r>
        <w:rPr>
          <w:rFonts w:hint="eastAsia" w:ascii="宋体" w:hAnsi="宋体" w:cs="宋体"/>
          <w:snapToGrid w:val="0"/>
          <w:color w:val="auto"/>
          <w:kern w:val="0"/>
          <w:szCs w:val="21"/>
          <w:highlight w:val="none"/>
        </w:rPr>
        <w:t>的投标。我公司投标报价低于最高限价的85%，若获得中标资格，我公司承诺按照招标文件的规定递交低价风险担保。同时，我公司已落实低价风险担保的提交方案，承诺如采用保函形式提交低价风险担保，保函的格式和内容符合招标文件的要求。否则，我公司愿承担招标文件中约定的，因未按规定递交低价风险担保的相应责任。</w:t>
      </w:r>
    </w:p>
    <w:p>
      <w:pPr>
        <w:autoSpaceDE w:val="0"/>
        <w:autoSpaceDN w:val="0"/>
        <w:adjustRightInd w:val="0"/>
        <w:snapToGrid w:val="0"/>
        <w:spacing w:line="360" w:lineRule="auto"/>
        <w:ind w:firstLine="640"/>
        <w:rPr>
          <w:rFonts w:ascii="宋体" w:hAnsi="宋体" w:cs="宋体"/>
          <w:snapToGrid w:val="0"/>
          <w:color w:val="auto"/>
          <w:kern w:val="0"/>
          <w:szCs w:val="21"/>
          <w:highlight w:val="none"/>
        </w:rPr>
      </w:pPr>
    </w:p>
    <w:p>
      <w:pPr>
        <w:autoSpaceDE w:val="0"/>
        <w:autoSpaceDN w:val="0"/>
        <w:adjustRightInd w:val="0"/>
        <w:snapToGrid w:val="0"/>
        <w:spacing w:line="360" w:lineRule="auto"/>
        <w:ind w:firstLine="64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pPr>
        <w:tabs>
          <w:tab w:val="left" w:pos="7140"/>
          <w:tab w:val="left" w:pos="7560"/>
          <w:tab w:val="left" w:pos="8300"/>
        </w:tabs>
        <w:autoSpaceDE w:val="0"/>
        <w:autoSpaceDN w:val="0"/>
        <w:adjustRightInd w:val="0"/>
        <w:ind w:firstLine="420" w:firstLineChars="200"/>
        <w:rPr>
          <w:rFonts w:ascii="宋体" w:hAnsi="宋体"/>
          <w:snapToGrid w:val="0"/>
          <w:color w:val="auto"/>
          <w:kern w:val="0"/>
          <w:szCs w:val="21"/>
          <w:highlight w:val="none"/>
        </w:rPr>
      </w:pPr>
    </w:p>
    <w:p>
      <w:pPr>
        <w:tabs>
          <w:tab w:val="left" w:pos="3840"/>
          <w:tab w:val="left" w:pos="4780"/>
          <w:tab w:val="left" w:pos="5720"/>
        </w:tabs>
        <w:autoSpaceDE w:val="0"/>
        <w:autoSpaceDN w:val="0"/>
        <w:adjustRightInd w:val="0"/>
        <w:snapToGrid w:val="0"/>
        <w:spacing w:before="156" w:beforeLines="50" w:line="500" w:lineRule="exact"/>
        <w:ind w:right="420" w:firstLine="5565" w:firstLineChars="2650"/>
        <w:jc w:val="right"/>
        <w:rPr>
          <w:rFonts w:ascii="宋体" w:hAnsi="宋体"/>
          <w:snapToGrid w:val="0"/>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pPr>
        <w:pStyle w:val="2"/>
        <w:sectPr>
          <w:pgSz w:w="11906" w:h="16838"/>
          <w:pgMar w:top="1304" w:right="1134" w:bottom="1304" w:left="1304" w:header="851" w:footer="992" w:gutter="0"/>
          <w:cols w:space="720" w:num="1"/>
          <w:docGrid w:type="lines" w:linePitch="312" w:charSpace="0"/>
        </w:sectPr>
      </w:pPr>
    </w:p>
    <w:p/>
    <w:p>
      <w:pPr>
        <w:spacing w:line="360" w:lineRule="auto"/>
        <w:jc w:val="center"/>
        <w:rPr>
          <w:rFonts w:ascii="宋体" w:hAnsi="宋体"/>
          <w:b w:val="0"/>
          <w:bCs w:val="0"/>
          <w:sz w:val="44"/>
          <w:szCs w:val="44"/>
          <w:highlight w:val="none"/>
        </w:rPr>
      </w:pPr>
      <w:bookmarkStart w:id="1277" w:name="_Toc23891"/>
      <w:bookmarkStart w:id="1278" w:name="_Toc11887"/>
      <w:bookmarkStart w:id="1279" w:name="_Toc277082656"/>
      <w:bookmarkStart w:id="1280" w:name="_Toc224103510"/>
      <w:bookmarkStart w:id="1281" w:name="_Toc430530545"/>
      <w:bookmarkStart w:id="1282" w:name="_Toc287620829"/>
      <w:bookmarkStart w:id="1283" w:name="_Toc287607882"/>
      <w:bookmarkStart w:id="1284" w:name="_Toc19372"/>
      <w:bookmarkStart w:id="1285" w:name="_Toc27141"/>
      <w:r>
        <w:rPr>
          <w:rFonts w:hint="eastAsia" w:ascii="宋体" w:hAnsi="宋体"/>
          <w:b w:val="0"/>
          <w:bCs w:val="0"/>
          <w:sz w:val="44"/>
          <w:szCs w:val="44"/>
          <w:highlight w:val="none"/>
          <w:lang w:val="en-US" w:eastAsia="zh-CN"/>
        </w:rPr>
        <w:t>二</w:t>
      </w:r>
      <w:r>
        <w:rPr>
          <w:rFonts w:hint="eastAsia" w:ascii="宋体" w:hAnsi="宋体"/>
          <w:b w:val="0"/>
          <w:bCs w:val="0"/>
          <w:sz w:val="44"/>
          <w:szCs w:val="44"/>
          <w:highlight w:val="none"/>
        </w:rPr>
        <w:t>、经济部分</w:t>
      </w:r>
      <w:bookmarkEnd w:id="1277"/>
      <w:bookmarkEnd w:id="1278"/>
    </w:p>
    <w:p>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pPr>
        <w:tabs>
          <w:tab w:val="left" w:pos="2580"/>
          <w:tab w:val="left" w:pos="5940"/>
        </w:tabs>
        <w:autoSpaceDE w:val="0"/>
        <w:autoSpaceDN w:val="0"/>
        <w:adjustRightInd w:val="0"/>
        <w:snapToGrid w:val="0"/>
        <w:spacing w:line="360" w:lineRule="auto"/>
        <w:ind w:firstLine="2240" w:firstLineChars="700"/>
        <w:jc w:val="left"/>
        <w:rPr>
          <w:rFonts w:ascii="宋体" w:hAnsi="宋体"/>
          <w:kern w:val="0"/>
          <w:sz w:val="32"/>
          <w:szCs w:val="32"/>
          <w:highlight w:val="none"/>
        </w:rPr>
      </w:pPr>
      <w:r>
        <w:rPr>
          <w:rFonts w:hint="eastAsia" w:ascii="宋体" w:hAnsi="宋体"/>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highlight w:val="none"/>
        </w:rPr>
      </w:pPr>
      <w:r>
        <w:rPr>
          <w:rFonts w:hint="eastAsia" w:ascii="宋体" w:hAnsi="宋体"/>
          <w:kern w:val="0"/>
          <w:sz w:val="72"/>
          <w:szCs w:val="72"/>
          <w:highlight w:val="none"/>
        </w:rPr>
        <w:t>投 标 文 件</w:t>
      </w:r>
    </w:p>
    <w:p>
      <w:pPr>
        <w:autoSpaceDE w:val="0"/>
        <w:autoSpaceDN w:val="0"/>
        <w:adjustRightInd w:val="0"/>
        <w:snapToGrid w:val="0"/>
        <w:spacing w:line="360" w:lineRule="auto"/>
        <w:jc w:val="left"/>
        <w:rPr>
          <w:rFonts w:ascii="宋体" w:hAnsi="宋体"/>
          <w:kern w:val="0"/>
          <w:sz w:val="16"/>
          <w:szCs w:val="16"/>
          <w:highlight w:val="none"/>
        </w:rPr>
      </w:pPr>
    </w:p>
    <w:p>
      <w:pPr>
        <w:autoSpaceDE w:val="0"/>
        <w:autoSpaceDN w:val="0"/>
        <w:adjustRightInd w:val="0"/>
        <w:snapToGrid w:val="0"/>
        <w:spacing w:line="360" w:lineRule="auto"/>
        <w:jc w:val="center"/>
        <w:rPr>
          <w:rFonts w:ascii="宋体" w:hAnsi="宋体"/>
          <w:kern w:val="0"/>
          <w:sz w:val="36"/>
          <w:szCs w:val="36"/>
          <w:highlight w:val="none"/>
        </w:rPr>
      </w:pPr>
      <w:r>
        <w:rPr>
          <w:rFonts w:hint="eastAsia" w:ascii="宋体" w:hAnsi="宋体"/>
          <w:kern w:val="0"/>
          <w:sz w:val="36"/>
          <w:szCs w:val="36"/>
          <w:highlight w:val="none"/>
        </w:rPr>
        <w:t>经济部分</w:t>
      </w: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highlight w:val="none"/>
        </w:rPr>
      </w:pPr>
      <w:r>
        <w:rPr>
          <w:rFonts w:hint="eastAsia" w:ascii="宋体" w:hAnsi="宋体"/>
          <w:w w:val="99"/>
          <w:kern w:val="0"/>
          <w:sz w:val="28"/>
          <w:szCs w:val="28"/>
          <w:highlight w:val="none"/>
          <w:lang w:eastAsia="zh-CN"/>
        </w:rPr>
        <w:t>竞选人</w:t>
      </w:r>
      <w:r>
        <w:rPr>
          <w:rFonts w:ascii="宋体" w:hAnsi="宋体"/>
          <w:spacing w:val="1"/>
          <w:w w:val="99"/>
          <w:kern w:val="0"/>
          <w:sz w:val="28"/>
          <w:szCs w:val="28"/>
          <w:highlight w:val="none"/>
        </w:rPr>
        <w:t>：</w:t>
      </w:r>
      <w:r>
        <w:rPr>
          <w:rFonts w:ascii="宋体" w:hAnsi="宋体"/>
          <w:w w:val="198"/>
          <w:kern w:val="0"/>
          <w:sz w:val="28"/>
          <w:szCs w:val="28"/>
          <w:highlight w:val="none"/>
          <w:u w:val="single"/>
        </w:rPr>
        <w:t xml:space="preserve"> 　　　　 　　</w:t>
      </w:r>
      <w:r>
        <w:rPr>
          <w:rFonts w:ascii="宋体" w:hAnsi="宋体"/>
          <w:w w:val="99"/>
          <w:kern w:val="0"/>
          <w:sz w:val="28"/>
          <w:szCs w:val="28"/>
          <w:highlight w:val="none"/>
        </w:rPr>
        <w:t>（盖单位法人章）</w:t>
      </w:r>
    </w:p>
    <w:p>
      <w:pPr>
        <w:tabs>
          <w:tab w:val="left" w:pos="6080"/>
          <w:tab w:val="left" w:pos="6640"/>
        </w:tabs>
        <w:autoSpaceDE w:val="0"/>
        <w:autoSpaceDN w:val="0"/>
        <w:adjustRightInd w:val="0"/>
        <w:snapToGrid w:val="0"/>
        <w:spacing w:after="156" w:afterLines="50" w:line="360" w:lineRule="auto"/>
        <w:jc w:val="center"/>
        <w:rPr>
          <w:rFonts w:ascii="宋体" w:hAnsi="宋体"/>
          <w:b/>
          <w:kern w:val="0"/>
          <w:sz w:val="28"/>
          <w:szCs w:val="28"/>
          <w:highlight w:val="none"/>
        </w:rPr>
      </w:pPr>
      <w:r>
        <w:rPr>
          <w:rFonts w:ascii="宋体" w:hAnsi="宋体"/>
          <w:w w:val="99"/>
          <w:kern w:val="0"/>
          <w:sz w:val="28"/>
          <w:szCs w:val="28"/>
          <w:highlight w:val="none"/>
        </w:rPr>
        <w:t>法定代表人或其委托代理人：</w:t>
      </w:r>
      <w:r>
        <w:rPr>
          <w:rFonts w:ascii="宋体" w:hAnsi="宋体"/>
          <w:w w:val="198"/>
          <w:kern w:val="0"/>
          <w:sz w:val="28"/>
          <w:szCs w:val="28"/>
          <w:highlight w:val="none"/>
          <w:u w:val="single"/>
        </w:rPr>
        <w:t xml:space="preserve">  　　</w:t>
      </w:r>
      <w:r>
        <w:rPr>
          <w:rFonts w:ascii="宋体" w:hAnsi="宋体"/>
          <w:w w:val="99"/>
          <w:kern w:val="0"/>
          <w:sz w:val="28"/>
          <w:szCs w:val="28"/>
          <w:highlight w:val="none"/>
        </w:rPr>
        <w:t>（</w:t>
      </w:r>
      <w:r>
        <w:rPr>
          <w:rFonts w:hint="eastAsia" w:ascii="宋体" w:hAnsi="宋体"/>
          <w:w w:val="99"/>
          <w:kern w:val="0"/>
          <w:sz w:val="28"/>
          <w:szCs w:val="28"/>
          <w:highlight w:val="none"/>
        </w:rPr>
        <w:t>签名</w:t>
      </w:r>
      <w:r>
        <w:rPr>
          <w:rFonts w:ascii="宋体" w:hAnsi="宋体"/>
          <w:w w:val="99"/>
          <w:kern w:val="0"/>
          <w:sz w:val="28"/>
          <w:szCs w:val="28"/>
          <w:highlight w:val="none"/>
        </w:rPr>
        <w:t>或盖章）</w:t>
      </w:r>
    </w:p>
    <w:p>
      <w:pPr>
        <w:tabs>
          <w:tab w:val="left" w:pos="3280"/>
          <w:tab w:val="left" w:pos="4680"/>
          <w:tab w:val="left" w:pos="6080"/>
        </w:tabs>
        <w:autoSpaceDE w:val="0"/>
        <w:autoSpaceDN w:val="0"/>
        <w:adjustRightInd w:val="0"/>
        <w:snapToGrid w:val="0"/>
        <w:spacing w:after="156" w:afterLines="50" w:line="360" w:lineRule="auto"/>
        <w:jc w:val="center"/>
        <w:rPr>
          <w:rFonts w:ascii="宋体" w:hAnsi="宋体"/>
          <w:kern w:val="0"/>
          <w:sz w:val="28"/>
          <w:szCs w:val="28"/>
          <w:highlight w:val="none"/>
        </w:rPr>
      </w:pP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198"/>
          <w:kern w:val="0"/>
          <w:sz w:val="28"/>
          <w:szCs w:val="28"/>
          <w:highlight w:val="none"/>
          <w:u w:val="single"/>
        </w:rPr>
        <w:t xml:space="preserve"> </w:t>
      </w:r>
      <w:r>
        <w:rPr>
          <w:rFonts w:ascii="宋体" w:hAnsi="宋体"/>
          <w:w w:val="99"/>
          <w:kern w:val="0"/>
          <w:sz w:val="28"/>
          <w:szCs w:val="28"/>
          <w:highlight w:val="none"/>
        </w:rPr>
        <w:t>年</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198"/>
          <w:kern w:val="0"/>
          <w:sz w:val="28"/>
          <w:szCs w:val="28"/>
          <w:highlight w:val="none"/>
          <w:u w:val="single"/>
        </w:rPr>
        <w:t xml:space="preserve"> </w:t>
      </w:r>
      <w:r>
        <w:rPr>
          <w:rFonts w:ascii="宋体" w:hAnsi="宋体"/>
          <w:w w:val="99"/>
          <w:kern w:val="0"/>
          <w:sz w:val="28"/>
          <w:szCs w:val="28"/>
          <w:highlight w:val="none"/>
        </w:rPr>
        <w:t>月</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198"/>
          <w:kern w:val="0"/>
          <w:sz w:val="28"/>
          <w:szCs w:val="28"/>
          <w:highlight w:val="none"/>
          <w:u w:val="single"/>
        </w:rPr>
        <w:t xml:space="preserve"> </w:t>
      </w:r>
      <w:r>
        <w:rPr>
          <w:rFonts w:ascii="宋体" w:hAnsi="宋体"/>
          <w:w w:val="99"/>
          <w:kern w:val="0"/>
          <w:sz w:val="28"/>
          <w:szCs w:val="28"/>
          <w:highlight w:val="none"/>
        </w:rPr>
        <w:t>日</w:t>
      </w:r>
    </w:p>
    <w:p>
      <w:pPr>
        <w:autoSpaceDE w:val="0"/>
        <w:autoSpaceDN w:val="0"/>
        <w:adjustRightInd w:val="0"/>
        <w:snapToGrid w:val="0"/>
        <w:spacing w:line="360" w:lineRule="auto"/>
        <w:jc w:val="left"/>
        <w:rPr>
          <w:rFonts w:ascii="宋体" w:hAnsi="宋体"/>
          <w:kern w:val="0"/>
          <w:sz w:val="24"/>
          <w:szCs w:val="21"/>
          <w:highlight w:val="none"/>
        </w:rPr>
      </w:pPr>
      <w:r>
        <w:rPr>
          <w:rFonts w:ascii="宋体" w:hAnsi="宋体"/>
          <w:kern w:val="0"/>
          <w:sz w:val="24"/>
          <w:szCs w:val="21"/>
          <w:highlight w:val="none"/>
        </w:rPr>
        <w:br w:type="page"/>
      </w:r>
    </w:p>
    <w:p>
      <w:pPr>
        <w:autoSpaceDE w:val="0"/>
        <w:autoSpaceDN w:val="0"/>
        <w:adjustRightInd w:val="0"/>
        <w:snapToGrid w:val="0"/>
        <w:spacing w:line="360" w:lineRule="auto"/>
        <w:jc w:val="center"/>
        <w:rPr>
          <w:rFonts w:ascii="宋体" w:hAnsi="宋体"/>
          <w:kern w:val="0"/>
          <w:szCs w:val="21"/>
          <w:highlight w:val="none"/>
        </w:rPr>
      </w:pPr>
      <w:r>
        <w:rPr>
          <w:rFonts w:hint="eastAsia" w:ascii="宋体" w:hAnsi="宋体"/>
          <w:kern w:val="0"/>
          <w:sz w:val="36"/>
          <w:szCs w:val="36"/>
          <w:highlight w:val="none"/>
        </w:rPr>
        <w:t>目  录</w:t>
      </w:r>
    </w:p>
    <w:p>
      <w:pPr>
        <w:autoSpaceDE w:val="0"/>
        <w:autoSpaceDN w:val="0"/>
        <w:adjustRightInd w:val="0"/>
        <w:snapToGrid w:val="0"/>
        <w:spacing w:line="360" w:lineRule="auto"/>
        <w:jc w:val="left"/>
        <w:rPr>
          <w:rFonts w:ascii="宋体" w:hAnsi="宋体"/>
          <w:kern w:val="0"/>
          <w:szCs w:val="21"/>
          <w:highlight w:val="none"/>
        </w:rPr>
      </w:pPr>
    </w:p>
    <w:p>
      <w:pPr>
        <w:autoSpaceDE w:val="0"/>
        <w:autoSpaceDN w:val="0"/>
        <w:adjustRightInd w:val="0"/>
        <w:snapToGrid w:val="0"/>
        <w:spacing w:line="360" w:lineRule="auto"/>
        <w:jc w:val="center"/>
        <w:rPr>
          <w:rFonts w:ascii="宋体" w:hAnsi="宋体"/>
          <w:i/>
          <w:iCs/>
          <w:kern w:val="0"/>
          <w:szCs w:val="21"/>
          <w:highlight w:val="none"/>
        </w:rPr>
      </w:pPr>
      <w:r>
        <w:rPr>
          <w:rFonts w:ascii="宋体" w:hAnsi="宋体"/>
          <w:i/>
          <w:iCs/>
          <w:kern w:val="0"/>
          <w:szCs w:val="21"/>
          <w:highlight w:val="none"/>
        </w:rPr>
        <w:t>[</w:t>
      </w:r>
      <w:r>
        <w:rPr>
          <w:rFonts w:hint="eastAsia" w:ascii="宋体" w:hAnsi="宋体"/>
          <w:i/>
          <w:iCs/>
          <w:kern w:val="0"/>
          <w:szCs w:val="21"/>
          <w:highlight w:val="none"/>
        </w:rPr>
        <w:t>提示：</w:t>
      </w:r>
      <w:r>
        <w:rPr>
          <w:rFonts w:ascii="宋体" w:hAnsi="宋体"/>
          <w:i/>
          <w:iCs/>
          <w:kern w:val="0"/>
          <w:szCs w:val="21"/>
          <w:highlight w:val="none"/>
        </w:rPr>
        <w:t>目录由</w:t>
      </w:r>
      <w:r>
        <w:rPr>
          <w:rFonts w:hint="eastAsia" w:ascii="宋体" w:hAnsi="宋体"/>
          <w:i/>
          <w:iCs/>
          <w:kern w:val="0"/>
          <w:szCs w:val="21"/>
          <w:highlight w:val="none"/>
          <w:lang w:eastAsia="zh-CN"/>
        </w:rPr>
        <w:t>竞选人</w:t>
      </w:r>
      <w:r>
        <w:rPr>
          <w:rFonts w:ascii="宋体" w:hAnsi="宋体"/>
          <w:i/>
          <w:iCs/>
          <w:kern w:val="0"/>
          <w:szCs w:val="21"/>
          <w:highlight w:val="none"/>
        </w:rPr>
        <w:t>自行编制]</w:t>
      </w:r>
    </w:p>
    <w:p>
      <w:pPr>
        <w:autoSpaceDE w:val="0"/>
        <w:autoSpaceDN w:val="0"/>
        <w:adjustRightInd w:val="0"/>
        <w:snapToGrid w:val="0"/>
        <w:spacing w:line="360" w:lineRule="auto"/>
        <w:jc w:val="left"/>
        <w:rPr>
          <w:rFonts w:ascii="宋体" w:hAnsi="宋体"/>
          <w:w w:val="99"/>
          <w:kern w:val="0"/>
          <w:sz w:val="28"/>
          <w:szCs w:val="28"/>
          <w:highlight w:val="none"/>
        </w:rPr>
      </w:pPr>
    </w:p>
    <w:p>
      <w:pPr>
        <w:autoSpaceDE w:val="0"/>
        <w:autoSpaceDN w:val="0"/>
        <w:adjustRightInd w:val="0"/>
        <w:snapToGrid w:val="0"/>
        <w:spacing w:line="360" w:lineRule="auto"/>
        <w:jc w:val="left"/>
        <w:rPr>
          <w:rFonts w:ascii="宋体" w:hAnsi="宋体"/>
          <w:kern w:val="0"/>
          <w:sz w:val="24"/>
          <w:szCs w:val="21"/>
          <w:highlight w:val="none"/>
        </w:rPr>
      </w:pPr>
      <w:r>
        <w:rPr>
          <w:rFonts w:ascii="宋体" w:hAnsi="宋体"/>
          <w:highlight w:val="none"/>
        </w:rPr>
        <w:br w:type="page"/>
      </w:r>
      <w:bookmarkStart w:id="1286" w:name="_Toc224103501"/>
      <w:bookmarkStart w:id="1287" w:name="_Toc287620820"/>
      <w:bookmarkStart w:id="1288" w:name="_Toc287607873"/>
      <w:bookmarkStart w:id="1289" w:name="_Toc277082648"/>
      <w:bookmarkStart w:id="1290" w:name="_Toc430530535"/>
    </w:p>
    <w:p>
      <w:pPr>
        <w:pStyle w:val="5"/>
        <w:jc w:val="center"/>
        <w:rPr>
          <w:highlight w:val="none"/>
        </w:rPr>
      </w:pPr>
      <w:bookmarkStart w:id="1291" w:name="_Toc28475"/>
      <w:bookmarkStart w:id="1292" w:name="_Toc28369"/>
      <w:r>
        <w:rPr>
          <w:rFonts w:hint="eastAsia"/>
          <w:highlight w:val="none"/>
        </w:rPr>
        <w:t>（一）已标价工程量清单</w:t>
      </w:r>
      <w:bookmarkEnd w:id="1286"/>
      <w:bookmarkEnd w:id="1287"/>
      <w:bookmarkEnd w:id="1288"/>
      <w:bookmarkEnd w:id="1289"/>
      <w:bookmarkEnd w:id="1290"/>
      <w:bookmarkEnd w:id="1291"/>
      <w:bookmarkEnd w:id="1292"/>
    </w:p>
    <w:p>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pPr>
        <w:autoSpaceDE w:val="0"/>
        <w:autoSpaceDN w:val="0"/>
        <w:adjustRightInd w:val="0"/>
        <w:snapToGrid w:val="0"/>
        <w:spacing w:line="360" w:lineRule="auto"/>
        <w:jc w:val="left"/>
        <w:rPr>
          <w:rFonts w:ascii="宋体" w:hAnsi="宋体"/>
          <w:kern w:val="0"/>
          <w:sz w:val="24"/>
          <w:szCs w:val="21"/>
          <w:highlight w:val="none"/>
        </w:rPr>
      </w:pPr>
      <w:r>
        <w:rPr>
          <w:rFonts w:ascii="宋体" w:hAnsi="宋体"/>
          <w:highlight w:val="none"/>
        </w:rPr>
        <w:br w:type="page"/>
      </w:r>
    </w:p>
    <w:p>
      <w:pPr>
        <w:pStyle w:val="4"/>
        <w:spacing w:line="360" w:lineRule="auto"/>
        <w:jc w:val="center"/>
        <w:rPr>
          <w:rFonts w:ascii="宋体" w:hAnsi="宋体"/>
          <w:b w:val="0"/>
          <w:bCs w:val="0"/>
          <w:sz w:val="44"/>
          <w:szCs w:val="44"/>
          <w:highlight w:val="none"/>
        </w:rPr>
      </w:pPr>
      <w:r>
        <w:rPr>
          <w:rFonts w:hint="eastAsia" w:ascii="宋体" w:hAnsi="宋体"/>
          <w:b w:val="0"/>
          <w:bCs w:val="0"/>
          <w:sz w:val="44"/>
          <w:szCs w:val="44"/>
          <w:highlight w:val="none"/>
          <w:lang w:val="en-US" w:eastAsia="zh-CN"/>
        </w:rPr>
        <w:t>三</w:t>
      </w:r>
      <w:r>
        <w:rPr>
          <w:rFonts w:hint="eastAsia" w:ascii="宋体" w:hAnsi="宋体"/>
          <w:b w:val="0"/>
          <w:bCs w:val="0"/>
          <w:sz w:val="44"/>
          <w:szCs w:val="44"/>
          <w:highlight w:val="none"/>
        </w:rPr>
        <w:t>、</w:t>
      </w:r>
      <w:bookmarkEnd w:id="1279"/>
      <w:bookmarkEnd w:id="1280"/>
      <w:bookmarkEnd w:id="1281"/>
      <w:bookmarkEnd w:id="1282"/>
      <w:bookmarkEnd w:id="1283"/>
      <w:r>
        <w:rPr>
          <w:rFonts w:hint="eastAsia" w:ascii="宋体" w:hAnsi="宋体"/>
          <w:b w:val="0"/>
          <w:bCs w:val="0"/>
          <w:sz w:val="44"/>
          <w:szCs w:val="44"/>
          <w:highlight w:val="none"/>
        </w:rPr>
        <w:t>资格审查部分</w:t>
      </w:r>
      <w:bookmarkEnd w:id="1284"/>
      <w:bookmarkEnd w:id="1285"/>
    </w:p>
    <w:p>
      <w:pPr>
        <w:spacing w:line="360" w:lineRule="auto"/>
        <w:rPr>
          <w:rFonts w:ascii="宋体" w:hAnsi="宋体"/>
          <w:sz w:val="32"/>
          <w:szCs w:val="32"/>
          <w:highlight w:val="none"/>
        </w:rPr>
      </w:pPr>
    </w:p>
    <w:p>
      <w:pPr>
        <w:spacing w:line="360" w:lineRule="auto"/>
        <w:ind w:firstLine="2560" w:firstLineChars="800"/>
        <w:rPr>
          <w:rFonts w:ascii="宋体" w:hAnsi="宋体"/>
          <w:kern w:val="0"/>
          <w:sz w:val="32"/>
          <w:szCs w:val="32"/>
          <w:highlight w:val="none"/>
        </w:rPr>
      </w:pPr>
      <w:r>
        <w:rPr>
          <w:rFonts w:hint="eastAsia" w:ascii="宋体" w:hAnsi="宋体"/>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highlight w:val="none"/>
        </w:rPr>
      </w:pPr>
      <w:r>
        <w:rPr>
          <w:rFonts w:hint="eastAsia" w:ascii="宋体" w:hAnsi="宋体"/>
          <w:kern w:val="0"/>
          <w:sz w:val="72"/>
          <w:szCs w:val="72"/>
          <w:highlight w:val="none"/>
        </w:rPr>
        <w:t>投 标 文 件</w:t>
      </w:r>
    </w:p>
    <w:p>
      <w:pPr>
        <w:autoSpaceDE w:val="0"/>
        <w:autoSpaceDN w:val="0"/>
        <w:adjustRightInd w:val="0"/>
        <w:snapToGrid w:val="0"/>
        <w:spacing w:line="360" w:lineRule="auto"/>
        <w:jc w:val="left"/>
        <w:rPr>
          <w:rFonts w:ascii="宋体" w:hAnsi="宋体"/>
          <w:kern w:val="0"/>
          <w:sz w:val="16"/>
          <w:szCs w:val="16"/>
          <w:highlight w:val="none"/>
        </w:rPr>
      </w:pPr>
    </w:p>
    <w:p>
      <w:pPr>
        <w:autoSpaceDE w:val="0"/>
        <w:autoSpaceDN w:val="0"/>
        <w:adjustRightInd w:val="0"/>
        <w:snapToGrid w:val="0"/>
        <w:spacing w:line="360" w:lineRule="auto"/>
        <w:jc w:val="center"/>
        <w:rPr>
          <w:rFonts w:ascii="宋体" w:hAnsi="宋体"/>
          <w:kern w:val="0"/>
          <w:sz w:val="36"/>
          <w:szCs w:val="36"/>
          <w:highlight w:val="none"/>
        </w:rPr>
      </w:pPr>
      <w:r>
        <w:rPr>
          <w:rFonts w:hint="eastAsia" w:ascii="宋体" w:hAnsi="宋体"/>
          <w:kern w:val="0"/>
          <w:sz w:val="36"/>
          <w:szCs w:val="36"/>
          <w:highlight w:val="none"/>
        </w:rPr>
        <w:t>资格审查部分</w:t>
      </w:r>
    </w:p>
    <w:p>
      <w:pPr>
        <w:autoSpaceDE w:val="0"/>
        <w:autoSpaceDN w:val="0"/>
        <w:adjustRightInd w:val="0"/>
        <w:snapToGrid w:val="0"/>
        <w:spacing w:line="360" w:lineRule="auto"/>
        <w:jc w:val="left"/>
        <w:rPr>
          <w:rFonts w:ascii="宋体" w:hAnsi="宋体" w:cs="MingLiU"/>
          <w:kern w:val="0"/>
          <w:sz w:val="20"/>
          <w:szCs w:val="20"/>
          <w:highlight w:val="none"/>
        </w:rPr>
      </w:pPr>
    </w:p>
    <w:p>
      <w:pPr>
        <w:adjustRightInd w:val="0"/>
        <w:snapToGrid w:val="0"/>
        <w:spacing w:line="264" w:lineRule="auto"/>
        <w:rPr>
          <w:rFonts w:ascii="宋体" w:hAnsi="宋体"/>
          <w:szCs w:val="21"/>
          <w:highlight w:val="none"/>
        </w:rPr>
      </w:pPr>
    </w:p>
    <w:p>
      <w:pPr>
        <w:autoSpaceDE w:val="0"/>
        <w:autoSpaceDN w:val="0"/>
        <w:adjustRightInd w:val="0"/>
        <w:snapToGrid w:val="0"/>
        <w:spacing w:line="360" w:lineRule="auto"/>
        <w:jc w:val="left"/>
        <w:rPr>
          <w:rFonts w:ascii="宋体" w:hAnsi="宋体" w:cs="MingLiU"/>
          <w:kern w:val="0"/>
          <w:sz w:val="20"/>
          <w:szCs w:val="20"/>
          <w:highlight w:val="none"/>
        </w:rPr>
      </w:pPr>
    </w:p>
    <w:p>
      <w:pPr>
        <w:autoSpaceDE w:val="0"/>
        <w:autoSpaceDN w:val="0"/>
        <w:adjustRightInd w:val="0"/>
        <w:snapToGrid w:val="0"/>
        <w:spacing w:line="360" w:lineRule="auto"/>
        <w:jc w:val="left"/>
        <w:rPr>
          <w:rFonts w:ascii="宋体" w:hAnsi="宋体" w:cs="MingLiU"/>
          <w:kern w:val="0"/>
          <w:sz w:val="20"/>
          <w:szCs w:val="20"/>
          <w:highlight w:val="none"/>
        </w:rPr>
      </w:pPr>
    </w:p>
    <w:p>
      <w:pPr>
        <w:autoSpaceDE w:val="0"/>
        <w:autoSpaceDN w:val="0"/>
        <w:adjustRightInd w:val="0"/>
        <w:snapToGrid w:val="0"/>
        <w:spacing w:line="360" w:lineRule="auto"/>
        <w:jc w:val="left"/>
        <w:rPr>
          <w:rFonts w:ascii="宋体" w:hAnsi="宋体" w:cs="MingLiU"/>
          <w:kern w:val="0"/>
          <w:sz w:val="20"/>
          <w:szCs w:val="20"/>
          <w:highlight w:val="none"/>
        </w:rPr>
      </w:pPr>
    </w:p>
    <w:p>
      <w:pPr>
        <w:autoSpaceDE w:val="0"/>
        <w:autoSpaceDN w:val="0"/>
        <w:adjustRightInd w:val="0"/>
        <w:snapToGrid w:val="0"/>
        <w:spacing w:line="360" w:lineRule="auto"/>
        <w:jc w:val="left"/>
        <w:rPr>
          <w:rFonts w:ascii="宋体" w:hAnsi="宋体" w:cs="MingLiU"/>
          <w:kern w:val="0"/>
          <w:sz w:val="20"/>
          <w:szCs w:val="20"/>
          <w:highlight w:val="none"/>
        </w:rPr>
      </w:pPr>
    </w:p>
    <w:p>
      <w:pPr>
        <w:autoSpaceDE w:val="0"/>
        <w:autoSpaceDN w:val="0"/>
        <w:adjustRightInd w:val="0"/>
        <w:snapToGrid w:val="0"/>
        <w:spacing w:line="360" w:lineRule="auto"/>
        <w:jc w:val="left"/>
        <w:rPr>
          <w:rFonts w:ascii="宋体" w:hAnsi="宋体" w:cs="MingLiU"/>
          <w:kern w:val="0"/>
          <w:sz w:val="20"/>
          <w:szCs w:val="20"/>
          <w:highlight w:val="none"/>
        </w:rPr>
      </w:pPr>
    </w:p>
    <w:p>
      <w:pPr>
        <w:autoSpaceDE w:val="0"/>
        <w:autoSpaceDN w:val="0"/>
        <w:adjustRightInd w:val="0"/>
        <w:snapToGrid w:val="0"/>
        <w:spacing w:line="360" w:lineRule="auto"/>
        <w:jc w:val="left"/>
        <w:rPr>
          <w:rFonts w:ascii="宋体" w:hAnsi="宋体" w:cs="MingLiU"/>
          <w:kern w:val="0"/>
          <w:sz w:val="20"/>
          <w:szCs w:val="20"/>
          <w:highlight w:val="none"/>
        </w:rPr>
      </w:pPr>
    </w:p>
    <w:p>
      <w:pPr>
        <w:autoSpaceDE w:val="0"/>
        <w:autoSpaceDN w:val="0"/>
        <w:adjustRightInd w:val="0"/>
        <w:snapToGrid w:val="0"/>
        <w:spacing w:line="360" w:lineRule="auto"/>
        <w:jc w:val="left"/>
        <w:rPr>
          <w:rFonts w:ascii="宋体" w:hAnsi="宋体" w:cs="MingLiU"/>
          <w:kern w:val="0"/>
          <w:sz w:val="20"/>
          <w:szCs w:val="20"/>
          <w:highlight w:val="none"/>
        </w:rPr>
      </w:pPr>
    </w:p>
    <w:p>
      <w:pPr>
        <w:autoSpaceDE w:val="0"/>
        <w:autoSpaceDN w:val="0"/>
        <w:adjustRightInd w:val="0"/>
        <w:snapToGrid w:val="0"/>
        <w:spacing w:line="360" w:lineRule="auto"/>
        <w:jc w:val="left"/>
        <w:rPr>
          <w:rFonts w:ascii="宋体" w:hAnsi="宋体" w:cs="MingLiU"/>
          <w:kern w:val="0"/>
          <w:sz w:val="20"/>
          <w:szCs w:val="20"/>
          <w:highlight w:val="none"/>
        </w:rPr>
      </w:pPr>
    </w:p>
    <w:p>
      <w:pPr>
        <w:autoSpaceDE w:val="0"/>
        <w:autoSpaceDN w:val="0"/>
        <w:adjustRightInd w:val="0"/>
        <w:snapToGrid w:val="0"/>
        <w:spacing w:line="360" w:lineRule="auto"/>
        <w:jc w:val="left"/>
        <w:rPr>
          <w:rFonts w:ascii="宋体" w:hAnsi="宋体" w:cs="MingLiU"/>
          <w:kern w:val="0"/>
          <w:sz w:val="20"/>
          <w:szCs w:val="20"/>
          <w:highlight w:val="none"/>
        </w:rPr>
      </w:pPr>
    </w:p>
    <w:p>
      <w:pPr>
        <w:autoSpaceDE w:val="0"/>
        <w:autoSpaceDN w:val="0"/>
        <w:adjustRightInd w:val="0"/>
        <w:snapToGrid w:val="0"/>
        <w:spacing w:line="360" w:lineRule="auto"/>
        <w:jc w:val="left"/>
        <w:rPr>
          <w:rFonts w:ascii="宋体" w:hAnsi="宋体" w:cs="MingLiU"/>
          <w:kern w:val="0"/>
          <w:sz w:val="20"/>
          <w:szCs w:val="20"/>
          <w:highlight w:val="none"/>
        </w:rPr>
      </w:pPr>
    </w:p>
    <w:p>
      <w:pPr>
        <w:tabs>
          <w:tab w:val="left" w:pos="6080"/>
          <w:tab w:val="left" w:pos="6640"/>
        </w:tabs>
        <w:autoSpaceDE w:val="0"/>
        <w:autoSpaceDN w:val="0"/>
        <w:adjustRightInd w:val="0"/>
        <w:snapToGrid w:val="0"/>
        <w:spacing w:line="480" w:lineRule="auto"/>
        <w:jc w:val="center"/>
        <w:rPr>
          <w:rFonts w:ascii="宋体" w:hAnsi="宋体"/>
          <w:w w:val="99"/>
          <w:kern w:val="0"/>
          <w:sz w:val="28"/>
          <w:szCs w:val="28"/>
          <w:highlight w:val="none"/>
        </w:rPr>
      </w:pPr>
      <w:r>
        <w:rPr>
          <w:rFonts w:hint="eastAsia" w:ascii="宋体" w:hAnsi="宋体"/>
          <w:w w:val="99"/>
          <w:kern w:val="0"/>
          <w:sz w:val="28"/>
          <w:szCs w:val="28"/>
          <w:highlight w:val="none"/>
          <w:lang w:eastAsia="zh-CN"/>
        </w:rPr>
        <w:t>竞选人</w:t>
      </w:r>
      <w:r>
        <w:rPr>
          <w:rFonts w:ascii="宋体" w:hAnsi="宋体"/>
          <w:spacing w:val="1"/>
          <w:w w:val="99"/>
          <w:kern w:val="0"/>
          <w:sz w:val="28"/>
          <w:szCs w:val="28"/>
          <w:highlight w:val="none"/>
        </w:rPr>
        <w:t>：</w:t>
      </w:r>
      <w:r>
        <w:rPr>
          <w:rFonts w:ascii="宋体" w:hAnsi="宋体"/>
          <w:w w:val="198"/>
          <w:kern w:val="0"/>
          <w:sz w:val="28"/>
          <w:szCs w:val="28"/>
          <w:highlight w:val="none"/>
          <w:u w:val="single"/>
        </w:rPr>
        <w:t xml:space="preserve"> 　　 　　 　　</w:t>
      </w:r>
      <w:r>
        <w:rPr>
          <w:rFonts w:ascii="宋体" w:hAnsi="宋体"/>
          <w:w w:val="99"/>
          <w:kern w:val="0"/>
          <w:sz w:val="28"/>
          <w:szCs w:val="28"/>
          <w:highlight w:val="none"/>
        </w:rPr>
        <w:t>（盖单位法人章）</w:t>
      </w:r>
    </w:p>
    <w:p>
      <w:pPr>
        <w:tabs>
          <w:tab w:val="left" w:pos="6080"/>
          <w:tab w:val="left" w:pos="6640"/>
        </w:tabs>
        <w:autoSpaceDE w:val="0"/>
        <w:autoSpaceDN w:val="0"/>
        <w:adjustRightInd w:val="0"/>
        <w:snapToGrid w:val="0"/>
        <w:spacing w:line="480" w:lineRule="auto"/>
        <w:jc w:val="center"/>
        <w:rPr>
          <w:rFonts w:ascii="宋体" w:hAnsi="宋体"/>
          <w:kern w:val="0"/>
          <w:sz w:val="28"/>
          <w:szCs w:val="28"/>
          <w:highlight w:val="none"/>
        </w:rPr>
      </w:pPr>
      <w:r>
        <w:rPr>
          <w:rFonts w:ascii="宋体" w:hAnsi="宋体"/>
          <w:w w:val="99"/>
          <w:kern w:val="0"/>
          <w:sz w:val="28"/>
          <w:szCs w:val="28"/>
          <w:highlight w:val="none"/>
        </w:rPr>
        <w:t>法定代表人或其委托代理人：</w:t>
      </w:r>
      <w:r>
        <w:rPr>
          <w:rFonts w:ascii="宋体" w:hAnsi="宋体"/>
          <w:w w:val="198"/>
          <w:kern w:val="0"/>
          <w:sz w:val="28"/>
          <w:szCs w:val="28"/>
          <w:highlight w:val="none"/>
          <w:u w:val="single"/>
        </w:rPr>
        <w:t xml:space="preserve"> 　 　</w:t>
      </w:r>
      <w:r>
        <w:rPr>
          <w:rFonts w:ascii="宋体" w:hAnsi="宋体"/>
          <w:w w:val="99"/>
          <w:kern w:val="0"/>
          <w:sz w:val="28"/>
          <w:szCs w:val="28"/>
          <w:highlight w:val="none"/>
        </w:rPr>
        <w:t>（</w:t>
      </w:r>
      <w:r>
        <w:rPr>
          <w:rFonts w:hint="eastAsia" w:ascii="宋体" w:hAnsi="宋体"/>
          <w:w w:val="99"/>
          <w:kern w:val="0"/>
          <w:sz w:val="28"/>
          <w:szCs w:val="28"/>
          <w:highlight w:val="none"/>
        </w:rPr>
        <w:t>签名</w:t>
      </w:r>
      <w:r>
        <w:rPr>
          <w:rFonts w:ascii="宋体" w:hAnsi="宋体"/>
          <w:w w:val="99"/>
          <w:kern w:val="0"/>
          <w:sz w:val="28"/>
          <w:szCs w:val="28"/>
          <w:highlight w:val="none"/>
        </w:rPr>
        <w:t>或盖章）</w:t>
      </w:r>
    </w:p>
    <w:p>
      <w:pPr>
        <w:tabs>
          <w:tab w:val="left" w:pos="3280"/>
          <w:tab w:val="left" w:pos="4680"/>
          <w:tab w:val="left" w:pos="6080"/>
        </w:tabs>
        <w:autoSpaceDE w:val="0"/>
        <w:autoSpaceDN w:val="0"/>
        <w:adjustRightInd w:val="0"/>
        <w:snapToGrid w:val="0"/>
        <w:spacing w:line="480" w:lineRule="auto"/>
        <w:jc w:val="center"/>
        <w:rPr>
          <w:rFonts w:ascii="宋体" w:hAnsi="宋体"/>
          <w:b/>
          <w:kern w:val="0"/>
          <w:sz w:val="28"/>
          <w:szCs w:val="28"/>
          <w:highlight w:val="none"/>
        </w:rPr>
      </w:pP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99"/>
          <w:kern w:val="0"/>
          <w:sz w:val="28"/>
          <w:szCs w:val="28"/>
          <w:highlight w:val="none"/>
        </w:rPr>
        <w:t>年</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99"/>
          <w:kern w:val="0"/>
          <w:sz w:val="28"/>
          <w:szCs w:val="28"/>
          <w:highlight w:val="none"/>
        </w:rPr>
        <w:t>月</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99"/>
          <w:kern w:val="0"/>
          <w:sz w:val="28"/>
          <w:szCs w:val="28"/>
          <w:highlight w:val="none"/>
        </w:rPr>
        <w:t>日</w:t>
      </w:r>
    </w:p>
    <w:p>
      <w:pPr>
        <w:autoSpaceDE w:val="0"/>
        <w:autoSpaceDN w:val="0"/>
        <w:adjustRightInd w:val="0"/>
        <w:snapToGrid w:val="0"/>
        <w:jc w:val="center"/>
        <w:rPr>
          <w:rFonts w:hint="eastAsia" w:ascii="宋体" w:hAnsi="宋体"/>
          <w:kern w:val="0"/>
          <w:sz w:val="36"/>
          <w:szCs w:val="36"/>
          <w:highlight w:val="none"/>
        </w:rPr>
      </w:pPr>
    </w:p>
    <w:p>
      <w:pPr>
        <w:autoSpaceDE w:val="0"/>
        <w:autoSpaceDN w:val="0"/>
        <w:adjustRightInd w:val="0"/>
        <w:snapToGrid w:val="0"/>
        <w:jc w:val="center"/>
        <w:rPr>
          <w:rFonts w:ascii="宋体" w:hAnsi="宋体"/>
          <w:kern w:val="0"/>
          <w:sz w:val="36"/>
          <w:szCs w:val="36"/>
          <w:highlight w:val="none"/>
        </w:rPr>
      </w:pPr>
      <w:r>
        <w:rPr>
          <w:rFonts w:hint="eastAsia" w:ascii="宋体" w:hAnsi="宋体"/>
          <w:kern w:val="0"/>
          <w:sz w:val="36"/>
          <w:szCs w:val="36"/>
          <w:highlight w:val="none"/>
        </w:rPr>
        <w:t>目  录</w:t>
      </w:r>
    </w:p>
    <w:p>
      <w:pPr>
        <w:spacing w:line="360" w:lineRule="auto"/>
        <w:jc w:val="center"/>
        <w:rPr>
          <w:rFonts w:ascii="宋体" w:hAnsi="宋体"/>
          <w:b/>
          <w:kern w:val="0"/>
          <w:sz w:val="32"/>
          <w:szCs w:val="32"/>
          <w:highlight w:val="none"/>
        </w:rPr>
      </w:pPr>
    </w:p>
    <w:p>
      <w:pPr>
        <w:spacing w:line="360" w:lineRule="auto"/>
        <w:ind w:firstLine="420" w:firstLineChars="200"/>
        <w:rPr>
          <w:rFonts w:ascii="宋体" w:hAnsi="宋体"/>
          <w:highlight w:val="none"/>
        </w:rPr>
      </w:pPr>
      <w:r>
        <w:rPr>
          <w:rFonts w:ascii="宋体" w:hAnsi="宋体"/>
          <w:highlight w:val="none"/>
        </w:rPr>
        <w:t>（一）</w:t>
      </w:r>
      <w:r>
        <w:rPr>
          <w:rFonts w:hint="eastAsia" w:ascii="宋体" w:hAnsi="宋体"/>
          <w:highlight w:val="none"/>
        </w:rPr>
        <w:t>法定代表人身份证明或附有法定代表人身份证明的授权委托书</w:t>
      </w:r>
    </w:p>
    <w:p>
      <w:pPr>
        <w:spacing w:line="360" w:lineRule="auto"/>
        <w:ind w:firstLine="420" w:firstLineChars="200"/>
        <w:rPr>
          <w:rFonts w:ascii="宋体" w:hAnsi="宋体"/>
          <w:highlight w:val="none"/>
        </w:rPr>
      </w:pPr>
      <w:r>
        <w:rPr>
          <w:rFonts w:ascii="宋体" w:hAnsi="宋体"/>
          <w:highlight w:val="none"/>
        </w:rPr>
        <w:t>（二）</w:t>
      </w:r>
      <w:r>
        <w:rPr>
          <w:rFonts w:hint="eastAsia" w:ascii="宋体" w:hAnsi="宋体"/>
          <w:highlight w:val="none"/>
          <w:lang w:eastAsia="zh-CN"/>
        </w:rPr>
        <w:t>竞选人</w:t>
      </w:r>
      <w:r>
        <w:rPr>
          <w:rFonts w:ascii="宋体" w:hAnsi="宋体"/>
          <w:highlight w:val="none"/>
        </w:rPr>
        <w:t>基本情况表</w:t>
      </w:r>
    </w:p>
    <w:p>
      <w:pPr>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lang w:val="en-US" w:eastAsia="zh-CN"/>
        </w:rPr>
        <w:t>三</w:t>
      </w:r>
      <w:r>
        <w:rPr>
          <w:rFonts w:ascii="宋体" w:hAnsi="宋体"/>
          <w:highlight w:val="none"/>
        </w:rPr>
        <w:t>）项目管理机构</w:t>
      </w:r>
    </w:p>
    <w:p>
      <w:pPr>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lang w:val="en-US" w:eastAsia="zh-CN"/>
        </w:rPr>
        <w:t>四</w:t>
      </w:r>
      <w:r>
        <w:rPr>
          <w:rFonts w:ascii="宋体" w:hAnsi="宋体"/>
          <w:highlight w:val="none"/>
        </w:rPr>
        <w:t>）类似项目情况表</w:t>
      </w:r>
    </w:p>
    <w:p>
      <w:pPr>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lang w:val="en-US" w:eastAsia="zh-CN"/>
        </w:rPr>
        <w:t>五</w:t>
      </w:r>
      <w:r>
        <w:rPr>
          <w:rFonts w:ascii="宋体" w:hAnsi="宋体"/>
          <w:highlight w:val="none"/>
        </w:rPr>
        <w:t>）</w:t>
      </w:r>
      <w:r>
        <w:rPr>
          <w:rFonts w:hint="eastAsia" w:ascii="宋体" w:hAnsi="宋体"/>
          <w:highlight w:val="none"/>
        </w:rPr>
        <w:t>承诺</w:t>
      </w:r>
    </w:p>
    <w:p>
      <w:pPr>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lang w:val="en-US" w:eastAsia="zh-CN"/>
        </w:rPr>
        <w:t>六</w:t>
      </w:r>
      <w:r>
        <w:rPr>
          <w:rFonts w:ascii="宋体" w:hAnsi="宋体"/>
          <w:highlight w:val="none"/>
        </w:rPr>
        <w:t>）其他资料</w:t>
      </w:r>
    </w:p>
    <w:p>
      <w:pPr>
        <w:spacing w:line="360" w:lineRule="auto"/>
        <w:jc w:val="center"/>
        <w:rPr>
          <w:rFonts w:ascii="宋体" w:hAnsi="宋体"/>
          <w:b/>
          <w:kern w:val="0"/>
          <w:sz w:val="32"/>
          <w:szCs w:val="32"/>
          <w:highlight w:val="none"/>
        </w:rPr>
      </w:pPr>
    </w:p>
    <w:p>
      <w:pPr>
        <w:spacing w:line="360" w:lineRule="auto"/>
        <w:jc w:val="center"/>
        <w:rPr>
          <w:rFonts w:ascii="宋体" w:hAnsi="宋体"/>
          <w:b/>
          <w:kern w:val="0"/>
          <w:sz w:val="32"/>
          <w:szCs w:val="32"/>
          <w:highlight w:val="none"/>
        </w:rPr>
      </w:pPr>
    </w:p>
    <w:p>
      <w:pPr>
        <w:pStyle w:val="5"/>
        <w:jc w:val="center"/>
        <w:rPr>
          <w:rFonts w:ascii="宋体" w:hAnsi="宋体"/>
          <w:snapToGrid w:val="0"/>
          <w:kern w:val="0"/>
          <w:sz w:val="30"/>
          <w:szCs w:val="30"/>
          <w:highlight w:val="none"/>
        </w:rPr>
      </w:pPr>
      <w:r>
        <w:rPr>
          <w:rFonts w:ascii="宋体" w:hAnsi="宋体"/>
          <w:highlight w:val="none"/>
        </w:rPr>
        <w:br w:type="page"/>
      </w:r>
      <w:bookmarkStart w:id="1293" w:name="_Toc26444"/>
      <w:bookmarkStart w:id="1294" w:name="_Toc5633"/>
      <w:bookmarkStart w:id="1295" w:name="_Toc287607883"/>
      <w:bookmarkStart w:id="1296" w:name="_Toc277082657"/>
      <w:bookmarkStart w:id="1297" w:name="_Toc430530546"/>
      <w:bookmarkStart w:id="1298" w:name="_Toc224103511"/>
      <w:bookmarkStart w:id="1299" w:name="_Toc287620830"/>
      <w:r>
        <w:rPr>
          <w:sz w:val="30"/>
          <w:szCs w:val="30"/>
          <w:highlight w:val="none"/>
        </w:rPr>
        <w:t>（一）</w:t>
      </w:r>
      <w:r>
        <w:rPr>
          <w:rFonts w:hint="eastAsia"/>
          <w:sz w:val="30"/>
          <w:szCs w:val="30"/>
          <w:highlight w:val="none"/>
        </w:rPr>
        <w:t>法定代表人身份证明或附有法定代表人身份证明的授权委托书</w:t>
      </w:r>
      <w:bookmarkEnd w:id="1293"/>
      <w:bookmarkEnd w:id="1294"/>
    </w:p>
    <w:p>
      <w:pPr>
        <w:spacing w:line="480" w:lineRule="auto"/>
        <w:jc w:val="center"/>
        <w:rPr>
          <w:rFonts w:ascii="宋体" w:hAnsi="宋体"/>
          <w:sz w:val="28"/>
          <w:highlight w:val="none"/>
        </w:rPr>
      </w:pPr>
      <w:r>
        <w:rPr>
          <w:rFonts w:hint="eastAsia" w:ascii="宋体" w:hAnsi="宋体"/>
          <w:sz w:val="28"/>
          <w:highlight w:val="none"/>
        </w:rPr>
        <w:t>法定代表人身份证明</w:t>
      </w:r>
    </w:p>
    <w:p>
      <w:pPr>
        <w:spacing w:line="480" w:lineRule="auto"/>
        <w:jc w:val="center"/>
        <w:rPr>
          <w:rFonts w:ascii="宋体" w:hAnsi="宋体"/>
          <w:highlight w:val="none"/>
        </w:rPr>
      </w:pPr>
    </w:p>
    <w:p>
      <w:pPr>
        <w:tabs>
          <w:tab w:val="left" w:pos="556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hint="eastAsia" w:ascii="宋体" w:hAnsi="宋体"/>
          <w:kern w:val="0"/>
          <w:szCs w:val="21"/>
          <w:highlight w:val="none"/>
          <w:lang w:eastAsia="zh-CN"/>
        </w:rPr>
        <w:t>竞选人</w:t>
      </w:r>
      <w:r>
        <w:rPr>
          <w:rFonts w:ascii="宋体" w:hAnsi="宋体"/>
          <w:kern w:val="0"/>
          <w:szCs w:val="21"/>
          <w:highlight w:val="none"/>
        </w:rPr>
        <w:t>名称：</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单位性质：</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地</w:t>
      </w:r>
      <w:r>
        <w:rPr>
          <w:rFonts w:hint="eastAsia" w:ascii="宋体" w:hAnsi="宋体"/>
          <w:kern w:val="0"/>
          <w:szCs w:val="21"/>
          <w:highlight w:val="none"/>
        </w:rPr>
        <w:t xml:space="preserve">    </w:t>
      </w:r>
      <w:r>
        <w:rPr>
          <w:rFonts w:ascii="宋体" w:hAnsi="宋体"/>
          <w:kern w:val="0"/>
          <w:szCs w:val="21"/>
          <w:highlight w:val="none"/>
        </w:rPr>
        <w:t>址：</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highlight w:val="none"/>
        </w:rPr>
      </w:pPr>
      <w:r>
        <w:rPr>
          <w:rFonts w:ascii="宋体" w:hAnsi="宋体"/>
          <w:kern w:val="0"/>
          <w:szCs w:val="21"/>
          <w:highlight w:val="none"/>
        </w:rPr>
        <w:t>成立时间：</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年</w:t>
      </w:r>
      <w:r>
        <w:rPr>
          <w:rFonts w:ascii="宋体" w:hAnsi="宋体"/>
          <w:w w:val="200"/>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月</w:t>
      </w:r>
      <w:r>
        <w:rPr>
          <w:rFonts w:ascii="宋体" w:hAnsi="宋体"/>
          <w:w w:val="200"/>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经营期限：</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姓名：</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性别</w:t>
      </w:r>
      <w:r>
        <w:rPr>
          <w:rFonts w:ascii="宋体" w:hAnsi="宋体"/>
          <w:spacing w:val="-1"/>
          <w:kern w:val="0"/>
          <w:szCs w:val="21"/>
          <w:highlight w:val="none"/>
        </w:rPr>
        <w:t>：</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spacing w:val="-1"/>
          <w:kern w:val="0"/>
          <w:szCs w:val="21"/>
          <w:highlight w:val="none"/>
        </w:rPr>
        <w:t>年</w:t>
      </w:r>
      <w:r>
        <w:rPr>
          <w:rFonts w:ascii="宋体" w:hAnsi="宋体"/>
          <w:kern w:val="0"/>
          <w:szCs w:val="21"/>
          <w:highlight w:val="none"/>
        </w:rPr>
        <w:t>龄：</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职务：</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系</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lang w:eastAsia="zh-CN"/>
        </w:rPr>
        <w:t>竞选人</w:t>
      </w:r>
      <w:r>
        <w:rPr>
          <w:rFonts w:ascii="宋体" w:hAnsi="宋体"/>
          <w:kern w:val="0"/>
          <w:szCs w:val="21"/>
          <w:highlight w:val="none"/>
          <w:u w:val="single"/>
        </w:rPr>
        <w:t>名称）</w:t>
      </w:r>
      <w:r>
        <w:rPr>
          <w:rFonts w:ascii="宋体" w:hAnsi="宋体"/>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特此证明。</w:t>
      </w:r>
    </w:p>
    <w:p>
      <w:pPr>
        <w:autoSpaceDE w:val="0"/>
        <w:autoSpaceDN w:val="0"/>
        <w:adjustRightInd w:val="0"/>
        <w:snapToGrid w:val="0"/>
        <w:spacing w:line="480" w:lineRule="auto"/>
        <w:ind w:firstLine="810" w:firstLineChars="386"/>
        <w:jc w:val="left"/>
        <w:rPr>
          <w:rFonts w:ascii="宋体" w:hAnsi="宋体"/>
          <w:kern w:val="0"/>
          <w:szCs w:val="21"/>
          <w:highlight w:val="none"/>
        </w:rPr>
      </w:pPr>
      <w:r>
        <w:rPr>
          <w:rFonts w:hint="eastAsia" w:ascii="宋体" w:hAnsi="宋体"/>
          <w:kern w:val="0"/>
          <w:szCs w:val="21"/>
          <w:highlight w:val="none"/>
        </w:rPr>
        <w:t>附：法定代表人身份证复印件（双面）</w:t>
      </w:r>
    </w:p>
    <w:p>
      <w:pPr>
        <w:autoSpaceDE w:val="0"/>
        <w:autoSpaceDN w:val="0"/>
        <w:adjustRightInd w:val="0"/>
        <w:snapToGrid w:val="0"/>
        <w:spacing w:line="360" w:lineRule="auto"/>
        <w:jc w:val="left"/>
        <w:rPr>
          <w:rFonts w:ascii="宋体" w:hAnsi="宋体"/>
          <w:szCs w:val="21"/>
          <w:highlight w:val="none"/>
        </w:rPr>
      </w:pPr>
    </w:p>
    <w:p>
      <w:pPr>
        <w:pStyle w:val="2"/>
        <w:spacing w:after="0" w:line="360" w:lineRule="auto"/>
        <w:rPr>
          <w:rFonts w:ascii="宋体" w:hAnsi="宋体"/>
          <w:szCs w:val="21"/>
          <w:highlight w:val="none"/>
        </w:rPr>
      </w:pPr>
    </w:p>
    <w:p>
      <w:pPr>
        <w:pStyle w:val="2"/>
        <w:spacing w:after="0" w:line="360" w:lineRule="auto"/>
        <w:rPr>
          <w:rFonts w:ascii="宋体" w:hAnsi="宋体"/>
          <w:szCs w:val="21"/>
          <w:highlight w:val="none"/>
        </w:rPr>
      </w:pPr>
    </w:p>
    <w:p>
      <w:pPr>
        <w:pStyle w:val="2"/>
        <w:spacing w:after="0" w:line="360" w:lineRule="auto"/>
        <w:rPr>
          <w:rFonts w:ascii="宋体" w:hAnsi="宋体"/>
          <w:szCs w:val="21"/>
          <w:highlight w:val="none"/>
        </w:rPr>
      </w:pPr>
    </w:p>
    <w:p>
      <w:pPr>
        <w:pStyle w:val="2"/>
        <w:spacing w:after="0" w:line="360" w:lineRule="auto"/>
        <w:rPr>
          <w:rFonts w:ascii="宋体" w:hAnsi="宋体"/>
          <w:szCs w:val="21"/>
          <w:highlight w:val="none"/>
        </w:rPr>
      </w:pPr>
    </w:p>
    <w:p>
      <w:pPr>
        <w:pStyle w:val="2"/>
        <w:spacing w:after="0" w:line="360" w:lineRule="auto"/>
        <w:rPr>
          <w:rFonts w:ascii="宋体" w:hAnsi="宋体"/>
          <w:szCs w:val="21"/>
          <w:highlight w:val="none"/>
        </w:rPr>
      </w:pPr>
    </w:p>
    <w:p>
      <w:pPr>
        <w:autoSpaceDE w:val="0"/>
        <w:autoSpaceDN w:val="0"/>
        <w:adjustRightInd w:val="0"/>
        <w:snapToGrid w:val="0"/>
        <w:spacing w:line="480" w:lineRule="auto"/>
        <w:ind w:firstLine="810" w:firstLineChars="386"/>
        <w:jc w:val="right"/>
        <w:rPr>
          <w:rFonts w:ascii="宋体" w:hAnsi="宋体"/>
          <w:kern w:val="0"/>
          <w:szCs w:val="21"/>
          <w:highlight w:val="none"/>
        </w:rPr>
      </w:pPr>
      <w:r>
        <w:rPr>
          <w:rFonts w:hint="eastAsia" w:ascii="宋体" w:hAnsi="宋体"/>
          <w:kern w:val="0"/>
          <w:szCs w:val="21"/>
          <w:highlight w:val="none"/>
          <w:lang w:eastAsia="zh-CN"/>
        </w:rPr>
        <w:t>竞选人</w:t>
      </w:r>
      <w:r>
        <w:rPr>
          <w:rFonts w:ascii="宋体" w:hAnsi="宋体"/>
          <w:kern w:val="0"/>
          <w:szCs w:val="21"/>
          <w:highlight w:val="none"/>
        </w:rPr>
        <w:t>：</w:t>
      </w:r>
      <w:r>
        <w:rPr>
          <w:rFonts w:ascii="宋体" w:hAnsi="宋体"/>
          <w:w w:val="200"/>
          <w:kern w:val="0"/>
          <w:szCs w:val="21"/>
          <w:highlight w:val="none"/>
          <w:u w:val="single"/>
        </w:rPr>
        <w:t xml:space="preserve">              </w:t>
      </w:r>
      <w:r>
        <w:rPr>
          <w:rFonts w:ascii="宋体" w:hAnsi="宋体"/>
          <w:kern w:val="0"/>
          <w:szCs w:val="21"/>
          <w:highlight w:val="none"/>
          <w:u w:val="single"/>
        </w:rPr>
        <w:tab/>
      </w:r>
      <w:r>
        <w:rPr>
          <w:rFonts w:ascii="宋体" w:hAnsi="宋体"/>
          <w:spacing w:val="-1"/>
          <w:kern w:val="0"/>
          <w:szCs w:val="21"/>
          <w:highlight w:val="none"/>
        </w:rPr>
        <w:t>（</w:t>
      </w:r>
      <w:r>
        <w:rPr>
          <w:rFonts w:ascii="宋体" w:hAnsi="宋体"/>
          <w:kern w:val="0"/>
          <w:szCs w:val="21"/>
          <w:highlight w:val="none"/>
        </w:rPr>
        <w:t>盖单位法人章）</w:t>
      </w:r>
    </w:p>
    <w:p>
      <w:pPr>
        <w:autoSpaceDE w:val="0"/>
        <w:autoSpaceDN w:val="0"/>
        <w:adjustRightInd w:val="0"/>
        <w:snapToGrid w:val="0"/>
        <w:spacing w:line="480" w:lineRule="auto"/>
        <w:jc w:val="left"/>
        <w:rPr>
          <w:rFonts w:ascii="宋体" w:hAnsi="宋体"/>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highlight w:val="none"/>
        </w:rPr>
      </w:pPr>
      <w:r>
        <w:rPr>
          <w:rFonts w:hint="eastAsia" w:ascii="宋体" w:hAnsi="宋体"/>
          <w:w w:val="200"/>
          <w:kern w:val="0"/>
          <w:szCs w:val="21"/>
          <w:highlight w:val="none"/>
          <w:u w:val="single"/>
        </w:rPr>
        <w:t xml:space="preserve">      </w:t>
      </w:r>
      <w:r>
        <w:rPr>
          <w:rFonts w:ascii="宋体" w:hAnsi="宋体"/>
          <w:kern w:val="0"/>
          <w:szCs w:val="21"/>
          <w:highlight w:val="none"/>
        </w:rPr>
        <w:t>年</w:t>
      </w:r>
      <w:r>
        <w:rPr>
          <w:rFonts w:ascii="宋体" w:hAnsi="宋体"/>
          <w:w w:val="200"/>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月</w:t>
      </w:r>
      <w:r>
        <w:rPr>
          <w:rFonts w:ascii="宋体" w:hAnsi="宋体"/>
          <w:w w:val="200"/>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日</w:t>
      </w:r>
      <w:r>
        <w:rPr>
          <w:rFonts w:hint="eastAsia" w:ascii="宋体" w:hAnsi="宋体"/>
          <w:kern w:val="0"/>
          <w:szCs w:val="21"/>
          <w:highlight w:val="none"/>
        </w:rPr>
        <w:t xml:space="preserve">  </w:t>
      </w:r>
    </w:p>
    <w:p>
      <w:pPr>
        <w:autoSpaceDE w:val="0"/>
        <w:autoSpaceDN w:val="0"/>
        <w:adjustRightInd w:val="0"/>
        <w:snapToGrid w:val="0"/>
        <w:spacing w:line="360" w:lineRule="auto"/>
        <w:jc w:val="left"/>
        <w:rPr>
          <w:rFonts w:ascii="宋体" w:hAnsi="宋体"/>
          <w:kern w:val="0"/>
          <w:highlight w:val="none"/>
        </w:rPr>
      </w:pPr>
    </w:p>
    <w:p>
      <w:pPr>
        <w:autoSpaceDE w:val="0"/>
        <w:autoSpaceDN w:val="0"/>
        <w:adjustRightInd w:val="0"/>
        <w:snapToGrid w:val="0"/>
        <w:spacing w:line="360" w:lineRule="auto"/>
        <w:jc w:val="left"/>
        <w:rPr>
          <w:rFonts w:ascii="宋体" w:hAnsi="宋体"/>
          <w:kern w:val="0"/>
          <w:highlight w:val="none"/>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kern w:val="0"/>
          <w:szCs w:val="21"/>
          <w:highlight w:val="none"/>
        </w:rPr>
      </w:pPr>
      <w:r>
        <w:rPr>
          <w:highlight w:val="none"/>
        </w:rPr>
        <w:t>注：法定代表人身份证明需按上述格式填写完整，不可缺少内容。在此基础上增加内容的不影响其有效性</w:t>
      </w:r>
      <w:bookmarkEnd w:id="1295"/>
      <w:bookmarkEnd w:id="1296"/>
      <w:bookmarkEnd w:id="1297"/>
      <w:bookmarkEnd w:id="1298"/>
      <w:bookmarkEnd w:id="1299"/>
      <w:r>
        <w:rPr>
          <w:rFonts w:hint="eastAsia" w:ascii="宋体" w:hAnsi="宋体"/>
          <w:kern w:val="0"/>
          <w:szCs w:val="21"/>
          <w:highlight w:val="none"/>
        </w:rPr>
        <w:t>。</w:t>
      </w: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0"/>
          <w:szCs w:val="20"/>
          <w:highlight w:val="none"/>
        </w:rPr>
      </w:pPr>
      <w:r>
        <w:rPr>
          <w:rFonts w:ascii="宋体" w:hAnsi="宋体"/>
          <w:b/>
          <w:kern w:val="0"/>
          <w:sz w:val="28"/>
          <w:szCs w:val="28"/>
          <w:highlight w:val="none"/>
        </w:rPr>
        <w:br w:type="page"/>
      </w:r>
      <w:r>
        <w:rPr>
          <w:rFonts w:ascii="宋体" w:hAnsi="宋体"/>
          <w:snapToGrid w:val="0"/>
          <w:kern w:val="0"/>
          <w:sz w:val="32"/>
          <w:szCs w:val="32"/>
          <w:highlight w:val="none"/>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highlight w:val="none"/>
        </w:rPr>
      </w:pPr>
      <w:r>
        <w:rPr>
          <w:rFonts w:ascii="宋体" w:hAnsi="宋体"/>
          <w:kern w:val="0"/>
          <w:szCs w:val="21"/>
          <w:highlight w:val="none"/>
        </w:rPr>
        <w:t>本人</w:t>
      </w:r>
      <w:r>
        <w:rPr>
          <w:rFonts w:hint="eastAsia" w:ascii="宋体" w:hAnsi="宋体"/>
          <w:w w:val="200"/>
          <w:kern w:val="0"/>
          <w:szCs w:val="21"/>
          <w:highlight w:val="none"/>
          <w:u w:val="single"/>
        </w:rPr>
        <w:t xml:space="preserve">    </w:t>
      </w:r>
      <w:r>
        <w:rPr>
          <w:rFonts w:ascii="宋体" w:hAnsi="宋体"/>
          <w:kern w:val="0"/>
          <w:szCs w:val="21"/>
          <w:highlight w:val="none"/>
          <w:u w:val="single"/>
        </w:rPr>
        <w:t>（姓名）</w:t>
      </w:r>
      <w:r>
        <w:rPr>
          <w:rFonts w:ascii="宋体" w:hAnsi="宋体"/>
          <w:kern w:val="0"/>
          <w:szCs w:val="21"/>
          <w:highlight w:val="none"/>
        </w:rPr>
        <w:t>系</w:t>
      </w:r>
      <w:r>
        <w:rPr>
          <w:rFonts w:hint="eastAsia" w:ascii="宋体" w:hAnsi="宋体"/>
          <w:w w:val="200"/>
          <w:kern w:val="0"/>
          <w:szCs w:val="21"/>
          <w:highlight w:val="none"/>
          <w:u w:val="single"/>
        </w:rPr>
        <w:t xml:space="preserve">        </w:t>
      </w:r>
      <w:r>
        <w:rPr>
          <w:rFonts w:ascii="宋体" w:hAnsi="宋体"/>
          <w:kern w:val="0"/>
          <w:szCs w:val="21"/>
          <w:highlight w:val="none"/>
          <w:u w:val="single"/>
        </w:rPr>
        <w:t>（</w:t>
      </w:r>
      <w:r>
        <w:rPr>
          <w:rFonts w:hint="eastAsia" w:ascii="宋体" w:hAnsi="宋体"/>
          <w:spacing w:val="-1"/>
          <w:kern w:val="0"/>
          <w:szCs w:val="21"/>
          <w:highlight w:val="none"/>
          <w:u w:val="single"/>
          <w:lang w:eastAsia="zh-CN"/>
        </w:rPr>
        <w:t>竞选人</w:t>
      </w:r>
      <w:r>
        <w:rPr>
          <w:rFonts w:ascii="宋体" w:hAnsi="宋体"/>
          <w:kern w:val="0"/>
          <w:szCs w:val="21"/>
          <w:highlight w:val="none"/>
          <w:u w:val="single"/>
        </w:rPr>
        <w:t>名称</w:t>
      </w:r>
      <w:r>
        <w:rPr>
          <w:rFonts w:ascii="宋体" w:hAnsi="宋体"/>
          <w:spacing w:val="1"/>
          <w:kern w:val="0"/>
          <w:szCs w:val="21"/>
          <w:highlight w:val="none"/>
          <w:u w:val="single"/>
        </w:rPr>
        <w:t>）</w:t>
      </w:r>
      <w:r>
        <w:rPr>
          <w:rFonts w:ascii="宋体" w:hAnsi="宋体"/>
          <w:kern w:val="0"/>
          <w:szCs w:val="21"/>
          <w:highlight w:val="none"/>
        </w:rPr>
        <w:t>的法定代</w:t>
      </w:r>
      <w:r>
        <w:rPr>
          <w:rFonts w:ascii="宋体" w:hAnsi="宋体"/>
          <w:spacing w:val="1"/>
          <w:kern w:val="0"/>
          <w:szCs w:val="21"/>
          <w:highlight w:val="none"/>
        </w:rPr>
        <w:t>表</w:t>
      </w:r>
      <w:r>
        <w:rPr>
          <w:rFonts w:ascii="宋体" w:hAnsi="宋体"/>
          <w:kern w:val="0"/>
          <w:szCs w:val="21"/>
          <w:highlight w:val="none"/>
        </w:rPr>
        <w:t>人，现委托</w:t>
      </w:r>
      <w:r>
        <w:rPr>
          <w:rFonts w:hint="eastAsia" w:ascii="宋体" w:hAnsi="宋体"/>
          <w:w w:val="200"/>
          <w:kern w:val="0"/>
          <w:szCs w:val="21"/>
          <w:highlight w:val="none"/>
          <w:u w:val="single"/>
        </w:rPr>
        <w:t xml:space="preserve">    </w:t>
      </w:r>
      <w:r>
        <w:rPr>
          <w:rFonts w:ascii="宋体" w:hAnsi="宋体"/>
          <w:kern w:val="0"/>
          <w:szCs w:val="21"/>
          <w:highlight w:val="none"/>
          <w:u w:val="single"/>
        </w:rPr>
        <w:t>（姓名）</w:t>
      </w:r>
      <w:r>
        <w:rPr>
          <w:rFonts w:ascii="宋体" w:hAnsi="宋体"/>
          <w:kern w:val="0"/>
          <w:szCs w:val="21"/>
          <w:highlight w:val="none"/>
        </w:rPr>
        <w:t>为我方代理人。代理人根据授权，以我方名义签署、澄清、说明、补正、递交、撤回、 修改</w:t>
      </w:r>
      <w:r>
        <w:rPr>
          <w:rFonts w:hint="eastAsia" w:ascii="宋体" w:hAnsi="宋体"/>
          <w:w w:val="200"/>
          <w:kern w:val="0"/>
          <w:szCs w:val="21"/>
          <w:highlight w:val="none"/>
          <w:u w:val="single"/>
        </w:rPr>
        <w:t xml:space="preserve">        </w:t>
      </w:r>
      <w:r>
        <w:rPr>
          <w:rFonts w:ascii="宋体" w:hAnsi="宋体"/>
          <w:kern w:val="0"/>
          <w:szCs w:val="21"/>
          <w:highlight w:val="none"/>
          <w:u w:val="single"/>
        </w:rPr>
        <w:t>（项</w:t>
      </w:r>
      <w:r>
        <w:rPr>
          <w:rFonts w:ascii="宋体" w:hAnsi="宋体"/>
          <w:spacing w:val="-1"/>
          <w:kern w:val="0"/>
          <w:szCs w:val="21"/>
          <w:highlight w:val="none"/>
          <w:u w:val="single"/>
        </w:rPr>
        <w:t>目</w:t>
      </w:r>
      <w:r>
        <w:rPr>
          <w:rFonts w:ascii="宋体" w:hAnsi="宋体"/>
          <w:kern w:val="0"/>
          <w:szCs w:val="21"/>
          <w:highlight w:val="none"/>
          <w:u w:val="single"/>
        </w:rPr>
        <w:t>名称）</w:t>
      </w:r>
      <w:r>
        <w:rPr>
          <w:rFonts w:hint="eastAsia" w:ascii="宋体" w:hAnsi="宋体"/>
          <w:kern w:val="0"/>
          <w:szCs w:val="21"/>
          <w:highlight w:val="none"/>
          <w:lang w:eastAsia="zh-CN"/>
        </w:rPr>
        <w:t>竞选文件</w:t>
      </w:r>
      <w:r>
        <w:rPr>
          <w:rFonts w:ascii="宋体" w:hAnsi="宋体"/>
          <w:kern w:val="0"/>
          <w:szCs w:val="21"/>
          <w:highlight w:val="none"/>
        </w:rPr>
        <w:t>、签订合同和处理有关事宜，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ascii="宋体" w:hAnsi="宋体"/>
          <w:kern w:val="0"/>
          <w:szCs w:val="21"/>
          <w:highlight w:val="none"/>
        </w:rPr>
        <w:t>委托</w:t>
      </w:r>
      <w:r>
        <w:rPr>
          <w:rFonts w:ascii="宋体" w:hAnsi="宋体"/>
          <w:spacing w:val="-1"/>
          <w:kern w:val="0"/>
          <w:szCs w:val="21"/>
          <w:highlight w:val="none"/>
        </w:rPr>
        <w:t>期</w:t>
      </w:r>
      <w:r>
        <w:rPr>
          <w:rFonts w:ascii="宋体" w:hAnsi="宋体"/>
          <w:kern w:val="0"/>
          <w:szCs w:val="21"/>
          <w:highlight w:val="none"/>
        </w:rPr>
        <w:t>限：</w:t>
      </w:r>
      <w:r>
        <w:rPr>
          <w:rFonts w:hint="eastAsia" w:ascii="宋体" w:hAnsi="宋体"/>
          <w:w w:val="200"/>
          <w:kern w:val="0"/>
          <w:szCs w:val="21"/>
          <w:highlight w:val="none"/>
          <w:u w:val="single"/>
        </w:rPr>
        <w:t xml:space="preserve">        </w:t>
      </w:r>
      <w:r>
        <w:rPr>
          <w:rFonts w:ascii="宋体" w:hAnsi="宋体"/>
          <w:kern w:val="0"/>
          <w:szCs w:val="21"/>
          <w:highlight w:val="none"/>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ascii="宋体" w:hAnsi="宋体"/>
          <w:kern w:val="0"/>
          <w:szCs w:val="21"/>
          <w:highlight w:val="none"/>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hint="eastAsia" w:ascii="宋体" w:hAnsi="宋体"/>
          <w:kern w:val="0"/>
          <w:szCs w:val="21"/>
          <w:highlight w:val="none"/>
          <w:lang w:val="en-US" w:eastAsia="zh-CN"/>
        </w:rPr>
        <w:t>竞选</w:t>
      </w:r>
      <w:r>
        <w:rPr>
          <w:rFonts w:ascii="宋体" w:hAnsi="宋体"/>
          <w:kern w:val="0"/>
          <w:szCs w:val="21"/>
          <w:highlight w:val="none"/>
        </w:rPr>
        <w:t>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ascii="宋体" w:hAnsi="宋体"/>
          <w:spacing w:val="-1"/>
          <w:kern w:val="0"/>
          <w:szCs w:val="21"/>
          <w:highlight w:val="none"/>
        </w:rPr>
        <w:t>盖单位法人章</w:t>
      </w:r>
      <w:r>
        <w:rPr>
          <w:rFonts w:ascii="宋体" w:hAnsi="宋体"/>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法定代表人：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签名</w:t>
      </w:r>
      <w:r>
        <w:rPr>
          <w:rFonts w:ascii="宋体" w:hAnsi="宋体"/>
          <w:kern w:val="0"/>
          <w:szCs w:val="21"/>
          <w:highlight w:val="none"/>
        </w:rPr>
        <w:t>或盖章）</w:t>
      </w:r>
    </w:p>
    <w:p>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u w:val="single"/>
        </w:rPr>
      </w:pPr>
      <w:r>
        <w:rPr>
          <w:rFonts w:ascii="宋体" w:hAnsi="宋体"/>
          <w:kern w:val="0"/>
          <w:szCs w:val="21"/>
          <w:highlight w:val="none"/>
        </w:rPr>
        <w:t>身份证号码：</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委托代理人：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签名</w:t>
      </w:r>
      <w:r>
        <w:rPr>
          <w:rFonts w:ascii="宋体" w:hAnsi="宋体"/>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ascii="宋体" w:hAnsi="宋体"/>
          <w:w w:val="200"/>
          <w:kern w:val="0"/>
          <w:szCs w:val="21"/>
          <w:highlight w:val="none"/>
          <w:u w:val="single"/>
        </w:rPr>
      </w:pPr>
      <w:r>
        <w:rPr>
          <w:rFonts w:ascii="宋体" w:hAnsi="宋体"/>
          <w:kern w:val="0"/>
          <w:szCs w:val="21"/>
          <w:highlight w:val="none"/>
        </w:rPr>
        <w:t>身份证号码：</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kern w:val="0"/>
          <w:szCs w:val="21"/>
          <w:highlight w:val="none"/>
          <w:u w:val="single"/>
        </w:rPr>
      </w:pPr>
      <w:r>
        <w:rPr>
          <w:rFonts w:hint="eastAsia" w:ascii="宋体" w:hAnsi="宋体"/>
          <w:kern w:val="0"/>
          <w:szCs w:val="21"/>
          <w:highlight w:val="none"/>
        </w:rPr>
        <w:t>单位电话（座机）：</w:t>
      </w:r>
      <w:r>
        <w:rPr>
          <w:rFonts w:hint="eastAsia" w:ascii="宋体" w:hAnsi="宋体"/>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hint="eastAsia" w:ascii="宋体" w:hAnsi="宋体"/>
          <w:kern w:val="0"/>
          <w:szCs w:val="21"/>
          <w:highlight w:val="none"/>
        </w:rPr>
        <w:t xml:space="preserve">委托代理人电话（手机）：                                          </w:t>
      </w:r>
    </w:p>
    <w:p>
      <w:pPr>
        <w:autoSpaceDE w:val="0"/>
        <w:autoSpaceDN w:val="0"/>
        <w:adjustRightInd w:val="0"/>
        <w:snapToGrid w:val="0"/>
        <w:spacing w:line="480" w:lineRule="auto"/>
        <w:ind w:firstLine="810" w:firstLineChars="386"/>
        <w:jc w:val="left"/>
        <w:rPr>
          <w:rFonts w:ascii="宋体" w:hAnsi="宋体"/>
          <w:kern w:val="0"/>
          <w:szCs w:val="21"/>
          <w:highlight w:val="none"/>
        </w:rPr>
      </w:pPr>
      <w:r>
        <w:rPr>
          <w:rFonts w:hint="eastAsia" w:ascii="宋体" w:hAnsi="宋体"/>
          <w:kern w:val="0"/>
          <w:szCs w:val="21"/>
          <w:highlight w:val="none"/>
        </w:rPr>
        <w:t>附：法定代表人和委托代理人身份证复印件（双面）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6825"/>
        </w:tabs>
        <w:autoSpaceDE w:val="0"/>
        <w:autoSpaceDN w:val="0"/>
        <w:adjustRightInd w:val="0"/>
        <w:snapToGrid w:val="0"/>
        <w:spacing w:line="480" w:lineRule="auto"/>
        <w:ind w:firstLine="420" w:firstLineChars="200"/>
        <w:jc w:val="left"/>
        <w:rPr>
          <w:rFonts w:ascii="宋体" w:hAnsi="宋体"/>
          <w:kern w:val="0"/>
          <w:szCs w:val="21"/>
          <w:highlight w:val="none"/>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highlight w:val="none"/>
        </w:rPr>
      </w:pPr>
      <w:r>
        <w:rPr>
          <w:rFonts w:hint="eastAsia" w:ascii="宋体" w:hAnsi="宋体"/>
          <w:w w:val="200"/>
          <w:kern w:val="0"/>
          <w:szCs w:val="21"/>
          <w:highlight w:val="none"/>
          <w:u w:val="single"/>
        </w:rPr>
        <w:t xml:space="preserve">  </w:t>
      </w:r>
      <w:r>
        <w:rPr>
          <w:rFonts w:ascii="宋体" w:hAnsi="宋体"/>
          <w:kern w:val="0"/>
          <w:szCs w:val="21"/>
          <w:highlight w:val="none"/>
        </w:rPr>
        <w:t>年</w:t>
      </w:r>
      <w:r>
        <w:rPr>
          <w:rFonts w:hint="eastAsia" w:ascii="宋体" w:hAnsi="宋体"/>
          <w:w w:val="200"/>
          <w:kern w:val="0"/>
          <w:szCs w:val="21"/>
          <w:highlight w:val="none"/>
          <w:u w:val="single"/>
        </w:rPr>
        <w:t xml:space="preserve">  </w:t>
      </w:r>
      <w:r>
        <w:rPr>
          <w:rFonts w:ascii="宋体" w:hAnsi="宋体"/>
          <w:kern w:val="0"/>
          <w:szCs w:val="21"/>
          <w:highlight w:val="none"/>
        </w:rPr>
        <w:t>月</w:t>
      </w:r>
      <w:r>
        <w:rPr>
          <w:rFonts w:hint="eastAsia" w:ascii="宋体" w:hAnsi="宋体"/>
          <w:w w:val="200"/>
          <w:kern w:val="0"/>
          <w:szCs w:val="21"/>
          <w:highlight w:val="none"/>
          <w:u w:val="single"/>
        </w:rPr>
        <w:t xml:space="preserve">  </w:t>
      </w:r>
      <w:r>
        <w:rPr>
          <w:rFonts w:ascii="宋体" w:hAnsi="宋体"/>
          <w:kern w:val="0"/>
          <w:szCs w:val="21"/>
          <w:highlight w:val="none"/>
        </w:rPr>
        <w:t>日</w:t>
      </w:r>
      <w:r>
        <w:rPr>
          <w:rFonts w:hint="eastAsia" w:ascii="宋体" w:hAnsi="宋体"/>
          <w:kern w:val="0"/>
          <w:szCs w:val="21"/>
          <w:highlight w:val="none"/>
        </w:rPr>
        <w:t xml:space="preserve"> </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highlight w:val="none"/>
        </w:rPr>
      </w:pPr>
    </w:p>
    <w:p>
      <w:pPr>
        <w:tabs>
          <w:tab w:val="left" w:pos="5760"/>
        </w:tabs>
        <w:autoSpaceDE w:val="0"/>
        <w:autoSpaceDN w:val="0"/>
        <w:adjustRightInd w:val="0"/>
        <w:spacing w:line="360" w:lineRule="auto"/>
        <w:ind w:firstLine="420" w:firstLineChars="200"/>
        <w:rPr>
          <w:rFonts w:ascii="宋体" w:hAnsi="宋体"/>
          <w:kern w:val="0"/>
          <w:szCs w:val="21"/>
          <w:highlight w:val="none"/>
        </w:rPr>
      </w:pPr>
      <w:r>
        <w:rPr>
          <w:rFonts w:ascii="宋体" w:hAnsi="宋体"/>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auto"/>
        <w:ind w:firstLine="420" w:firstLineChars="200"/>
        <w:rPr>
          <w:rFonts w:ascii="宋体" w:hAnsi="宋体"/>
          <w:kern w:val="0"/>
          <w:szCs w:val="21"/>
          <w:highlight w:val="none"/>
        </w:rPr>
      </w:pPr>
      <w:r>
        <w:rPr>
          <w:rFonts w:ascii="宋体" w:hAnsi="宋体"/>
          <w:kern w:val="0"/>
          <w:szCs w:val="21"/>
          <w:highlight w:val="none"/>
        </w:rPr>
        <w:t>2、法定代表人身份证明及授权委托书原件装入</w:t>
      </w:r>
      <w:r>
        <w:rPr>
          <w:rFonts w:hint="eastAsia" w:ascii="宋体" w:hAnsi="宋体"/>
          <w:kern w:val="0"/>
          <w:szCs w:val="21"/>
          <w:highlight w:val="none"/>
          <w:lang w:eastAsia="zh-CN"/>
        </w:rPr>
        <w:t>竞选文件</w:t>
      </w:r>
      <w:r>
        <w:rPr>
          <w:rFonts w:ascii="宋体" w:hAnsi="宋体"/>
          <w:kern w:val="0"/>
          <w:szCs w:val="21"/>
          <w:highlight w:val="none"/>
        </w:rPr>
        <w:t>一并递交。另外须准备一份授权委托书原件在开标现场出具。</w:t>
      </w:r>
    </w:p>
    <w:p>
      <w:pPr>
        <w:spacing w:line="360" w:lineRule="auto"/>
        <w:ind w:firstLine="420" w:firstLineChars="200"/>
        <w:rPr>
          <w:rFonts w:ascii="宋体" w:hAnsi="宋体"/>
          <w:highlight w:val="none"/>
        </w:rPr>
      </w:pPr>
      <w:r>
        <w:rPr>
          <w:rFonts w:hint="eastAsia" w:ascii="宋体" w:hAnsi="宋体"/>
          <w:kern w:val="0"/>
          <w:szCs w:val="21"/>
          <w:highlight w:val="none"/>
        </w:rPr>
        <w:t>3.</w:t>
      </w:r>
      <w:r>
        <w:rPr>
          <w:rFonts w:hint="eastAsia" w:ascii="宋体" w:hAnsi="宋体"/>
          <w:highlight w:val="none"/>
        </w:rPr>
        <w:t>授权委托书</w:t>
      </w:r>
      <w:r>
        <w:rPr>
          <w:rFonts w:ascii="宋体" w:hAnsi="宋体"/>
          <w:highlight w:val="none"/>
        </w:rPr>
        <w:t>需按上述格式填写完整，不可缺少内容。在此基础上增加内容的不影响其有效性。</w:t>
      </w:r>
    </w:p>
    <w:p>
      <w:pPr>
        <w:pStyle w:val="5"/>
        <w:spacing w:before="0" w:after="0" w:line="240" w:lineRule="auto"/>
        <w:jc w:val="center"/>
        <w:rPr>
          <w:rFonts w:ascii="宋体" w:hAnsi="宋体"/>
          <w:highlight w:val="none"/>
        </w:rPr>
      </w:pPr>
      <w:bookmarkStart w:id="1300" w:name="_Toc430530547"/>
      <w:bookmarkStart w:id="1301" w:name="_Toc277082658"/>
      <w:bookmarkStart w:id="1302" w:name="_Toc287607884"/>
      <w:bookmarkStart w:id="1303" w:name="_Toc224103512"/>
      <w:bookmarkStart w:id="1304" w:name="_Toc287620831"/>
      <w:bookmarkStart w:id="1305" w:name="_Toc2153"/>
      <w:r>
        <w:rPr>
          <w:highlight w:val="none"/>
        </w:rPr>
        <w:t>（二）</w:t>
      </w:r>
      <w:bookmarkEnd w:id="1300"/>
      <w:bookmarkEnd w:id="1301"/>
      <w:bookmarkEnd w:id="1302"/>
      <w:bookmarkEnd w:id="1303"/>
      <w:bookmarkEnd w:id="1304"/>
      <w:bookmarkStart w:id="1306" w:name="_Toc287607887"/>
      <w:bookmarkStart w:id="1307" w:name="_Toc277082659"/>
      <w:r>
        <w:rPr>
          <w:rFonts w:hint="eastAsia" w:ascii="宋体" w:hAnsi="宋体"/>
          <w:b w:val="0"/>
          <w:bCs w:val="0"/>
          <w:highlight w:val="none"/>
          <w:lang w:eastAsia="zh-CN"/>
        </w:rPr>
        <w:t>竞选人</w:t>
      </w:r>
      <w:r>
        <w:rPr>
          <w:rFonts w:hint="eastAsia" w:ascii="宋体" w:hAnsi="宋体"/>
          <w:b w:val="0"/>
          <w:bCs w:val="0"/>
          <w:highlight w:val="none"/>
        </w:rPr>
        <w:t>基本情况表</w:t>
      </w:r>
      <w:bookmarkEnd w:id="1305"/>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lang w:eastAsia="zh-CN"/>
              </w:rPr>
              <w:t>竞选人</w:t>
            </w:r>
            <w:r>
              <w:rPr>
                <w:rFonts w:hint="eastAsia" w:ascii="宋体" w:hAnsi="宋体" w:cs="MingLiU"/>
                <w:kern w:val="0"/>
                <w:szCs w:val="21"/>
                <w:highlight w:val="none"/>
              </w:rPr>
              <w:t>名称</w:t>
            </w:r>
          </w:p>
        </w:tc>
        <w:tc>
          <w:tcPr>
            <w:tcW w:w="7607" w:type="dxa"/>
            <w:gridSpan w:val="9"/>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注册地址</w:t>
            </w:r>
          </w:p>
        </w:tc>
        <w:tc>
          <w:tcPr>
            <w:tcW w:w="3450" w:type="dxa"/>
            <w:gridSpan w:val="5"/>
            <w:vAlign w:val="center"/>
          </w:tcPr>
          <w:p>
            <w:pPr>
              <w:autoSpaceDE w:val="0"/>
              <w:autoSpaceDN w:val="0"/>
              <w:adjustRightInd w:val="0"/>
              <w:snapToGrid w:val="0"/>
              <w:jc w:val="center"/>
              <w:rPr>
                <w:rFonts w:ascii="宋体" w:hAnsi="宋体"/>
                <w:kern w:val="0"/>
                <w:szCs w:val="21"/>
                <w:highlight w:val="none"/>
              </w:rPr>
            </w:pPr>
          </w:p>
        </w:tc>
        <w:tc>
          <w:tcPr>
            <w:tcW w:w="139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邮政编码</w:t>
            </w:r>
          </w:p>
        </w:tc>
        <w:tc>
          <w:tcPr>
            <w:tcW w:w="2765" w:type="dxa"/>
            <w:gridSpan w:val="3"/>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联系方式</w:t>
            </w:r>
          </w:p>
        </w:tc>
        <w:tc>
          <w:tcPr>
            <w:tcW w:w="967"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联系人</w:t>
            </w:r>
          </w:p>
        </w:tc>
        <w:tc>
          <w:tcPr>
            <w:tcW w:w="2483" w:type="dxa"/>
            <w:gridSpan w:val="4"/>
            <w:vAlign w:val="center"/>
          </w:tcPr>
          <w:p>
            <w:pPr>
              <w:autoSpaceDE w:val="0"/>
              <w:autoSpaceDN w:val="0"/>
              <w:adjustRightInd w:val="0"/>
              <w:snapToGrid w:val="0"/>
              <w:jc w:val="center"/>
              <w:rPr>
                <w:rFonts w:ascii="宋体" w:hAnsi="宋体"/>
                <w:kern w:val="0"/>
                <w:szCs w:val="21"/>
                <w:highlight w:val="none"/>
              </w:rPr>
            </w:pPr>
          </w:p>
        </w:tc>
        <w:tc>
          <w:tcPr>
            <w:tcW w:w="139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电话</w:t>
            </w:r>
          </w:p>
        </w:tc>
        <w:tc>
          <w:tcPr>
            <w:tcW w:w="2765" w:type="dxa"/>
            <w:gridSpan w:val="3"/>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pPr>
              <w:autoSpaceDE w:val="0"/>
              <w:autoSpaceDN w:val="0"/>
              <w:adjustRightInd w:val="0"/>
              <w:snapToGrid w:val="0"/>
              <w:jc w:val="center"/>
              <w:rPr>
                <w:rFonts w:ascii="宋体" w:hAnsi="宋体"/>
                <w:kern w:val="0"/>
                <w:szCs w:val="21"/>
                <w:highlight w:val="none"/>
              </w:rPr>
            </w:pPr>
          </w:p>
        </w:tc>
        <w:tc>
          <w:tcPr>
            <w:tcW w:w="967" w:type="dxa"/>
            <w:vAlign w:val="center"/>
          </w:tcPr>
          <w:p>
            <w:pPr>
              <w:tabs>
                <w:tab w:val="left" w:pos="540"/>
              </w:tabs>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传  真</w:t>
            </w:r>
          </w:p>
        </w:tc>
        <w:tc>
          <w:tcPr>
            <w:tcW w:w="2483" w:type="dxa"/>
            <w:gridSpan w:val="4"/>
            <w:vAlign w:val="center"/>
          </w:tcPr>
          <w:p>
            <w:pPr>
              <w:autoSpaceDE w:val="0"/>
              <w:autoSpaceDN w:val="0"/>
              <w:adjustRightInd w:val="0"/>
              <w:snapToGrid w:val="0"/>
              <w:jc w:val="center"/>
              <w:rPr>
                <w:rFonts w:ascii="宋体" w:hAnsi="宋体"/>
                <w:kern w:val="0"/>
                <w:szCs w:val="21"/>
                <w:highlight w:val="none"/>
              </w:rPr>
            </w:pPr>
          </w:p>
        </w:tc>
        <w:tc>
          <w:tcPr>
            <w:tcW w:w="139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网址</w:t>
            </w:r>
          </w:p>
        </w:tc>
        <w:tc>
          <w:tcPr>
            <w:tcW w:w="2765" w:type="dxa"/>
            <w:gridSpan w:val="3"/>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组织结构</w:t>
            </w:r>
          </w:p>
        </w:tc>
        <w:tc>
          <w:tcPr>
            <w:tcW w:w="7607" w:type="dxa"/>
            <w:gridSpan w:val="9"/>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法定代表人</w:t>
            </w:r>
          </w:p>
        </w:tc>
        <w:tc>
          <w:tcPr>
            <w:tcW w:w="967"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姓  名</w:t>
            </w:r>
          </w:p>
        </w:tc>
        <w:tc>
          <w:tcPr>
            <w:tcW w:w="1024" w:type="dxa"/>
            <w:vAlign w:val="center"/>
          </w:tcPr>
          <w:p>
            <w:pPr>
              <w:autoSpaceDE w:val="0"/>
              <w:autoSpaceDN w:val="0"/>
              <w:adjustRightInd w:val="0"/>
              <w:snapToGrid w:val="0"/>
              <w:jc w:val="center"/>
              <w:rPr>
                <w:rFonts w:ascii="宋体" w:hAnsi="宋体"/>
                <w:kern w:val="0"/>
                <w:szCs w:val="21"/>
                <w:highlight w:val="none"/>
              </w:rPr>
            </w:pPr>
          </w:p>
        </w:tc>
        <w:tc>
          <w:tcPr>
            <w:tcW w:w="1356" w:type="dxa"/>
            <w:gridSpan w:val="2"/>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技术职称</w:t>
            </w:r>
          </w:p>
        </w:tc>
        <w:tc>
          <w:tcPr>
            <w:tcW w:w="2024" w:type="dxa"/>
            <w:gridSpan w:val="3"/>
            <w:vAlign w:val="center"/>
          </w:tcPr>
          <w:p>
            <w:pPr>
              <w:autoSpaceDE w:val="0"/>
              <w:autoSpaceDN w:val="0"/>
              <w:adjustRightInd w:val="0"/>
              <w:snapToGrid w:val="0"/>
              <w:jc w:val="center"/>
              <w:rPr>
                <w:rFonts w:ascii="宋体" w:hAnsi="宋体"/>
                <w:kern w:val="0"/>
                <w:szCs w:val="21"/>
                <w:highlight w:val="none"/>
              </w:rPr>
            </w:pPr>
          </w:p>
        </w:tc>
        <w:tc>
          <w:tcPr>
            <w:tcW w:w="925"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电  话</w:t>
            </w:r>
          </w:p>
        </w:tc>
        <w:tc>
          <w:tcPr>
            <w:tcW w:w="1311" w:type="dxa"/>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技术负责人</w:t>
            </w:r>
          </w:p>
        </w:tc>
        <w:tc>
          <w:tcPr>
            <w:tcW w:w="967"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姓  名</w:t>
            </w:r>
          </w:p>
        </w:tc>
        <w:tc>
          <w:tcPr>
            <w:tcW w:w="1024" w:type="dxa"/>
            <w:vAlign w:val="center"/>
          </w:tcPr>
          <w:p>
            <w:pPr>
              <w:autoSpaceDE w:val="0"/>
              <w:autoSpaceDN w:val="0"/>
              <w:adjustRightInd w:val="0"/>
              <w:snapToGrid w:val="0"/>
              <w:jc w:val="center"/>
              <w:rPr>
                <w:rFonts w:ascii="宋体" w:hAnsi="宋体"/>
                <w:kern w:val="0"/>
                <w:szCs w:val="21"/>
                <w:highlight w:val="none"/>
              </w:rPr>
            </w:pPr>
          </w:p>
        </w:tc>
        <w:tc>
          <w:tcPr>
            <w:tcW w:w="1356" w:type="dxa"/>
            <w:gridSpan w:val="2"/>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技术职称</w:t>
            </w:r>
          </w:p>
        </w:tc>
        <w:tc>
          <w:tcPr>
            <w:tcW w:w="2024" w:type="dxa"/>
            <w:gridSpan w:val="3"/>
            <w:vAlign w:val="center"/>
          </w:tcPr>
          <w:p>
            <w:pPr>
              <w:autoSpaceDE w:val="0"/>
              <w:autoSpaceDN w:val="0"/>
              <w:adjustRightInd w:val="0"/>
              <w:snapToGrid w:val="0"/>
              <w:jc w:val="center"/>
              <w:rPr>
                <w:rFonts w:ascii="宋体" w:hAnsi="宋体"/>
                <w:kern w:val="0"/>
                <w:szCs w:val="21"/>
                <w:highlight w:val="none"/>
              </w:rPr>
            </w:pPr>
          </w:p>
        </w:tc>
        <w:tc>
          <w:tcPr>
            <w:tcW w:w="925"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电  话</w:t>
            </w:r>
          </w:p>
        </w:tc>
        <w:tc>
          <w:tcPr>
            <w:tcW w:w="1311" w:type="dxa"/>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成立时间</w:t>
            </w:r>
          </w:p>
        </w:tc>
        <w:tc>
          <w:tcPr>
            <w:tcW w:w="1991" w:type="dxa"/>
            <w:gridSpan w:val="2"/>
            <w:vAlign w:val="center"/>
          </w:tcPr>
          <w:p>
            <w:pPr>
              <w:autoSpaceDE w:val="0"/>
              <w:autoSpaceDN w:val="0"/>
              <w:adjustRightInd w:val="0"/>
              <w:snapToGrid w:val="0"/>
              <w:jc w:val="center"/>
              <w:rPr>
                <w:rFonts w:ascii="宋体" w:hAnsi="宋体"/>
                <w:kern w:val="0"/>
                <w:szCs w:val="21"/>
                <w:highlight w:val="none"/>
              </w:rPr>
            </w:pPr>
          </w:p>
        </w:tc>
        <w:tc>
          <w:tcPr>
            <w:tcW w:w="5616" w:type="dxa"/>
            <w:gridSpan w:val="7"/>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企业资质等级</w:t>
            </w:r>
          </w:p>
        </w:tc>
        <w:tc>
          <w:tcPr>
            <w:tcW w:w="1991" w:type="dxa"/>
            <w:gridSpan w:val="2"/>
            <w:vAlign w:val="center"/>
          </w:tcPr>
          <w:p>
            <w:pPr>
              <w:autoSpaceDE w:val="0"/>
              <w:autoSpaceDN w:val="0"/>
              <w:adjustRightInd w:val="0"/>
              <w:snapToGrid w:val="0"/>
              <w:jc w:val="center"/>
              <w:rPr>
                <w:rFonts w:ascii="宋体" w:hAnsi="宋体"/>
                <w:kern w:val="0"/>
                <w:szCs w:val="21"/>
                <w:highlight w:val="none"/>
              </w:rPr>
            </w:pPr>
          </w:p>
        </w:tc>
        <w:tc>
          <w:tcPr>
            <w:tcW w:w="904" w:type="dxa"/>
            <w:vMerge w:val="restart"/>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其中</w:t>
            </w:r>
          </w:p>
        </w:tc>
        <w:tc>
          <w:tcPr>
            <w:tcW w:w="2476" w:type="dxa"/>
            <w:gridSpan w:val="4"/>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项目经理</w:t>
            </w:r>
          </w:p>
        </w:tc>
        <w:tc>
          <w:tcPr>
            <w:tcW w:w="223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统一社会信用代码</w:t>
            </w:r>
          </w:p>
        </w:tc>
        <w:tc>
          <w:tcPr>
            <w:tcW w:w="1991" w:type="dxa"/>
            <w:gridSpan w:val="2"/>
            <w:vAlign w:val="center"/>
          </w:tcPr>
          <w:p>
            <w:pPr>
              <w:autoSpaceDE w:val="0"/>
              <w:autoSpaceDN w:val="0"/>
              <w:adjustRightInd w:val="0"/>
              <w:snapToGrid w:val="0"/>
              <w:jc w:val="center"/>
              <w:rPr>
                <w:rFonts w:ascii="宋体" w:hAnsi="宋体"/>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kern w:val="0"/>
                <w:szCs w:val="21"/>
                <w:highlight w:val="none"/>
              </w:rPr>
            </w:pPr>
          </w:p>
        </w:tc>
        <w:tc>
          <w:tcPr>
            <w:tcW w:w="2476" w:type="dxa"/>
            <w:gridSpan w:val="4"/>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高级职称人员</w:t>
            </w:r>
          </w:p>
        </w:tc>
        <w:tc>
          <w:tcPr>
            <w:tcW w:w="223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注册资金</w:t>
            </w:r>
          </w:p>
        </w:tc>
        <w:tc>
          <w:tcPr>
            <w:tcW w:w="1991" w:type="dxa"/>
            <w:gridSpan w:val="2"/>
            <w:vAlign w:val="center"/>
          </w:tcPr>
          <w:p>
            <w:pPr>
              <w:autoSpaceDE w:val="0"/>
              <w:autoSpaceDN w:val="0"/>
              <w:adjustRightInd w:val="0"/>
              <w:snapToGrid w:val="0"/>
              <w:jc w:val="center"/>
              <w:rPr>
                <w:rFonts w:ascii="宋体" w:hAnsi="宋体"/>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kern w:val="0"/>
                <w:szCs w:val="21"/>
                <w:highlight w:val="none"/>
              </w:rPr>
            </w:pPr>
          </w:p>
        </w:tc>
        <w:tc>
          <w:tcPr>
            <w:tcW w:w="2476" w:type="dxa"/>
            <w:gridSpan w:val="4"/>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中级职称人员</w:t>
            </w:r>
          </w:p>
        </w:tc>
        <w:tc>
          <w:tcPr>
            <w:tcW w:w="223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开户银行</w:t>
            </w:r>
          </w:p>
        </w:tc>
        <w:tc>
          <w:tcPr>
            <w:tcW w:w="1991" w:type="dxa"/>
            <w:gridSpan w:val="2"/>
            <w:vAlign w:val="center"/>
          </w:tcPr>
          <w:p>
            <w:pPr>
              <w:autoSpaceDE w:val="0"/>
              <w:autoSpaceDN w:val="0"/>
              <w:adjustRightInd w:val="0"/>
              <w:snapToGrid w:val="0"/>
              <w:jc w:val="center"/>
              <w:rPr>
                <w:rFonts w:ascii="宋体" w:hAnsi="宋体"/>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kern w:val="0"/>
                <w:szCs w:val="21"/>
                <w:highlight w:val="none"/>
              </w:rPr>
            </w:pPr>
          </w:p>
        </w:tc>
        <w:tc>
          <w:tcPr>
            <w:tcW w:w="2476" w:type="dxa"/>
            <w:gridSpan w:val="4"/>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初级职称人员</w:t>
            </w:r>
          </w:p>
        </w:tc>
        <w:tc>
          <w:tcPr>
            <w:tcW w:w="223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kern w:val="0"/>
                <w:szCs w:val="21"/>
                <w:highlight w:val="none"/>
              </w:rPr>
              <w:t>账号</w:t>
            </w:r>
          </w:p>
        </w:tc>
        <w:tc>
          <w:tcPr>
            <w:tcW w:w="1991" w:type="dxa"/>
            <w:gridSpan w:val="2"/>
            <w:vAlign w:val="center"/>
          </w:tcPr>
          <w:p>
            <w:pPr>
              <w:autoSpaceDE w:val="0"/>
              <w:autoSpaceDN w:val="0"/>
              <w:adjustRightInd w:val="0"/>
              <w:snapToGrid w:val="0"/>
              <w:jc w:val="center"/>
              <w:rPr>
                <w:rFonts w:ascii="宋体" w:hAnsi="宋体"/>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kern w:val="0"/>
                <w:szCs w:val="21"/>
                <w:highlight w:val="none"/>
              </w:rPr>
            </w:pPr>
          </w:p>
        </w:tc>
        <w:tc>
          <w:tcPr>
            <w:tcW w:w="2476" w:type="dxa"/>
            <w:gridSpan w:val="4"/>
            <w:vAlign w:val="center"/>
          </w:tcPr>
          <w:p>
            <w:pPr>
              <w:tabs>
                <w:tab w:val="left" w:pos="1240"/>
              </w:tabs>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技</w:t>
            </w:r>
            <w:r>
              <w:rPr>
                <w:rFonts w:ascii="宋体" w:hAnsi="宋体"/>
                <w:kern w:val="0"/>
                <w:szCs w:val="21"/>
                <w:highlight w:val="none"/>
              </w:rPr>
              <w:tab/>
            </w:r>
            <w:r>
              <w:rPr>
                <w:rFonts w:hint="eastAsia" w:ascii="宋体" w:hAnsi="宋体" w:cs="MingLiU"/>
                <w:kern w:val="0"/>
                <w:szCs w:val="21"/>
                <w:highlight w:val="none"/>
              </w:rPr>
              <w:t>工</w:t>
            </w:r>
          </w:p>
        </w:tc>
        <w:tc>
          <w:tcPr>
            <w:tcW w:w="223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经营范围</w:t>
            </w:r>
          </w:p>
        </w:tc>
        <w:tc>
          <w:tcPr>
            <w:tcW w:w="7607" w:type="dxa"/>
            <w:gridSpan w:val="9"/>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备注</w:t>
            </w:r>
          </w:p>
        </w:tc>
        <w:tc>
          <w:tcPr>
            <w:tcW w:w="7607" w:type="dxa"/>
            <w:gridSpan w:val="9"/>
            <w:vAlign w:val="center"/>
          </w:tcPr>
          <w:p>
            <w:pPr>
              <w:autoSpaceDE w:val="0"/>
              <w:autoSpaceDN w:val="0"/>
              <w:adjustRightInd w:val="0"/>
              <w:snapToGrid w:val="0"/>
              <w:jc w:val="center"/>
              <w:rPr>
                <w:rFonts w:ascii="宋体" w:hAnsi="宋体"/>
                <w:kern w:val="0"/>
                <w:szCs w:val="21"/>
                <w:highlight w:val="none"/>
              </w:rPr>
            </w:pPr>
          </w:p>
        </w:tc>
      </w:tr>
    </w:tbl>
    <w:p>
      <w:pPr>
        <w:spacing w:line="360" w:lineRule="auto"/>
        <w:jc w:val="center"/>
        <w:rPr>
          <w:rFonts w:ascii="宋体" w:hAnsi="宋体"/>
          <w:szCs w:val="21"/>
          <w:highlight w:val="none"/>
        </w:rPr>
      </w:pPr>
    </w:p>
    <w:p>
      <w:pPr>
        <w:pStyle w:val="5"/>
        <w:spacing w:before="0" w:after="0" w:line="240" w:lineRule="auto"/>
        <w:jc w:val="center"/>
        <w:rPr>
          <w:rFonts w:ascii="宋体" w:hAnsi="宋体"/>
          <w:b w:val="0"/>
          <w:bCs w:val="0"/>
          <w:highlight w:val="none"/>
        </w:rPr>
      </w:pPr>
      <w:r>
        <w:rPr>
          <w:rFonts w:ascii="宋体" w:hAnsi="宋体"/>
          <w:szCs w:val="21"/>
          <w:highlight w:val="none"/>
        </w:rPr>
        <w:br w:type="page"/>
      </w:r>
      <w:bookmarkEnd w:id="1306"/>
      <w:bookmarkEnd w:id="1307"/>
      <w:bookmarkStart w:id="1308" w:name="_Toc31370"/>
      <w:bookmarkStart w:id="1309" w:name="_Toc534185840"/>
      <w:bookmarkStart w:id="1310" w:name="_Toc509218863"/>
      <w:bookmarkStart w:id="1311" w:name="_Toc277082663"/>
      <w:bookmarkStart w:id="1312" w:name="_Toc224103520"/>
      <w:bookmarkStart w:id="1313" w:name="_Toc287620839"/>
      <w:bookmarkStart w:id="1314" w:name="_Toc430530552"/>
      <w:bookmarkStart w:id="1315" w:name="_Toc287607893"/>
      <w:bookmarkStart w:id="1316" w:name="_Toc509218866"/>
      <w:bookmarkStart w:id="1317" w:name="_Toc534185843"/>
      <w:r>
        <w:rPr>
          <w:rFonts w:hint="eastAsia" w:ascii="宋体" w:hAnsi="宋体"/>
          <w:b w:val="0"/>
          <w:bCs w:val="0"/>
          <w:highlight w:val="none"/>
        </w:rPr>
        <w:t>（</w:t>
      </w:r>
      <w:r>
        <w:rPr>
          <w:rFonts w:hint="eastAsia" w:ascii="宋体" w:hAnsi="宋体"/>
          <w:b w:val="0"/>
          <w:bCs w:val="0"/>
          <w:highlight w:val="none"/>
          <w:lang w:val="en-US" w:eastAsia="zh-CN"/>
        </w:rPr>
        <w:t>三</w:t>
      </w:r>
      <w:r>
        <w:rPr>
          <w:rFonts w:hint="eastAsia" w:ascii="宋体" w:hAnsi="宋体"/>
          <w:b w:val="0"/>
          <w:bCs w:val="0"/>
          <w:highlight w:val="none"/>
        </w:rPr>
        <w:t>）项目管理机构</w:t>
      </w:r>
      <w:bookmarkEnd w:id="1308"/>
      <w:bookmarkEnd w:id="1309"/>
      <w:bookmarkEnd w:id="1310"/>
    </w:p>
    <w:p>
      <w:pPr>
        <w:spacing w:line="360" w:lineRule="auto"/>
        <w:rPr>
          <w:rFonts w:ascii="宋体" w:hAnsi="宋体"/>
          <w:highlight w:val="none"/>
        </w:rPr>
      </w:pPr>
    </w:p>
    <w:p>
      <w:pPr>
        <w:autoSpaceDE w:val="0"/>
        <w:autoSpaceDN w:val="0"/>
        <w:adjustRightInd w:val="0"/>
        <w:snapToGrid w:val="0"/>
        <w:spacing w:line="360" w:lineRule="auto"/>
        <w:jc w:val="center"/>
        <w:rPr>
          <w:rFonts w:ascii="宋体" w:hAnsi="宋体" w:cs="MingLiU"/>
          <w:kern w:val="0"/>
          <w:sz w:val="28"/>
          <w:szCs w:val="28"/>
          <w:highlight w:val="none"/>
        </w:rPr>
      </w:pPr>
      <w:r>
        <w:rPr>
          <w:rFonts w:hint="eastAsia" w:ascii="宋体" w:hAnsi="宋体" w:cs="MingLiU"/>
          <w:kern w:val="0"/>
          <w:sz w:val="28"/>
          <w:szCs w:val="28"/>
          <w:highlight w:val="none"/>
        </w:rPr>
        <w:t>项目管理机构组成表</w:t>
      </w:r>
    </w:p>
    <w:tbl>
      <w:tblPr>
        <w:tblStyle w:val="46"/>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职务</w:t>
            </w:r>
          </w:p>
        </w:tc>
        <w:tc>
          <w:tcPr>
            <w:tcW w:w="734" w:type="dxa"/>
            <w:vMerge w:val="restart"/>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姓名</w:t>
            </w:r>
          </w:p>
        </w:tc>
        <w:tc>
          <w:tcPr>
            <w:tcW w:w="776" w:type="dxa"/>
            <w:vMerge w:val="restart"/>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职称</w:t>
            </w:r>
          </w:p>
        </w:tc>
        <w:tc>
          <w:tcPr>
            <w:tcW w:w="6220" w:type="dxa"/>
            <w:gridSpan w:val="5"/>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执业或职业资格证明</w:t>
            </w:r>
          </w:p>
        </w:tc>
        <w:tc>
          <w:tcPr>
            <w:tcW w:w="896"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pPr>
              <w:autoSpaceDE w:val="0"/>
              <w:autoSpaceDN w:val="0"/>
              <w:adjustRightInd w:val="0"/>
              <w:snapToGrid w:val="0"/>
              <w:jc w:val="left"/>
              <w:rPr>
                <w:rFonts w:ascii="宋体" w:hAnsi="宋体"/>
                <w:kern w:val="0"/>
                <w:szCs w:val="21"/>
                <w:highlight w:val="none"/>
              </w:rPr>
            </w:pPr>
          </w:p>
        </w:tc>
        <w:tc>
          <w:tcPr>
            <w:tcW w:w="734" w:type="dxa"/>
            <w:vMerge w:val="continue"/>
          </w:tcPr>
          <w:p>
            <w:pPr>
              <w:autoSpaceDE w:val="0"/>
              <w:autoSpaceDN w:val="0"/>
              <w:adjustRightInd w:val="0"/>
              <w:snapToGrid w:val="0"/>
              <w:jc w:val="left"/>
              <w:rPr>
                <w:rFonts w:ascii="宋体" w:hAnsi="宋体"/>
                <w:kern w:val="0"/>
                <w:szCs w:val="21"/>
                <w:highlight w:val="none"/>
              </w:rPr>
            </w:pPr>
          </w:p>
        </w:tc>
        <w:tc>
          <w:tcPr>
            <w:tcW w:w="776" w:type="dxa"/>
            <w:vMerge w:val="continue"/>
          </w:tcPr>
          <w:p>
            <w:pPr>
              <w:autoSpaceDE w:val="0"/>
              <w:autoSpaceDN w:val="0"/>
              <w:adjustRightInd w:val="0"/>
              <w:snapToGrid w:val="0"/>
              <w:jc w:val="left"/>
              <w:rPr>
                <w:rFonts w:ascii="宋体" w:hAnsi="宋体"/>
                <w:kern w:val="0"/>
                <w:szCs w:val="21"/>
                <w:highlight w:val="none"/>
              </w:rPr>
            </w:pPr>
          </w:p>
        </w:tc>
        <w:tc>
          <w:tcPr>
            <w:tcW w:w="1167"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证书名称</w:t>
            </w:r>
          </w:p>
        </w:tc>
        <w:tc>
          <w:tcPr>
            <w:tcW w:w="776"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级别</w:t>
            </w:r>
          </w:p>
        </w:tc>
        <w:tc>
          <w:tcPr>
            <w:tcW w:w="778"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证号</w:t>
            </w:r>
          </w:p>
        </w:tc>
        <w:tc>
          <w:tcPr>
            <w:tcW w:w="776"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专业</w:t>
            </w:r>
          </w:p>
        </w:tc>
        <w:tc>
          <w:tcPr>
            <w:tcW w:w="2723"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养老保险</w:t>
            </w: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kern w:val="0"/>
                <w:szCs w:val="21"/>
                <w:highlight w:val="none"/>
              </w:rPr>
              <w:t>项目经理</w:t>
            </w: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pPr>
              <w:autoSpaceDE w:val="0"/>
              <w:autoSpaceDN w:val="0"/>
              <w:adjustRightInd w:val="0"/>
              <w:snapToGrid w:val="0"/>
              <w:jc w:val="center"/>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bl>
    <w:p>
      <w:pPr>
        <w:spacing w:line="20" w:lineRule="exact"/>
        <w:jc w:val="center"/>
        <w:rPr>
          <w:rFonts w:ascii="宋体" w:hAnsi="宋体"/>
          <w:szCs w:val="21"/>
          <w:highlight w:val="none"/>
        </w:rPr>
      </w:pPr>
    </w:p>
    <w:p>
      <w:pPr>
        <w:spacing w:line="360" w:lineRule="auto"/>
        <w:ind w:firstLine="420" w:firstLineChars="200"/>
        <w:jc w:val="center"/>
        <w:rPr>
          <w:rFonts w:ascii="宋体" w:hAnsi="宋体"/>
          <w:sz w:val="32"/>
          <w:szCs w:val="32"/>
          <w:highlight w:val="none"/>
        </w:rPr>
      </w:pPr>
      <w:r>
        <w:rPr>
          <w:rFonts w:hint="eastAsia" w:ascii="宋体" w:hAnsi="宋体"/>
          <w:szCs w:val="21"/>
          <w:highlight w:val="none"/>
        </w:rPr>
        <w:t>备注：本表仅填项目经理、</w:t>
      </w:r>
      <w:r>
        <w:rPr>
          <w:rFonts w:hint="eastAsia" w:ascii="宋体" w:hAnsi="宋体"/>
          <w:szCs w:val="21"/>
          <w:highlight w:val="none"/>
          <w:lang w:val="en-US" w:eastAsia="zh-CN"/>
        </w:rPr>
        <w:t>主要管理人员</w:t>
      </w:r>
      <w:r>
        <w:rPr>
          <w:rFonts w:hint="eastAsia" w:ascii="宋体" w:hAnsi="宋体"/>
          <w:szCs w:val="21"/>
          <w:highlight w:val="none"/>
        </w:rPr>
        <w:t>相关信息</w:t>
      </w:r>
      <w:r>
        <w:rPr>
          <w:rFonts w:ascii="宋体" w:hAnsi="宋体"/>
          <w:sz w:val="32"/>
          <w:szCs w:val="32"/>
          <w:highlight w:val="none"/>
        </w:rPr>
        <w:br w:type="page"/>
      </w:r>
      <w:r>
        <w:rPr>
          <w:rFonts w:hint="eastAsia" w:ascii="宋体" w:hAnsi="宋体"/>
          <w:sz w:val="32"/>
          <w:szCs w:val="32"/>
          <w:highlight w:val="none"/>
        </w:rPr>
        <w:t>项目经理简历表</w:t>
      </w:r>
    </w:p>
    <w:tbl>
      <w:tblPr>
        <w:tblStyle w:val="46"/>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姓名</w:t>
            </w:r>
          </w:p>
        </w:tc>
        <w:tc>
          <w:tcPr>
            <w:tcW w:w="1190" w:type="dxa"/>
            <w:gridSpan w:val="2"/>
            <w:vAlign w:val="center"/>
          </w:tcPr>
          <w:p>
            <w:pPr>
              <w:autoSpaceDE w:val="0"/>
              <w:autoSpaceDN w:val="0"/>
              <w:adjustRightInd w:val="0"/>
              <w:snapToGrid w:val="0"/>
              <w:jc w:val="center"/>
              <w:rPr>
                <w:rFonts w:ascii="宋体" w:hAnsi="宋体"/>
                <w:kern w:val="0"/>
                <w:szCs w:val="21"/>
                <w:highlight w:val="none"/>
              </w:rPr>
            </w:pPr>
          </w:p>
        </w:tc>
        <w:tc>
          <w:tcPr>
            <w:tcW w:w="1020" w:type="dxa"/>
            <w:vAlign w:val="center"/>
          </w:tcPr>
          <w:p>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年龄</w:t>
            </w:r>
          </w:p>
        </w:tc>
        <w:tc>
          <w:tcPr>
            <w:tcW w:w="1175" w:type="dxa"/>
            <w:vAlign w:val="center"/>
          </w:tcPr>
          <w:p>
            <w:pPr>
              <w:autoSpaceDE w:val="0"/>
              <w:autoSpaceDN w:val="0"/>
              <w:adjustRightInd w:val="0"/>
              <w:snapToGrid w:val="0"/>
              <w:jc w:val="center"/>
              <w:rPr>
                <w:rFonts w:ascii="宋体" w:hAnsi="宋体"/>
                <w:kern w:val="0"/>
                <w:szCs w:val="21"/>
                <w:highlight w:val="none"/>
              </w:rPr>
            </w:pPr>
          </w:p>
        </w:tc>
        <w:tc>
          <w:tcPr>
            <w:tcW w:w="2346" w:type="dxa"/>
            <w:gridSpan w:val="3"/>
            <w:vAlign w:val="center"/>
          </w:tcPr>
          <w:p>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学历</w:t>
            </w:r>
          </w:p>
        </w:tc>
        <w:tc>
          <w:tcPr>
            <w:tcW w:w="2528" w:type="dxa"/>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职称</w:t>
            </w:r>
          </w:p>
        </w:tc>
        <w:tc>
          <w:tcPr>
            <w:tcW w:w="1190" w:type="dxa"/>
            <w:gridSpan w:val="2"/>
            <w:vAlign w:val="center"/>
          </w:tcPr>
          <w:p>
            <w:pPr>
              <w:autoSpaceDE w:val="0"/>
              <w:autoSpaceDN w:val="0"/>
              <w:adjustRightInd w:val="0"/>
              <w:snapToGrid w:val="0"/>
              <w:jc w:val="center"/>
              <w:rPr>
                <w:rFonts w:ascii="宋体" w:hAnsi="宋体"/>
                <w:kern w:val="0"/>
                <w:szCs w:val="21"/>
                <w:highlight w:val="none"/>
              </w:rPr>
            </w:pPr>
          </w:p>
        </w:tc>
        <w:tc>
          <w:tcPr>
            <w:tcW w:w="1020" w:type="dxa"/>
            <w:vAlign w:val="center"/>
          </w:tcPr>
          <w:p>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职务</w:t>
            </w:r>
          </w:p>
        </w:tc>
        <w:tc>
          <w:tcPr>
            <w:tcW w:w="1175" w:type="dxa"/>
            <w:vAlign w:val="center"/>
          </w:tcPr>
          <w:p>
            <w:pPr>
              <w:autoSpaceDE w:val="0"/>
              <w:autoSpaceDN w:val="0"/>
              <w:adjustRightInd w:val="0"/>
              <w:snapToGrid w:val="0"/>
              <w:jc w:val="center"/>
              <w:rPr>
                <w:rFonts w:ascii="宋体" w:hAnsi="宋体"/>
                <w:kern w:val="0"/>
                <w:szCs w:val="21"/>
                <w:highlight w:val="none"/>
              </w:rPr>
            </w:pPr>
          </w:p>
        </w:tc>
        <w:tc>
          <w:tcPr>
            <w:tcW w:w="2346" w:type="dxa"/>
            <w:gridSpan w:val="3"/>
            <w:vAlign w:val="center"/>
          </w:tcPr>
          <w:p>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拟在本合同任职</w:t>
            </w:r>
          </w:p>
        </w:tc>
        <w:tc>
          <w:tcPr>
            <w:tcW w:w="2528" w:type="dxa"/>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毕业学校</w:t>
            </w:r>
          </w:p>
        </w:tc>
        <w:tc>
          <w:tcPr>
            <w:tcW w:w="8259" w:type="dxa"/>
            <w:gridSpan w:val="8"/>
            <w:vAlign w:val="center"/>
          </w:tcPr>
          <w:p>
            <w:pPr>
              <w:tabs>
                <w:tab w:val="left" w:pos="2820"/>
                <w:tab w:val="left" w:pos="4080"/>
              </w:tabs>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年</w:t>
            </w:r>
            <w:r>
              <w:rPr>
                <w:rFonts w:ascii="宋体" w:hAnsi="宋体"/>
                <w:spacing w:val="-1"/>
                <w:kern w:val="0"/>
                <w:szCs w:val="21"/>
                <w:highlight w:val="none"/>
              </w:rPr>
              <w:t>毕</w:t>
            </w:r>
            <w:r>
              <w:rPr>
                <w:rFonts w:ascii="宋体" w:hAnsi="宋体"/>
                <w:kern w:val="0"/>
                <w:szCs w:val="21"/>
                <w:highlight w:val="none"/>
              </w:rPr>
              <w:t>业于</w:t>
            </w:r>
            <w:r>
              <w:rPr>
                <w:rFonts w:ascii="宋体" w:hAnsi="宋体"/>
                <w:kern w:val="0"/>
                <w:szCs w:val="21"/>
                <w:highlight w:val="none"/>
              </w:rPr>
              <w:tab/>
            </w:r>
            <w:r>
              <w:rPr>
                <w:rFonts w:ascii="宋体" w:hAnsi="宋体"/>
                <w:kern w:val="0"/>
                <w:szCs w:val="21"/>
                <w:highlight w:val="none"/>
              </w:rPr>
              <w:t>学校</w:t>
            </w:r>
            <w:r>
              <w:rPr>
                <w:rFonts w:ascii="宋体" w:hAnsi="宋体"/>
                <w:kern w:val="0"/>
                <w:szCs w:val="21"/>
                <w:highlight w:val="none"/>
              </w:rPr>
              <w:tab/>
            </w:r>
            <w:r>
              <w:rPr>
                <w:rFonts w:ascii="宋体" w:hAnsi="宋体"/>
                <w:kern w:val="0"/>
                <w:szCs w:val="21"/>
                <w:highlight w:val="none"/>
              </w:rPr>
              <w:t>专业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主要工作经历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tabs>
                <w:tab w:val="left" w:pos="520"/>
              </w:tabs>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时间</w:t>
            </w:r>
          </w:p>
        </w:tc>
        <w:tc>
          <w:tcPr>
            <w:tcW w:w="3768" w:type="dxa"/>
            <w:gridSpan w:val="4"/>
            <w:vAlign w:val="center"/>
          </w:tcPr>
          <w:p>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参加过的类似项目</w:t>
            </w:r>
          </w:p>
        </w:tc>
        <w:tc>
          <w:tcPr>
            <w:tcW w:w="1388" w:type="dxa"/>
            <w:vAlign w:val="center"/>
          </w:tcPr>
          <w:p>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担任职务</w:t>
            </w:r>
          </w:p>
        </w:tc>
        <w:tc>
          <w:tcPr>
            <w:tcW w:w="2706" w:type="dxa"/>
            <w:gridSpan w:val="2"/>
            <w:vAlign w:val="center"/>
          </w:tcPr>
          <w:p>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发包人及联系电话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kern w:val="0"/>
                <w:szCs w:val="21"/>
                <w:highlight w:val="none"/>
              </w:rPr>
            </w:pPr>
          </w:p>
        </w:tc>
        <w:tc>
          <w:tcPr>
            <w:tcW w:w="1388" w:type="dxa"/>
            <w:vAlign w:val="center"/>
          </w:tcPr>
          <w:p>
            <w:pPr>
              <w:autoSpaceDE w:val="0"/>
              <w:autoSpaceDN w:val="0"/>
              <w:adjustRightInd w:val="0"/>
              <w:snapToGrid w:val="0"/>
              <w:jc w:val="center"/>
              <w:rPr>
                <w:rFonts w:ascii="宋体" w:hAnsi="宋体"/>
                <w:kern w:val="0"/>
                <w:szCs w:val="21"/>
                <w:highlight w:val="none"/>
              </w:rPr>
            </w:pPr>
          </w:p>
        </w:tc>
        <w:tc>
          <w:tcPr>
            <w:tcW w:w="270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kern w:val="0"/>
                <w:szCs w:val="21"/>
                <w:highlight w:val="none"/>
              </w:rPr>
            </w:pPr>
          </w:p>
        </w:tc>
        <w:tc>
          <w:tcPr>
            <w:tcW w:w="1388" w:type="dxa"/>
            <w:vAlign w:val="center"/>
          </w:tcPr>
          <w:p>
            <w:pPr>
              <w:autoSpaceDE w:val="0"/>
              <w:autoSpaceDN w:val="0"/>
              <w:adjustRightInd w:val="0"/>
              <w:snapToGrid w:val="0"/>
              <w:jc w:val="center"/>
              <w:rPr>
                <w:rFonts w:ascii="宋体" w:hAnsi="宋体"/>
                <w:kern w:val="0"/>
                <w:szCs w:val="21"/>
                <w:highlight w:val="none"/>
              </w:rPr>
            </w:pPr>
          </w:p>
        </w:tc>
        <w:tc>
          <w:tcPr>
            <w:tcW w:w="270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kern w:val="0"/>
                <w:szCs w:val="21"/>
                <w:highlight w:val="none"/>
              </w:rPr>
            </w:pPr>
          </w:p>
        </w:tc>
        <w:tc>
          <w:tcPr>
            <w:tcW w:w="1388" w:type="dxa"/>
            <w:vAlign w:val="center"/>
          </w:tcPr>
          <w:p>
            <w:pPr>
              <w:autoSpaceDE w:val="0"/>
              <w:autoSpaceDN w:val="0"/>
              <w:adjustRightInd w:val="0"/>
              <w:snapToGrid w:val="0"/>
              <w:jc w:val="center"/>
              <w:rPr>
                <w:rFonts w:ascii="宋体" w:hAnsi="宋体"/>
                <w:kern w:val="0"/>
                <w:szCs w:val="21"/>
                <w:highlight w:val="none"/>
              </w:rPr>
            </w:pPr>
          </w:p>
        </w:tc>
        <w:tc>
          <w:tcPr>
            <w:tcW w:w="270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kern w:val="0"/>
                <w:szCs w:val="21"/>
                <w:highlight w:val="none"/>
              </w:rPr>
            </w:pPr>
          </w:p>
        </w:tc>
        <w:tc>
          <w:tcPr>
            <w:tcW w:w="1388" w:type="dxa"/>
            <w:vAlign w:val="center"/>
          </w:tcPr>
          <w:p>
            <w:pPr>
              <w:autoSpaceDE w:val="0"/>
              <w:autoSpaceDN w:val="0"/>
              <w:adjustRightInd w:val="0"/>
              <w:snapToGrid w:val="0"/>
              <w:jc w:val="center"/>
              <w:rPr>
                <w:rFonts w:ascii="宋体" w:hAnsi="宋体"/>
                <w:kern w:val="0"/>
                <w:szCs w:val="21"/>
                <w:highlight w:val="none"/>
              </w:rPr>
            </w:pPr>
          </w:p>
        </w:tc>
        <w:tc>
          <w:tcPr>
            <w:tcW w:w="270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kern w:val="0"/>
                <w:szCs w:val="21"/>
                <w:highlight w:val="none"/>
              </w:rPr>
            </w:pPr>
          </w:p>
        </w:tc>
        <w:tc>
          <w:tcPr>
            <w:tcW w:w="1388" w:type="dxa"/>
            <w:vAlign w:val="center"/>
          </w:tcPr>
          <w:p>
            <w:pPr>
              <w:autoSpaceDE w:val="0"/>
              <w:autoSpaceDN w:val="0"/>
              <w:adjustRightInd w:val="0"/>
              <w:snapToGrid w:val="0"/>
              <w:jc w:val="center"/>
              <w:rPr>
                <w:rFonts w:ascii="宋体" w:hAnsi="宋体"/>
                <w:kern w:val="0"/>
                <w:szCs w:val="21"/>
                <w:highlight w:val="none"/>
              </w:rPr>
            </w:pPr>
          </w:p>
        </w:tc>
        <w:tc>
          <w:tcPr>
            <w:tcW w:w="270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kern w:val="0"/>
                <w:szCs w:val="21"/>
                <w:highlight w:val="none"/>
              </w:rPr>
            </w:pPr>
          </w:p>
        </w:tc>
        <w:tc>
          <w:tcPr>
            <w:tcW w:w="1388" w:type="dxa"/>
            <w:vAlign w:val="center"/>
          </w:tcPr>
          <w:p>
            <w:pPr>
              <w:autoSpaceDE w:val="0"/>
              <w:autoSpaceDN w:val="0"/>
              <w:adjustRightInd w:val="0"/>
              <w:snapToGrid w:val="0"/>
              <w:jc w:val="center"/>
              <w:rPr>
                <w:rFonts w:ascii="宋体" w:hAnsi="宋体"/>
                <w:kern w:val="0"/>
                <w:szCs w:val="21"/>
                <w:highlight w:val="none"/>
              </w:rPr>
            </w:pPr>
          </w:p>
        </w:tc>
        <w:tc>
          <w:tcPr>
            <w:tcW w:w="270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kern w:val="0"/>
                <w:szCs w:val="21"/>
                <w:highlight w:val="none"/>
              </w:rPr>
            </w:pPr>
          </w:p>
        </w:tc>
        <w:tc>
          <w:tcPr>
            <w:tcW w:w="1388" w:type="dxa"/>
            <w:vAlign w:val="center"/>
          </w:tcPr>
          <w:p>
            <w:pPr>
              <w:autoSpaceDE w:val="0"/>
              <w:autoSpaceDN w:val="0"/>
              <w:adjustRightInd w:val="0"/>
              <w:snapToGrid w:val="0"/>
              <w:jc w:val="center"/>
              <w:rPr>
                <w:rFonts w:ascii="宋体" w:hAnsi="宋体"/>
                <w:kern w:val="0"/>
                <w:szCs w:val="21"/>
                <w:highlight w:val="none"/>
              </w:rPr>
            </w:pPr>
          </w:p>
        </w:tc>
        <w:tc>
          <w:tcPr>
            <w:tcW w:w="270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kern w:val="0"/>
                <w:szCs w:val="21"/>
                <w:highlight w:val="none"/>
              </w:rPr>
            </w:pPr>
          </w:p>
        </w:tc>
        <w:tc>
          <w:tcPr>
            <w:tcW w:w="1388" w:type="dxa"/>
            <w:vAlign w:val="center"/>
          </w:tcPr>
          <w:p>
            <w:pPr>
              <w:autoSpaceDE w:val="0"/>
              <w:autoSpaceDN w:val="0"/>
              <w:adjustRightInd w:val="0"/>
              <w:snapToGrid w:val="0"/>
              <w:jc w:val="center"/>
              <w:rPr>
                <w:rFonts w:ascii="宋体" w:hAnsi="宋体"/>
                <w:kern w:val="0"/>
                <w:szCs w:val="21"/>
                <w:highlight w:val="none"/>
              </w:rPr>
            </w:pPr>
          </w:p>
        </w:tc>
        <w:tc>
          <w:tcPr>
            <w:tcW w:w="270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kern w:val="0"/>
                <w:szCs w:val="21"/>
                <w:highlight w:val="none"/>
              </w:rPr>
            </w:pPr>
          </w:p>
        </w:tc>
        <w:tc>
          <w:tcPr>
            <w:tcW w:w="1388" w:type="dxa"/>
            <w:vAlign w:val="center"/>
          </w:tcPr>
          <w:p>
            <w:pPr>
              <w:autoSpaceDE w:val="0"/>
              <w:autoSpaceDN w:val="0"/>
              <w:adjustRightInd w:val="0"/>
              <w:snapToGrid w:val="0"/>
              <w:jc w:val="center"/>
              <w:rPr>
                <w:rFonts w:ascii="宋体" w:hAnsi="宋体"/>
                <w:kern w:val="0"/>
                <w:szCs w:val="21"/>
                <w:highlight w:val="none"/>
              </w:rPr>
            </w:pPr>
          </w:p>
        </w:tc>
        <w:tc>
          <w:tcPr>
            <w:tcW w:w="270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kern w:val="0"/>
                <w:szCs w:val="21"/>
                <w:highlight w:val="none"/>
              </w:rPr>
            </w:pPr>
          </w:p>
        </w:tc>
        <w:tc>
          <w:tcPr>
            <w:tcW w:w="1388" w:type="dxa"/>
            <w:vAlign w:val="center"/>
          </w:tcPr>
          <w:p>
            <w:pPr>
              <w:autoSpaceDE w:val="0"/>
              <w:autoSpaceDN w:val="0"/>
              <w:adjustRightInd w:val="0"/>
              <w:snapToGrid w:val="0"/>
              <w:jc w:val="center"/>
              <w:rPr>
                <w:rFonts w:ascii="宋体" w:hAnsi="宋体"/>
                <w:kern w:val="0"/>
                <w:szCs w:val="21"/>
                <w:highlight w:val="none"/>
              </w:rPr>
            </w:pPr>
          </w:p>
        </w:tc>
        <w:tc>
          <w:tcPr>
            <w:tcW w:w="270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kern w:val="0"/>
                <w:szCs w:val="21"/>
                <w:highlight w:val="none"/>
              </w:rPr>
            </w:pPr>
          </w:p>
        </w:tc>
        <w:tc>
          <w:tcPr>
            <w:tcW w:w="1388" w:type="dxa"/>
            <w:vAlign w:val="center"/>
          </w:tcPr>
          <w:p>
            <w:pPr>
              <w:autoSpaceDE w:val="0"/>
              <w:autoSpaceDN w:val="0"/>
              <w:adjustRightInd w:val="0"/>
              <w:snapToGrid w:val="0"/>
              <w:jc w:val="center"/>
              <w:rPr>
                <w:rFonts w:ascii="宋体" w:hAnsi="宋体"/>
                <w:kern w:val="0"/>
                <w:szCs w:val="21"/>
                <w:highlight w:val="none"/>
              </w:rPr>
            </w:pPr>
          </w:p>
        </w:tc>
        <w:tc>
          <w:tcPr>
            <w:tcW w:w="270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kern w:val="0"/>
                <w:szCs w:val="21"/>
                <w:highlight w:val="none"/>
              </w:rPr>
            </w:pPr>
          </w:p>
        </w:tc>
        <w:tc>
          <w:tcPr>
            <w:tcW w:w="1388" w:type="dxa"/>
            <w:vAlign w:val="center"/>
          </w:tcPr>
          <w:p>
            <w:pPr>
              <w:autoSpaceDE w:val="0"/>
              <w:autoSpaceDN w:val="0"/>
              <w:adjustRightInd w:val="0"/>
              <w:snapToGrid w:val="0"/>
              <w:jc w:val="center"/>
              <w:rPr>
                <w:rFonts w:ascii="宋体" w:hAnsi="宋体"/>
                <w:kern w:val="0"/>
                <w:szCs w:val="21"/>
                <w:highlight w:val="none"/>
              </w:rPr>
            </w:pPr>
          </w:p>
        </w:tc>
        <w:tc>
          <w:tcPr>
            <w:tcW w:w="270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kern w:val="0"/>
                <w:szCs w:val="21"/>
                <w:highlight w:val="none"/>
              </w:rPr>
            </w:pPr>
          </w:p>
        </w:tc>
        <w:tc>
          <w:tcPr>
            <w:tcW w:w="1388" w:type="dxa"/>
            <w:vAlign w:val="center"/>
          </w:tcPr>
          <w:p>
            <w:pPr>
              <w:autoSpaceDE w:val="0"/>
              <w:autoSpaceDN w:val="0"/>
              <w:adjustRightInd w:val="0"/>
              <w:snapToGrid w:val="0"/>
              <w:jc w:val="center"/>
              <w:rPr>
                <w:rFonts w:ascii="宋体" w:hAnsi="宋体"/>
                <w:kern w:val="0"/>
                <w:szCs w:val="21"/>
                <w:highlight w:val="none"/>
              </w:rPr>
            </w:pPr>
          </w:p>
        </w:tc>
        <w:tc>
          <w:tcPr>
            <w:tcW w:w="2706" w:type="dxa"/>
            <w:gridSpan w:val="2"/>
            <w:vAlign w:val="center"/>
          </w:tcPr>
          <w:p>
            <w:pPr>
              <w:autoSpaceDE w:val="0"/>
              <w:autoSpaceDN w:val="0"/>
              <w:adjustRightInd w:val="0"/>
              <w:snapToGrid w:val="0"/>
              <w:jc w:val="center"/>
              <w:rPr>
                <w:rFonts w:ascii="宋体" w:hAnsi="宋体"/>
                <w:kern w:val="0"/>
                <w:szCs w:val="21"/>
                <w:highlight w:val="none"/>
              </w:rPr>
            </w:pPr>
          </w:p>
        </w:tc>
      </w:tr>
    </w:tbl>
    <w:p>
      <w:pPr>
        <w:spacing w:line="360" w:lineRule="auto"/>
        <w:rPr>
          <w:rFonts w:ascii="宋体" w:hAnsi="宋体"/>
          <w:highlight w:val="none"/>
        </w:rPr>
      </w:pPr>
      <w:bookmarkStart w:id="1318" w:name="_Toc224103515"/>
    </w:p>
    <w:bookmarkEnd w:id="1318"/>
    <w:p>
      <w:pPr>
        <w:adjustRightInd w:val="0"/>
        <w:snapToGrid w:val="0"/>
        <w:spacing w:line="360" w:lineRule="auto"/>
        <w:rPr>
          <w:rFonts w:ascii="宋体" w:hAnsi="宋体"/>
          <w:highlight w:val="none"/>
        </w:rPr>
      </w:pPr>
    </w:p>
    <w:bookmarkEnd w:id="1311"/>
    <w:bookmarkEnd w:id="1312"/>
    <w:bookmarkEnd w:id="1313"/>
    <w:bookmarkEnd w:id="1314"/>
    <w:bookmarkEnd w:id="1315"/>
    <w:p>
      <w:pPr>
        <w:pStyle w:val="5"/>
        <w:spacing w:before="0" w:after="0" w:line="360" w:lineRule="auto"/>
        <w:jc w:val="center"/>
        <w:rPr>
          <w:rFonts w:ascii="宋体" w:hAnsi="宋体"/>
          <w:b w:val="0"/>
          <w:highlight w:val="none"/>
        </w:rPr>
      </w:pPr>
      <w:bookmarkStart w:id="1319" w:name="_Toc11964"/>
      <w:r>
        <w:rPr>
          <w:rFonts w:ascii="宋体" w:hAnsi="宋体"/>
          <w:b w:val="0"/>
          <w:highlight w:val="none"/>
        </w:rPr>
        <w:t>（</w:t>
      </w:r>
      <w:r>
        <w:rPr>
          <w:rFonts w:hint="eastAsia" w:ascii="宋体" w:hAnsi="宋体"/>
          <w:b w:val="0"/>
          <w:highlight w:val="none"/>
          <w:lang w:val="en-US" w:eastAsia="zh-CN"/>
        </w:rPr>
        <w:t>四</w:t>
      </w:r>
      <w:r>
        <w:rPr>
          <w:rFonts w:ascii="宋体" w:hAnsi="宋体"/>
          <w:b w:val="0"/>
          <w:highlight w:val="none"/>
        </w:rPr>
        <w:t>）</w:t>
      </w:r>
      <w:r>
        <w:rPr>
          <w:rFonts w:hint="eastAsia" w:ascii="宋体" w:hAnsi="宋体"/>
          <w:b w:val="0"/>
          <w:highlight w:val="none"/>
        </w:rPr>
        <w:t>承诺</w:t>
      </w:r>
      <w:bookmarkEnd w:id="1319"/>
    </w:p>
    <w:p>
      <w:pPr>
        <w:snapToGrid w:val="0"/>
        <w:spacing w:line="380" w:lineRule="exact"/>
        <w:rPr>
          <w:rFonts w:ascii="宋体" w:hAnsi="宋体"/>
          <w:szCs w:val="21"/>
          <w:highlight w:val="none"/>
          <w:u w:val="single"/>
        </w:rPr>
      </w:pPr>
      <w:r>
        <w:rPr>
          <w:rFonts w:hint="eastAsia" w:ascii="宋体" w:hAnsi="宋体"/>
          <w:szCs w:val="21"/>
          <w:highlight w:val="none"/>
          <w:u w:val="single"/>
        </w:rPr>
        <w:t xml:space="preserve">        （</w:t>
      </w:r>
      <w:r>
        <w:rPr>
          <w:rFonts w:hint="eastAsia" w:ascii="宋体" w:hAnsi="宋体"/>
          <w:szCs w:val="21"/>
          <w:highlight w:val="none"/>
          <w:u w:val="single"/>
          <w:lang w:eastAsia="zh-CN"/>
        </w:rPr>
        <w:t>比选人</w:t>
      </w:r>
      <w:r>
        <w:rPr>
          <w:rFonts w:hint="eastAsia" w:ascii="宋体" w:hAnsi="宋体"/>
          <w:szCs w:val="21"/>
          <w:highlight w:val="none"/>
          <w:u w:val="single"/>
        </w:rPr>
        <w:t>名称）</w:t>
      </w:r>
      <w:r>
        <w:rPr>
          <w:rFonts w:hint="eastAsia" w:ascii="宋体" w:hAnsi="宋体"/>
          <w:szCs w:val="21"/>
          <w:highlight w:val="none"/>
        </w:rPr>
        <w:t>：</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我公司</w:t>
      </w:r>
      <w:r>
        <w:rPr>
          <w:rFonts w:hint="eastAsia" w:ascii="宋体" w:hAnsi="宋体"/>
          <w:szCs w:val="21"/>
          <w:highlight w:val="none"/>
          <w:u w:val="single"/>
        </w:rPr>
        <w:t xml:space="preserve">        （</w:t>
      </w:r>
      <w:r>
        <w:rPr>
          <w:rFonts w:hint="eastAsia" w:ascii="宋体" w:hAnsi="宋体"/>
          <w:szCs w:val="21"/>
          <w:highlight w:val="none"/>
          <w:u w:val="single"/>
          <w:lang w:val="en-US" w:eastAsia="zh-CN"/>
        </w:rPr>
        <w:t>竞选</w:t>
      </w:r>
      <w:r>
        <w:rPr>
          <w:rFonts w:hint="eastAsia" w:ascii="宋体" w:hAnsi="宋体"/>
          <w:szCs w:val="21"/>
          <w:highlight w:val="none"/>
          <w:u w:val="single"/>
        </w:rPr>
        <w:t>人名称）</w:t>
      </w:r>
      <w:r>
        <w:rPr>
          <w:rFonts w:hint="eastAsia" w:ascii="宋体" w:hAnsi="宋体"/>
          <w:szCs w:val="21"/>
          <w:highlight w:val="none"/>
        </w:rPr>
        <w:t>参加了贵单位</w:t>
      </w:r>
      <w:r>
        <w:rPr>
          <w:rFonts w:hint="eastAsia" w:ascii="宋体" w:hAnsi="宋体"/>
          <w:szCs w:val="21"/>
          <w:highlight w:val="none"/>
          <w:u w:val="single"/>
        </w:rPr>
        <w:t xml:space="preserve">        （项目名称）</w:t>
      </w:r>
      <w:r>
        <w:rPr>
          <w:rFonts w:hint="eastAsia" w:ascii="宋体" w:hAnsi="宋体"/>
          <w:szCs w:val="21"/>
          <w:highlight w:val="none"/>
        </w:rPr>
        <w:t>的投标，自愿作出以下承诺：</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1、我公司投标截止日投标资格情况不存在下列情形之一：</w:t>
      </w:r>
    </w:p>
    <w:p>
      <w:pPr>
        <w:snapToGrid w:val="0"/>
        <w:spacing w:line="380" w:lineRule="exact"/>
        <w:ind w:firstLine="420" w:firstLineChars="200"/>
        <w:jc w:val="left"/>
        <w:rPr>
          <w:rFonts w:ascii="宋体" w:hAnsi="宋体"/>
          <w:szCs w:val="21"/>
          <w:highlight w:val="none"/>
        </w:rPr>
      </w:pPr>
      <w:r>
        <w:rPr>
          <w:rFonts w:hint="eastAsia" w:ascii="宋体" w:hAnsi="宋体"/>
          <w:szCs w:val="21"/>
          <w:highlight w:val="none"/>
        </w:rPr>
        <w:t>（1）被人民法院列入失信被执行人名单且在被执行期内；</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（2）被列入《重庆市工程建设领域招标投标信用管理暂行办法》规定的重点关注名单且记分达到12分且在记分有效期内；</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（3）被列入《重庆市工程建设领域招标投标信用管理暂行办法》规定的黑名单且在记分有效期内；</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（4）被国家、重庆市（含市或任意区县）有关行政部门处以暂停投标资格行政处罚，且在处罚期限内；</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（5）被重庆市</w:t>
      </w:r>
      <w:r>
        <w:rPr>
          <w:rFonts w:hint="eastAsia" w:ascii="宋体" w:hAnsi="宋体"/>
          <w:szCs w:val="21"/>
          <w:highlight w:val="none"/>
          <w:lang w:eastAsia="zh-CN"/>
        </w:rPr>
        <w:t>市级有关行业</w:t>
      </w:r>
      <w:r>
        <w:rPr>
          <w:rFonts w:hint="eastAsia" w:ascii="宋体" w:hAnsi="宋体"/>
          <w:szCs w:val="21"/>
          <w:highlight w:val="none"/>
        </w:rPr>
        <w:t>主管部门暂停在渝承揽新业务且在暂停期内。</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2、我公司拟派的项目经理按注册建造师的相关规定到岗履职和未被禁止参与投标。</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2.1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2.2拟派的项目经理未被重庆市</w:t>
      </w:r>
      <w:r>
        <w:rPr>
          <w:rFonts w:hint="eastAsia" w:ascii="宋体" w:hAnsi="宋体"/>
          <w:szCs w:val="21"/>
          <w:highlight w:val="none"/>
          <w:lang w:eastAsia="zh-CN"/>
        </w:rPr>
        <w:t>市级有关行业</w:t>
      </w:r>
      <w:r>
        <w:rPr>
          <w:rFonts w:hint="eastAsia" w:ascii="宋体" w:hAnsi="宋体"/>
          <w:szCs w:val="21"/>
          <w:highlight w:val="none"/>
        </w:rPr>
        <w:t>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2.3为保证我公司拟派的项目经理到本项目到岗履职，我公司还承诺：</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若我公司拟派本项目的项目经理有在其他项目任职的情形的（或有在其他项目中标或拟中标的情形的），应在收到中标通知书后</w:t>
      </w:r>
      <w:r>
        <w:rPr>
          <w:rFonts w:hint="eastAsia" w:ascii="宋体" w:hAnsi="宋体"/>
          <w:szCs w:val="21"/>
          <w:highlight w:val="none"/>
          <w:u w:val="single"/>
        </w:rPr>
        <w:t xml:space="preserve"> 14 </w:t>
      </w:r>
      <w:r>
        <w:rPr>
          <w:rFonts w:hint="eastAsia" w:ascii="宋体" w:hAnsi="宋体"/>
          <w:szCs w:val="21"/>
          <w:highlight w:val="none"/>
        </w:rPr>
        <w:t>日（7～30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招标文件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若我公司拟派项目经理放弃在其他项目任职的将提供：①经业主或建设单位同意任职变更的文件；②负责项目监管的行业行政主管部门出具同意任职变更的证明材料。</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若我公司拟派项目经理放弃在其他项目中标或拟中标的将提供：①经中标或拟中标的其他项目建设单位同意的放弃中标函。</w:t>
      </w:r>
    </w:p>
    <w:p>
      <w:pPr>
        <w:numPr>
          <w:ilvl w:val="0"/>
          <w:numId w:val="2"/>
        </w:numPr>
        <w:snapToGrid w:val="0"/>
        <w:spacing w:line="380" w:lineRule="exact"/>
        <w:ind w:firstLine="420" w:firstLineChars="200"/>
        <w:rPr>
          <w:rFonts w:ascii="宋体" w:hAnsi="宋体"/>
          <w:szCs w:val="21"/>
          <w:highlight w:val="none"/>
        </w:rPr>
      </w:pPr>
      <w:r>
        <w:rPr>
          <w:rFonts w:hint="eastAsia" w:ascii="宋体" w:hAnsi="宋体"/>
          <w:szCs w:val="21"/>
          <w:highlight w:val="none"/>
        </w:rPr>
        <w:t>我公司若中标，在签订合同之前，将按照建设行政主管部门的要求组建施工项目部，配置项目管理班子，出具任命文件。任命文件应当明确施工项目部的职责、岗位设置、人员配备，并书面通知</w:t>
      </w:r>
      <w:r>
        <w:rPr>
          <w:rFonts w:hint="eastAsia" w:ascii="宋体" w:hAnsi="宋体"/>
          <w:szCs w:val="21"/>
          <w:highlight w:val="none"/>
          <w:lang w:val="en-US" w:eastAsia="zh-CN"/>
        </w:rPr>
        <w:t>贵单位</w:t>
      </w:r>
      <w:r>
        <w:rPr>
          <w:rFonts w:hint="eastAsia" w:ascii="宋体" w:hAnsi="宋体"/>
          <w:szCs w:val="21"/>
          <w:highlight w:val="none"/>
        </w:rPr>
        <w:t>。相关岗位管理人员应持有建设行政主管部门要求的岗位证书，并提供我公司为其缴纳的养老保险证明材料。中标后不能满足该要求的，取消我公司中标资格，给</w:t>
      </w:r>
      <w:r>
        <w:rPr>
          <w:rFonts w:hint="eastAsia" w:ascii="宋体" w:hAnsi="宋体"/>
          <w:szCs w:val="21"/>
          <w:highlight w:val="none"/>
          <w:lang w:val="en-US" w:eastAsia="zh-CN"/>
        </w:rPr>
        <w:t>贵单位</w:t>
      </w:r>
      <w:r>
        <w:rPr>
          <w:rFonts w:hint="eastAsia" w:ascii="宋体" w:hAnsi="宋体"/>
          <w:szCs w:val="21"/>
          <w:highlight w:val="none"/>
        </w:rPr>
        <w:t>造成损失的，我公司依法承担违约赔偿责任。</w:t>
      </w:r>
    </w:p>
    <w:p>
      <w:pPr>
        <w:numPr>
          <w:ilvl w:val="0"/>
          <w:numId w:val="2"/>
        </w:numPr>
        <w:snapToGrid w:val="0"/>
        <w:spacing w:line="380" w:lineRule="exact"/>
        <w:ind w:firstLine="420" w:firstLineChars="200"/>
        <w:rPr>
          <w:rFonts w:ascii="宋体" w:hAnsi="宋体"/>
          <w:szCs w:val="21"/>
          <w:highlight w:val="none"/>
        </w:rPr>
      </w:pPr>
      <w:r>
        <w:rPr>
          <w:rFonts w:hint="eastAsia" w:ascii="宋体" w:hAnsi="宋体"/>
          <w:szCs w:val="21"/>
          <w:highlight w:val="none"/>
        </w:rPr>
        <w:t>我公司承诺：</w:t>
      </w:r>
      <w:r>
        <w:rPr>
          <w:rFonts w:hint="eastAsia" w:ascii="宋体" w:hAnsi="宋体"/>
          <w:szCs w:val="21"/>
          <w:highlight w:val="none"/>
          <w:lang w:val="en-US" w:eastAsia="zh-CN"/>
        </w:rPr>
        <w:t>技术标准</w:t>
      </w:r>
      <w:r>
        <w:rPr>
          <w:rFonts w:hint="eastAsia" w:ascii="宋体" w:hAnsi="宋体"/>
          <w:szCs w:val="21"/>
          <w:highlight w:val="none"/>
        </w:rPr>
        <w:t>给出的范围及数量内容不得修改，每项综合单价报价不得高于对应综合单价最高限价。</w:t>
      </w:r>
      <w:r>
        <w:rPr>
          <w:rFonts w:hint="eastAsia" w:ascii="宋体" w:hAnsi="宋体"/>
          <w:szCs w:val="21"/>
          <w:highlight w:val="none"/>
          <w:lang w:val="en-US" w:eastAsia="zh-CN"/>
        </w:rPr>
        <w:t>贵单位</w:t>
      </w:r>
      <w:r>
        <w:rPr>
          <w:rFonts w:hint="eastAsia" w:ascii="宋体" w:hAnsi="宋体"/>
          <w:szCs w:val="21"/>
          <w:highlight w:val="none"/>
        </w:rPr>
        <w:t>可在合同签订前对我公司已标价</w:t>
      </w:r>
      <w:r>
        <w:rPr>
          <w:rFonts w:hint="eastAsia" w:ascii="宋体" w:hAnsi="宋体"/>
          <w:szCs w:val="21"/>
          <w:highlight w:val="none"/>
          <w:lang w:val="en-US" w:eastAsia="zh-CN"/>
        </w:rPr>
        <w:t>综合单价</w:t>
      </w:r>
      <w:r>
        <w:rPr>
          <w:rFonts w:hint="eastAsia" w:ascii="宋体" w:hAnsi="宋体"/>
          <w:szCs w:val="21"/>
          <w:highlight w:val="none"/>
        </w:rPr>
        <w:t>进行清标。若发现我公司的综合单价报价超过</w:t>
      </w:r>
      <w:r>
        <w:rPr>
          <w:rFonts w:hint="eastAsia" w:ascii="宋体" w:hAnsi="宋体"/>
          <w:szCs w:val="21"/>
          <w:highlight w:val="none"/>
          <w:lang w:val="en-US" w:eastAsia="zh-CN"/>
        </w:rPr>
        <w:t>比选</w:t>
      </w:r>
      <w:r>
        <w:rPr>
          <w:rFonts w:hint="eastAsia" w:ascii="宋体" w:hAnsi="宋体"/>
          <w:szCs w:val="21"/>
          <w:highlight w:val="none"/>
        </w:rPr>
        <w:t>时给出的综合单价最高限价的，在工程结算时</w:t>
      </w:r>
      <w:r>
        <w:rPr>
          <w:rFonts w:hint="eastAsia" w:ascii="宋体" w:hAnsi="宋体"/>
          <w:szCs w:val="21"/>
          <w:highlight w:val="none"/>
          <w:lang w:val="en-US" w:eastAsia="zh-CN"/>
        </w:rPr>
        <w:t>贵单位</w:t>
      </w:r>
      <w:r>
        <w:rPr>
          <w:rFonts w:hint="eastAsia" w:ascii="宋体" w:hAnsi="宋体"/>
          <w:szCs w:val="21"/>
          <w:highlight w:val="none"/>
        </w:rPr>
        <w:t>以发出的综合单价最高限价为基础，按照我公司的中标总报价与本工程的总价最高限价的下浮比例进行同比例下调，我公司无条件接受，否则按我公司违约处理。</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5、我公司在资格审查部分中提供的相关证明材料真实有效，不存在弄虚作假情形。</w:t>
      </w:r>
      <w:r>
        <w:rPr>
          <w:rFonts w:hint="eastAsia" w:ascii="宋体" w:hAnsi="宋体"/>
          <w:szCs w:val="21"/>
          <w:highlight w:val="none"/>
          <w:u w:val="single"/>
          <w:lang w:val="en-US" w:eastAsia="zh-CN"/>
        </w:rPr>
        <w:t>贵单位</w:t>
      </w:r>
      <w:r>
        <w:rPr>
          <w:rFonts w:hint="eastAsia" w:ascii="宋体" w:hAnsi="宋体"/>
          <w:szCs w:val="21"/>
          <w:highlight w:val="none"/>
          <w:u w:val="single"/>
        </w:rPr>
        <w:t>在合同签订前均有权对我</w:t>
      </w:r>
      <w:r>
        <w:rPr>
          <w:rFonts w:hint="eastAsia" w:ascii="宋体" w:hAnsi="宋体"/>
          <w:szCs w:val="21"/>
          <w:highlight w:val="none"/>
          <w:u w:val="single"/>
          <w:lang w:val="en-US" w:eastAsia="zh-CN"/>
        </w:rPr>
        <w:t>公</w:t>
      </w:r>
      <w:r>
        <w:rPr>
          <w:rFonts w:hint="eastAsia" w:ascii="宋体" w:hAnsi="宋体"/>
          <w:szCs w:val="21"/>
          <w:highlight w:val="none"/>
          <w:u w:val="single"/>
        </w:rPr>
        <w:t>司提供的资料进行核实，若发现弄虚作假，</w:t>
      </w:r>
      <w:r>
        <w:rPr>
          <w:rFonts w:hint="eastAsia" w:ascii="宋体" w:hAnsi="宋体"/>
          <w:szCs w:val="21"/>
          <w:highlight w:val="none"/>
          <w:u w:val="single"/>
          <w:lang w:val="en-US" w:eastAsia="zh-CN"/>
        </w:rPr>
        <w:t>按相关规定</w:t>
      </w:r>
      <w:r>
        <w:rPr>
          <w:rFonts w:hint="eastAsia" w:ascii="宋体" w:hAnsi="宋体"/>
          <w:szCs w:val="21"/>
          <w:highlight w:val="none"/>
          <w:u w:val="single"/>
        </w:rPr>
        <w:t>取消</w:t>
      </w:r>
      <w:r>
        <w:rPr>
          <w:rFonts w:hint="eastAsia" w:ascii="宋体" w:hAnsi="宋体"/>
          <w:szCs w:val="21"/>
          <w:highlight w:val="none"/>
          <w:u w:val="single"/>
          <w:lang w:val="en-US" w:eastAsia="zh-CN"/>
        </w:rPr>
        <w:t>我公司</w:t>
      </w:r>
      <w:r>
        <w:rPr>
          <w:rFonts w:hint="eastAsia" w:ascii="宋体" w:hAnsi="宋体"/>
          <w:szCs w:val="21"/>
          <w:highlight w:val="none"/>
          <w:u w:val="single"/>
        </w:rPr>
        <w:t>中标资格，并按相关法律法规报招标投标监督部门，投标保证金不予退还，我</w:t>
      </w:r>
      <w:r>
        <w:rPr>
          <w:rFonts w:hint="eastAsia" w:ascii="宋体" w:hAnsi="宋体"/>
          <w:szCs w:val="21"/>
          <w:highlight w:val="none"/>
          <w:u w:val="single"/>
          <w:lang w:val="en-US" w:eastAsia="zh-CN"/>
        </w:rPr>
        <w:t>公</w:t>
      </w:r>
      <w:r>
        <w:rPr>
          <w:rFonts w:hint="eastAsia" w:ascii="宋体" w:hAnsi="宋体"/>
          <w:szCs w:val="21"/>
          <w:highlight w:val="none"/>
          <w:u w:val="single"/>
        </w:rPr>
        <w:t>司自愿承担因此造成的相关责任并赔偿相应损失</w:t>
      </w:r>
      <w:r>
        <w:rPr>
          <w:rFonts w:hint="eastAsia" w:ascii="宋体" w:hAnsi="宋体"/>
          <w:szCs w:val="21"/>
          <w:highlight w:val="none"/>
        </w:rPr>
        <w:t>。</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6、我公司不存在第二章 投标人须知第 1.4.3 项规定的任何一种情形。</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7、我公司的投标文件符合第二章 投标人须知第 1.3.1 项的规定。</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8、我公司的投标文件符合第四章 合同条款及格式规定，投标文件中没有</w:t>
      </w:r>
      <w:r>
        <w:rPr>
          <w:rFonts w:hint="eastAsia" w:ascii="宋体" w:hAnsi="宋体"/>
          <w:szCs w:val="21"/>
          <w:highlight w:val="none"/>
          <w:lang w:val="en-US" w:eastAsia="zh-CN"/>
        </w:rPr>
        <w:t>贵单位</w:t>
      </w:r>
      <w:r>
        <w:rPr>
          <w:rFonts w:hint="eastAsia" w:ascii="宋体" w:hAnsi="宋体"/>
          <w:szCs w:val="21"/>
          <w:highlight w:val="none"/>
        </w:rPr>
        <w:t>不能接受的条件。</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szCs w:val="21"/>
          <w:highlight w:val="none"/>
        </w:rPr>
      </w:pPr>
      <w:r>
        <w:rPr>
          <w:rFonts w:hint="eastAsia" w:ascii="宋体" w:hAnsi="宋体"/>
          <w:szCs w:val="21"/>
          <w:highlight w:val="none"/>
        </w:rPr>
        <w:t>9、我公司的投标文件符合第七章 技术标准和要求（如有）。</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szCs w:val="21"/>
          <w:highlight w:val="none"/>
          <w:lang w:val="en-US" w:eastAsia="zh-CN"/>
        </w:rPr>
      </w:pPr>
      <w:r>
        <w:rPr>
          <w:rFonts w:hint="eastAsia" w:ascii="宋体" w:hAnsi="宋体"/>
          <w:szCs w:val="21"/>
          <w:highlight w:val="none"/>
          <w:lang w:val="en-US" w:eastAsia="zh-CN"/>
        </w:rPr>
        <w:t>10、我公司接受招标文件中关于“不平衡报价”的相关约定（如有）。</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szCs w:val="21"/>
          <w:highlight w:val="none"/>
        </w:rPr>
      </w:pPr>
      <w:r>
        <w:rPr>
          <w:rFonts w:hint="eastAsia" w:ascii="宋体" w:hAnsi="宋体"/>
          <w:szCs w:val="21"/>
          <w:highlight w:val="none"/>
          <w:lang w:val="en-US" w:eastAsia="zh-CN"/>
        </w:rPr>
        <w:t>11、我公司接受招标文件中关于“不允许负数报价”的相关要求（如有）</w:t>
      </w:r>
      <w:r>
        <w:rPr>
          <w:rFonts w:hint="eastAsia" w:ascii="宋体" w:hAnsi="宋体"/>
          <w:szCs w:val="21"/>
          <w:highlight w:val="none"/>
        </w:rPr>
        <w:t>。</w:t>
      </w:r>
    </w:p>
    <w:p>
      <w:pPr>
        <w:tabs>
          <w:tab w:val="left" w:pos="4200"/>
          <w:tab w:val="left" w:pos="4620"/>
        </w:tabs>
        <w:autoSpaceDE w:val="0"/>
        <w:autoSpaceDN w:val="0"/>
        <w:adjustRightInd w:val="0"/>
        <w:snapToGrid w:val="0"/>
        <w:spacing w:line="360" w:lineRule="auto"/>
        <w:jc w:val="left"/>
        <w:rPr>
          <w:rFonts w:ascii="宋体" w:hAnsi="宋体"/>
          <w:kern w:val="0"/>
          <w:szCs w:val="21"/>
          <w:highlight w:val="none"/>
        </w:rPr>
      </w:pPr>
    </w:p>
    <w:bookmarkEnd w:id="1316"/>
    <w:bookmarkEnd w:id="1317"/>
    <w:p>
      <w:pPr>
        <w:tabs>
          <w:tab w:val="left" w:pos="4200"/>
          <w:tab w:val="left" w:pos="4620"/>
        </w:tabs>
        <w:autoSpaceDE w:val="0"/>
        <w:autoSpaceDN w:val="0"/>
        <w:adjustRightInd w:val="0"/>
        <w:snapToGrid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lang w:val="en-US" w:eastAsia="zh-CN"/>
        </w:rPr>
        <w:t>竞  选</w:t>
      </w:r>
      <w:r>
        <w:rPr>
          <w:rFonts w:ascii="宋体" w:hAnsi="宋体"/>
          <w:kern w:val="0"/>
          <w:szCs w:val="21"/>
          <w:highlight w:val="none"/>
        </w:rPr>
        <w:t xml:space="preserve">  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ascii="宋体" w:hAnsi="宋体"/>
          <w:spacing w:val="-1"/>
          <w:kern w:val="0"/>
          <w:szCs w:val="21"/>
          <w:highlight w:val="none"/>
        </w:rPr>
        <w:t>盖单位法人章</w:t>
      </w:r>
      <w:r>
        <w:rPr>
          <w:rFonts w:ascii="宋体" w:hAnsi="宋体"/>
          <w:kern w:val="0"/>
          <w:szCs w:val="21"/>
          <w:highlight w:val="none"/>
        </w:rPr>
        <w:t>）</w:t>
      </w:r>
    </w:p>
    <w:p>
      <w:pPr>
        <w:tabs>
          <w:tab w:val="left" w:pos="6300"/>
        </w:tabs>
        <w:autoSpaceDE w:val="0"/>
        <w:autoSpaceDN w:val="0"/>
        <w:adjustRightInd w:val="0"/>
        <w:snapToGrid w:val="0"/>
        <w:spacing w:line="360" w:lineRule="auto"/>
        <w:ind w:firstLine="420" w:firstLineChars="200"/>
        <w:jc w:val="left"/>
        <w:rPr>
          <w:rFonts w:ascii="宋体" w:hAnsi="宋体"/>
          <w:kern w:val="0"/>
          <w:szCs w:val="21"/>
          <w:highlight w:val="none"/>
        </w:rPr>
      </w:pPr>
      <w:r>
        <w:rPr>
          <w:rFonts w:ascii="宋体" w:hAnsi="宋体"/>
          <w:kern w:val="0"/>
          <w:szCs w:val="21"/>
          <w:highlight w:val="none"/>
        </w:rPr>
        <w:t>法定代表人：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签名</w:t>
      </w:r>
      <w:r>
        <w:rPr>
          <w:rFonts w:ascii="宋体" w:hAnsi="宋体"/>
          <w:kern w:val="0"/>
          <w:szCs w:val="21"/>
          <w:highlight w:val="none"/>
        </w:rPr>
        <w:t>或盖章）</w:t>
      </w:r>
    </w:p>
    <w:p>
      <w:pPr>
        <w:tabs>
          <w:tab w:val="left" w:pos="6300"/>
        </w:tabs>
        <w:autoSpaceDE w:val="0"/>
        <w:autoSpaceDN w:val="0"/>
        <w:adjustRightInd w:val="0"/>
        <w:snapToGrid w:val="0"/>
        <w:spacing w:line="360" w:lineRule="auto"/>
        <w:ind w:firstLine="420" w:firstLineChars="200"/>
        <w:jc w:val="left"/>
        <w:rPr>
          <w:rFonts w:ascii="宋体" w:hAnsi="宋体"/>
          <w:kern w:val="0"/>
          <w:szCs w:val="21"/>
          <w:highlight w:val="none"/>
        </w:rPr>
      </w:pPr>
    </w:p>
    <w:p>
      <w:pPr>
        <w:tabs>
          <w:tab w:val="left" w:pos="6300"/>
        </w:tabs>
        <w:autoSpaceDE w:val="0"/>
        <w:autoSpaceDN w:val="0"/>
        <w:adjustRightInd w:val="0"/>
        <w:snapToGrid w:val="0"/>
        <w:ind w:firstLine="420" w:firstLineChars="200"/>
        <w:jc w:val="right"/>
        <w:rPr>
          <w:rFonts w:ascii="宋体" w:hAnsi="宋体"/>
          <w:b/>
          <w:highlight w:val="none"/>
        </w:rPr>
      </w:pPr>
      <w:r>
        <w:rPr>
          <w:rFonts w:hint="eastAsia" w:ascii="宋体" w:hAnsi="宋体"/>
          <w:kern w:val="0"/>
          <w:szCs w:val="21"/>
          <w:highlight w:val="none"/>
          <w:u w:val="single"/>
        </w:rPr>
        <w:t xml:space="preserve">    </w:t>
      </w:r>
      <w:r>
        <w:rPr>
          <w:rFonts w:ascii="宋体" w:hAnsi="宋体"/>
          <w:kern w:val="0"/>
          <w:szCs w:val="21"/>
          <w:highlight w:val="none"/>
        </w:rPr>
        <w:t>年</w:t>
      </w:r>
      <w:r>
        <w:rPr>
          <w:rFonts w:hint="eastAsia" w:ascii="宋体" w:hAnsi="宋体"/>
          <w:kern w:val="0"/>
          <w:szCs w:val="21"/>
          <w:highlight w:val="none"/>
          <w:u w:val="single"/>
        </w:rPr>
        <w:t xml:space="preserve">    </w:t>
      </w:r>
      <w:r>
        <w:rPr>
          <w:rFonts w:ascii="宋体" w:hAnsi="宋体"/>
          <w:kern w:val="0"/>
          <w:szCs w:val="21"/>
          <w:highlight w:val="none"/>
        </w:rPr>
        <w:t>月</w:t>
      </w:r>
      <w:r>
        <w:rPr>
          <w:rFonts w:hint="eastAsia" w:ascii="宋体" w:hAnsi="宋体"/>
          <w:kern w:val="0"/>
          <w:szCs w:val="21"/>
          <w:highlight w:val="none"/>
          <w:u w:val="single"/>
        </w:rPr>
        <w:t xml:space="preserve">    日</w:t>
      </w:r>
    </w:p>
    <w:p>
      <w:pPr>
        <w:rPr>
          <w:highlight w:val="none"/>
        </w:rPr>
      </w:pPr>
      <w:r>
        <w:rPr>
          <w:highlight w:val="none"/>
        </w:rPr>
        <w:br w:type="page"/>
      </w:r>
    </w:p>
    <w:p>
      <w:pPr>
        <w:pStyle w:val="5"/>
        <w:spacing w:before="0" w:line="360" w:lineRule="auto"/>
        <w:jc w:val="center"/>
        <w:rPr>
          <w:rFonts w:ascii="宋体" w:hAnsi="宋体"/>
          <w:b w:val="0"/>
          <w:highlight w:val="none"/>
        </w:rPr>
      </w:pPr>
      <w:bookmarkStart w:id="1320" w:name="_Toc25182"/>
      <w:r>
        <w:rPr>
          <w:rFonts w:hint="eastAsia" w:ascii="宋体" w:hAnsi="宋体"/>
          <w:b w:val="0"/>
          <w:highlight w:val="none"/>
        </w:rPr>
        <w:t>（</w:t>
      </w:r>
      <w:r>
        <w:rPr>
          <w:rFonts w:hint="eastAsia" w:ascii="宋体" w:hAnsi="宋体"/>
          <w:b w:val="0"/>
          <w:highlight w:val="none"/>
          <w:lang w:val="en-US" w:eastAsia="zh-CN"/>
        </w:rPr>
        <w:t>五</w:t>
      </w:r>
      <w:r>
        <w:rPr>
          <w:rFonts w:hint="eastAsia" w:ascii="宋体" w:hAnsi="宋体"/>
          <w:b w:val="0"/>
          <w:highlight w:val="none"/>
        </w:rPr>
        <w:t>）其他资料</w:t>
      </w:r>
      <w:bookmarkEnd w:id="1320"/>
    </w:p>
    <w:bookmarkEnd w:id="352"/>
    <w:bookmarkEnd w:id="353"/>
    <w:bookmarkEnd w:id="354"/>
    <w:p>
      <w:pPr>
        <w:rPr>
          <w:rFonts w:hint="eastAsia"/>
          <w:sz w:val="32"/>
          <w:szCs w:val="32"/>
          <w:highlight w:val="none"/>
          <w:lang w:val="en-US" w:eastAsia="zh-CN"/>
        </w:rPr>
      </w:pPr>
    </w:p>
    <w:p>
      <w:pPr>
        <w:pStyle w:val="31"/>
        <w:rPr>
          <w:rFonts w:hint="default"/>
          <w:sz w:val="32"/>
          <w:szCs w:val="32"/>
          <w:lang w:val="en-US" w:eastAsia="zh-CN"/>
        </w:rPr>
      </w:pPr>
    </w:p>
    <w:sectPr>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微软雅黑"/>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方正仿宋简体">
    <w:altName w:val="微软雅黑"/>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Microsoft Sans Serif">
    <w:panose1 w:val="020B0604020202020204"/>
    <w:charset w:val="00"/>
    <w:family w:val="swiss"/>
    <w:pitch w:val="default"/>
    <w:sig w:usb0="E5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PAGE   \* MERGEFORMAT</w:instrText>
    </w:r>
    <w:r>
      <w:fldChar w:fldCharType="separate"/>
    </w:r>
    <w:r>
      <w:rPr>
        <w:lang w:val="zh-CN"/>
      </w:rPr>
      <w:t>2</w:t>
    </w:r>
    <w:r>
      <w:fldChar w:fldCharType="end"/>
    </w: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t xml:space="preserve">- </w:t>
    </w:r>
    <w:r>
      <w:fldChar w:fldCharType="begin"/>
    </w:r>
    <w:r>
      <w:instrText xml:space="preserve"> PAGE </w:instrText>
    </w:r>
    <w:r>
      <w:fldChar w:fldCharType="separate"/>
    </w:r>
    <w:r>
      <w:t>243</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34"/>
        <w:rPr>
          <w:rFonts w:ascii="Times New Roman" w:hAnsi="Times New Roman" w:cs="Times New Roman"/>
          <w:lang w:eastAsia="zh-C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415704"/>
    <w:multiLevelType w:val="singleLevel"/>
    <w:tmpl w:val="3F415704"/>
    <w:lvl w:ilvl="0" w:tentative="0">
      <w:start w:val="1"/>
      <w:numFmt w:val="decimal"/>
      <w:suff w:val="nothing"/>
      <w:lvlText w:val="%1、"/>
      <w:lvlJc w:val="left"/>
    </w:lvl>
  </w:abstractNum>
  <w:abstractNum w:abstractNumId="1">
    <w:nsid w:val="5F471D00"/>
    <w:multiLevelType w:val="singleLevel"/>
    <w:tmpl w:val="5F471D00"/>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VlYjg1YTkyOWU5NzI0OTgyZDU1M2Q5NWZiOTE0M2QifQ=="/>
  </w:docVars>
  <w:rsids>
    <w:rsidRoot w:val="00000000"/>
    <w:rsid w:val="01750EDE"/>
    <w:rsid w:val="02497534"/>
    <w:rsid w:val="029A7643"/>
    <w:rsid w:val="02CB3070"/>
    <w:rsid w:val="03712D21"/>
    <w:rsid w:val="043C1EA8"/>
    <w:rsid w:val="057364D8"/>
    <w:rsid w:val="067018B8"/>
    <w:rsid w:val="07146850"/>
    <w:rsid w:val="0747316B"/>
    <w:rsid w:val="08D852DC"/>
    <w:rsid w:val="0AC34A23"/>
    <w:rsid w:val="0B374AB7"/>
    <w:rsid w:val="0B8A12CF"/>
    <w:rsid w:val="0F3118B1"/>
    <w:rsid w:val="0FED2443"/>
    <w:rsid w:val="102C328E"/>
    <w:rsid w:val="10662E20"/>
    <w:rsid w:val="13CA799C"/>
    <w:rsid w:val="13DD62E6"/>
    <w:rsid w:val="15194865"/>
    <w:rsid w:val="155F0AA1"/>
    <w:rsid w:val="17072F54"/>
    <w:rsid w:val="185276F3"/>
    <w:rsid w:val="1BDB12EA"/>
    <w:rsid w:val="1D9E2B66"/>
    <w:rsid w:val="1EB93EB5"/>
    <w:rsid w:val="1F996596"/>
    <w:rsid w:val="202820DF"/>
    <w:rsid w:val="210618F0"/>
    <w:rsid w:val="21270CC2"/>
    <w:rsid w:val="24266EC9"/>
    <w:rsid w:val="248F3D0B"/>
    <w:rsid w:val="26D36140"/>
    <w:rsid w:val="28AF528E"/>
    <w:rsid w:val="2B24412B"/>
    <w:rsid w:val="2D316018"/>
    <w:rsid w:val="2D397AFE"/>
    <w:rsid w:val="2EBF07A0"/>
    <w:rsid w:val="2F3F0791"/>
    <w:rsid w:val="2FE62A0A"/>
    <w:rsid w:val="30BF31A0"/>
    <w:rsid w:val="316600C5"/>
    <w:rsid w:val="3300448E"/>
    <w:rsid w:val="33CB0DB0"/>
    <w:rsid w:val="344A7EB3"/>
    <w:rsid w:val="3D3F248B"/>
    <w:rsid w:val="3E485474"/>
    <w:rsid w:val="424A2B87"/>
    <w:rsid w:val="43BE2B8A"/>
    <w:rsid w:val="46277859"/>
    <w:rsid w:val="48093C71"/>
    <w:rsid w:val="49CE7107"/>
    <w:rsid w:val="4B3F6D5D"/>
    <w:rsid w:val="4D920C64"/>
    <w:rsid w:val="4F305D57"/>
    <w:rsid w:val="4F79447E"/>
    <w:rsid w:val="522A6FE1"/>
    <w:rsid w:val="53394028"/>
    <w:rsid w:val="53B03160"/>
    <w:rsid w:val="566209E7"/>
    <w:rsid w:val="56CC3E96"/>
    <w:rsid w:val="570263B4"/>
    <w:rsid w:val="591F4667"/>
    <w:rsid w:val="59952F94"/>
    <w:rsid w:val="5CBC4428"/>
    <w:rsid w:val="5F370970"/>
    <w:rsid w:val="618D4BBE"/>
    <w:rsid w:val="62C91582"/>
    <w:rsid w:val="63091321"/>
    <w:rsid w:val="6534707B"/>
    <w:rsid w:val="671764AB"/>
    <w:rsid w:val="68233E92"/>
    <w:rsid w:val="6A9774F1"/>
    <w:rsid w:val="6B9D26D7"/>
    <w:rsid w:val="6BA64352"/>
    <w:rsid w:val="6D6C1709"/>
    <w:rsid w:val="6F00293A"/>
    <w:rsid w:val="6F0D49D1"/>
    <w:rsid w:val="760A6969"/>
    <w:rsid w:val="78BB630B"/>
    <w:rsid w:val="7A4160FC"/>
    <w:rsid w:val="7AFE0EDA"/>
    <w:rsid w:val="7D271CAE"/>
    <w:rsid w:val="7F4A6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5"/>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5"/>
    <w:autoRedefine/>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194"/>
    <w:autoRedefine/>
    <w:qFormat/>
    <w:uiPriority w:val="0"/>
    <w:pPr>
      <w:keepNext/>
      <w:keepLines/>
      <w:spacing w:before="260" w:after="260" w:line="416" w:lineRule="auto"/>
      <w:outlineLvl w:val="2"/>
    </w:pPr>
    <w:rPr>
      <w:b/>
      <w:bCs/>
      <w:sz w:val="32"/>
      <w:szCs w:val="32"/>
    </w:rPr>
  </w:style>
  <w:style w:type="paragraph" w:styleId="6">
    <w:name w:val="heading 4"/>
    <w:basedOn w:val="1"/>
    <w:next w:val="1"/>
    <w:link w:val="180"/>
    <w:autoRedefine/>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293"/>
    <w:autoRedefine/>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196"/>
    <w:autoRedefine/>
    <w:qFormat/>
    <w:uiPriority w:val="0"/>
    <w:pPr>
      <w:keepNext/>
      <w:keepLines/>
      <w:ind w:firstLine="200" w:firstLineChars="200"/>
      <w:outlineLvl w:val="5"/>
    </w:pPr>
    <w:rPr>
      <w:rFonts w:hAnsi="Arial"/>
    </w:rPr>
  </w:style>
  <w:style w:type="paragraph" w:styleId="10">
    <w:name w:val="heading 7"/>
    <w:basedOn w:val="1"/>
    <w:next w:val="1"/>
    <w:link w:val="273"/>
    <w:autoRedefine/>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268"/>
    <w:autoRedefine/>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199"/>
    <w:autoRedefine/>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8">
    <w:name w:val="Default Paragraph Font"/>
    <w:autoRedefine/>
    <w:qFormat/>
    <w:uiPriority w:val="1"/>
  </w:style>
  <w:style w:type="table" w:default="1" w:styleId="46">
    <w:name w:val="Normal Table"/>
    <w:autoRedefine/>
    <w:qFormat/>
    <w:uiPriority w:val="99"/>
    <w:tblPr>
      <w:tblCellMar>
        <w:top w:w="0" w:type="dxa"/>
        <w:left w:w="108" w:type="dxa"/>
        <w:bottom w:w="0" w:type="dxa"/>
        <w:right w:w="108" w:type="dxa"/>
      </w:tblCellMar>
    </w:tblPr>
  </w:style>
  <w:style w:type="paragraph" w:styleId="2">
    <w:name w:val="Body Text"/>
    <w:basedOn w:val="1"/>
    <w:next w:val="1"/>
    <w:link w:val="215"/>
    <w:autoRedefine/>
    <w:qFormat/>
    <w:uiPriority w:val="0"/>
    <w:pPr>
      <w:spacing w:after="120"/>
    </w:pPr>
  </w:style>
  <w:style w:type="paragraph" w:styleId="9">
    <w:name w:val="Normal Indent"/>
    <w:basedOn w:val="1"/>
    <w:autoRedefine/>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autoRedefine/>
    <w:qFormat/>
    <w:uiPriority w:val="39"/>
    <w:pPr>
      <w:ind w:left="1260"/>
      <w:jc w:val="left"/>
    </w:pPr>
    <w:rPr>
      <w:sz w:val="18"/>
      <w:szCs w:val="18"/>
    </w:rPr>
  </w:style>
  <w:style w:type="paragraph" w:styleId="14">
    <w:name w:val="caption"/>
    <w:basedOn w:val="1"/>
    <w:next w:val="1"/>
    <w:autoRedefine/>
    <w:qFormat/>
    <w:uiPriority w:val="0"/>
    <w:rPr>
      <w:rFonts w:ascii="Cambria" w:hAnsi="Cambria" w:eastAsia="黑体"/>
      <w:sz w:val="20"/>
      <w:szCs w:val="20"/>
    </w:rPr>
  </w:style>
  <w:style w:type="paragraph" w:styleId="15">
    <w:name w:val="Document Map"/>
    <w:basedOn w:val="1"/>
    <w:link w:val="205"/>
    <w:autoRedefine/>
    <w:qFormat/>
    <w:uiPriority w:val="0"/>
    <w:pPr>
      <w:shd w:val="clear" w:color="auto" w:fill="000080"/>
    </w:pPr>
  </w:style>
  <w:style w:type="paragraph" w:styleId="16">
    <w:name w:val="annotation text"/>
    <w:basedOn w:val="1"/>
    <w:link w:val="290"/>
    <w:autoRedefine/>
    <w:qFormat/>
    <w:uiPriority w:val="99"/>
    <w:pPr>
      <w:jc w:val="left"/>
    </w:pPr>
  </w:style>
  <w:style w:type="paragraph" w:styleId="17">
    <w:name w:val="Body Text 3"/>
    <w:basedOn w:val="1"/>
    <w:link w:val="309"/>
    <w:autoRedefine/>
    <w:qFormat/>
    <w:uiPriority w:val="0"/>
    <w:pPr>
      <w:spacing w:after="120"/>
    </w:pPr>
    <w:rPr>
      <w:sz w:val="16"/>
      <w:szCs w:val="16"/>
    </w:rPr>
  </w:style>
  <w:style w:type="paragraph" w:styleId="18">
    <w:name w:val="Body Text Indent"/>
    <w:basedOn w:val="1"/>
    <w:link w:val="270"/>
    <w:autoRedefine/>
    <w:qFormat/>
    <w:uiPriority w:val="0"/>
    <w:pPr>
      <w:ind w:firstLine="407" w:firstLineChars="200"/>
    </w:pPr>
  </w:style>
  <w:style w:type="paragraph" w:styleId="19">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autoRedefine/>
    <w:qFormat/>
    <w:uiPriority w:val="0"/>
    <w:pPr>
      <w:ind w:left="600" w:leftChars="600"/>
    </w:pPr>
  </w:style>
  <w:style w:type="paragraph" w:styleId="21">
    <w:name w:val="toc 5"/>
    <w:basedOn w:val="1"/>
    <w:next w:val="1"/>
    <w:autoRedefine/>
    <w:qFormat/>
    <w:uiPriority w:val="39"/>
    <w:pPr>
      <w:ind w:left="840"/>
      <w:jc w:val="left"/>
    </w:pPr>
    <w:rPr>
      <w:sz w:val="18"/>
      <w:szCs w:val="18"/>
    </w:rPr>
  </w:style>
  <w:style w:type="paragraph" w:styleId="22">
    <w:name w:val="toc 3"/>
    <w:basedOn w:val="5"/>
    <w:next w:val="1"/>
    <w:autoRedefine/>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305"/>
    <w:autoRedefine/>
    <w:qFormat/>
    <w:uiPriority w:val="0"/>
    <w:rPr>
      <w:rFonts w:ascii="宋体" w:hAnsi="Courier New" w:cs="Courier New"/>
      <w:szCs w:val="21"/>
    </w:rPr>
  </w:style>
  <w:style w:type="paragraph" w:styleId="24">
    <w:name w:val="toc 8"/>
    <w:basedOn w:val="1"/>
    <w:next w:val="1"/>
    <w:autoRedefine/>
    <w:qFormat/>
    <w:uiPriority w:val="39"/>
    <w:pPr>
      <w:ind w:left="1470"/>
      <w:jc w:val="left"/>
    </w:pPr>
    <w:rPr>
      <w:sz w:val="18"/>
      <w:szCs w:val="18"/>
    </w:rPr>
  </w:style>
  <w:style w:type="paragraph" w:styleId="25">
    <w:name w:val="Date"/>
    <w:basedOn w:val="1"/>
    <w:next w:val="1"/>
    <w:link w:val="158"/>
    <w:autoRedefine/>
    <w:qFormat/>
    <w:uiPriority w:val="0"/>
    <w:pPr>
      <w:ind w:left="100" w:leftChars="2500"/>
    </w:pPr>
  </w:style>
  <w:style w:type="paragraph" w:styleId="26">
    <w:name w:val="Body Text Indent 2"/>
    <w:basedOn w:val="1"/>
    <w:link w:val="272"/>
    <w:autoRedefine/>
    <w:qFormat/>
    <w:uiPriority w:val="0"/>
    <w:pPr>
      <w:widowControl/>
      <w:spacing w:line="480" w:lineRule="auto"/>
      <w:ind w:firstLine="560"/>
      <w:jc w:val="left"/>
    </w:pPr>
    <w:rPr>
      <w:kern w:val="0"/>
      <w:sz w:val="28"/>
    </w:rPr>
  </w:style>
  <w:style w:type="paragraph" w:styleId="27">
    <w:name w:val="endnote text"/>
    <w:basedOn w:val="1"/>
    <w:link w:val="182"/>
    <w:autoRedefine/>
    <w:qFormat/>
    <w:uiPriority w:val="0"/>
    <w:pPr>
      <w:widowControl/>
      <w:snapToGrid w:val="0"/>
      <w:jc w:val="left"/>
    </w:pPr>
    <w:rPr>
      <w:rFonts w:ascii="Arial" w:hAnsi="Arial" w:cs="Arial"/>
      <w:kern w:val="0"/>
      <w:sz w:val="20"/>
      <w:lang w:eastAsia="en-US"/>
    </w:rPr>
  </w:style>
  <w:style w:type="paragraph" w:styleId="28">
    <w:name w:val="Balloon Text"/>
    <w:basedOn w:val="1"/>
    <w:link w:val="209"/>
    <w:autoRedefine/>
    <w:qFormat/>
    <w:uiPriority w:val="0"/>
    <w:rPr>
      <w:sz w:val="18"/>
      <w:szCs w:val="18"/>
    </w:rPr>
  </w:style>
  <w:style w:type="paragraph" w:styleId="29">
    <w:name w:val="footer"/>
    <w:basedOn w:val="1"/>
    <w:link w:val="197"/>
    <w:autoRedefine/>
    <w:qFormat/>
    <w:uiPriority w:val="0"/>
    <w:pPr>
      <w:tabs>
        <w:tab w:val="center" w:pos="4153"/>
        <w:tab w:val="right" w:pos="8306"/>
      </w:tabs>
      <w:snapToGrid w:val="0"/>
      <w:jc w:val="left"/>
    </w:pPr>
    <w:rPr>
      <w:sz w:val="18"/>
      <w:szCs w:val="18"/>
    </w:rPr>
  </w:style>
  <w:style w:type="paragraph" w:styleId="30">
    <w:name w:val="header"/>
    <w:basedOn w:val="1"/>
    <w:link w:val="237"/>
    <w:autoRedefine/>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39"/>
    <w:pPr>
      <w:keepNext w:val="0"/>
      <w:keepLines w:val="0"/>
      <w:spacing w:before="120" w:after="120" w:line="240" w:lineRule="auto"/>
      <w:jc w:val="left"/>
      <w:outlineLvl w:val="9"/>
    </w:pPr>
    <w:rPr>
      <w:caps/>
      <w:kern w:val="2"/>
      <w:sz w:val="20"/>
      <w:szCs w:val="20"/>
    </w:rPr>
  </w:style>
  <w:style w:type="paragraph" w:styleId="32">
    <w:name w:val="toc 4"/>
    <w:basedOn w:val="6"/>
    <w:next w:val="1"/>
    <w:autoRedefine/>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302"/>
    <w:autoRedefine/>
    <w:qFormat/>
    <w:uiPriority w:val="0"/>
    <w:pPr>
      <w:widowControl/>
      <w:jc w:val="center"/>
    </w:pPr>
    <w:rPr>
      <w:kern w:val="0"/>
      <w:sz w:val="20"/>
      <w:u w:val="single"/>
      <w:lang w:eastAsia="en-US"/>
    </w:rPr>
  </w:style>
  <w:style w:type="paragraph" w:styleId="34">
    <w:name w:val="footnote text"/>
    <w:basedOn w:val="1"/>
    <w:link w:val="217"/>
    <w:autoRedefine/>
    <w:qFormat/>
    <w:uiPriority w:val="0"/>
    <w:pPr>
      <w:widowControl/>
      <w:snapToGrid w:val="0"/>
      <w:jc w:val="left"/>
    </w:pPr>
    <w:rPr>
      <w:rFonts w:ascii="Arial" w:hAnsi="Arial" w:cs="Arial"/>
      <w:kern w:val="0"/>
      <w:sz w:val="18"/>
      <w:szCs w:val="18"/>
      <w:lang w:eastAsia="en-US"/>
    </w:rPr>
  </w:style>
  <w:style w:type="paragraph" w:styleId="35">
    <w:name w:val="toc 6"/>
    <w:basedOn w:val="1"/>
    <w:next w:val="1"/>
    <w:autoRedefine/>
    <w:qFormat/>
    <w:uiPriority w:val="39"/>
    <w:pPr>
      <w:ind w:left="1050"/>
      <w:jc w:val="left"/>
    </w:pPr>
    <w:rPr>
      <w:sz w:val="18"/>
      <w:szCs w:val="18"/>
    </w:rPr>
  </w:style>
  <w:style w:type="paragraph" w:styleId="36">
    <w:name w:val="Body Text Indent 3"/>
    <w:basedOn w:val="1"/>
    <w:link w:val="269"/>
    <w:autoRedefine/>
    <w:qFormat/>
    <w:uiPriority w:val="0"/>
    <w:pPr>
      <w:spacing w:line="360" w:lineRule="auto"/>
      <w:ind w:firstLine="280" w:firstLineChars="100"/>
    </w:pPr>
    <w:rPr>
      <w:rFonts w:ascii="宋体" w:hAnsi="宋体"/>
      <w:sz w:val="28"/>
      <w:szCs w:val="28"/>
    </w:rPr>
  </w:style>
  <w:style w:type="paragraph" w:styleId="37">
    <w:name w:val="toc 2"/>
    <w:basedOn w:val="4"/>
    <w:next w:val="1"/>
    <w:autoRedefine/>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autoRedefine/>
    <w:qFormat/>
    <w:uiPriority w:val="39"/>
    <w:pPr>
      <w:ind w:left="1680"/>
      <w:jc w:val="left"/>
    </w:pPr>
    <w:rPr>
      <w:sz w:val="18"/>
      <w:szCs w:val="18"/>
    </w:rPr>
  </w:style>
  <w:style w:type="paragraph" w:styleId="39">
    <w:name w:val="Body Text 2"/>
    <w:basedOn w:val="1"/>
    <w:link w:val="265"/>
    <w:autoRedefine/>
    <w:qFormat/>
    <w:uiPriority w:val="0"/>
    <w:rPr>
      <w:i/>
      <w:iCs/>
      <w:sz w:val="26"/>
    </w:rPr>
  </w:style>
  <w:style w:type="paragraph" w:styleId="40">
    <w:name w:val="HTML Preformatted"/>
    <w:basedOn w:val="1"/>
    <w:link w:val="17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autoRedefine/>
    <w:qFormat/>
    <w:uiPriority w:val="0"/>
    <w:pPr>
      <w:spacing w:line="220" w:lineRule="exact"/>
      <w:jc w:val="center"/>
    </w:pPr>
    <w:rPr>
      <w:rFonts w:ascii="仿宋_GB2312" w:eastAsia="仿宋_GB2312"/>
      <w:szCs w:val="21"/>
    </w:rPr>
  </w:style>
  <w:style w:type="paragraph" w:styleId="43">
    <w:name w:val="Title"/>
    <w:basedOn w:val="1"/>
    <w:link w:val="212"/>
    <w:autoRedefine/>
    <w:qFormat/>
    <w:uiPriority w:val="0"/>
    <w:pPr>
      <w:widowControl/>
      <w:jc w:val="center"/>
    </w:pPr>
    <w:rPr>
      <w:kern w:val="0"/>
      <w:sz w:val="20"/>
      <w:u w:val="single"/>
      <w:lang w:eastAsia="en-US"/>
    </w:rPr>
  </w:style>
  <w:style w:type="paragraph" w:styleId="44">
    <w:name w:val="annotation subject"/>
    <w:basedOn w:val="16"/>
    <w:next w:val="16"/>
    <w:link w:val="264"/>
    <w:autoRedefine/>
    <w:qFormat/>
    <w:uiPriority w:val="0"/>
    <w:rPr>
      <w:b/>
      <w:bCs/>
    </w:rPr>
  </w:style>
  <w:style w:type="paragraph" w:styleId="45">
    <w:name w:val="Body Text First Indent"/>
    <w:basedOn w:val="2"/>
    <w:autoRedefine/>
    <w:qFormat/>
    <w:uiPriority w:val="99"/>
    <w:pPr>
      <w:spacing w:line="360" w:lineRule="auto"/>
      <w:ind w:firstLine="420"/>
    </w:pPr>
    <w:rPr>
      <w:rFonts w:ascii="宋体" w:hAnsi="宋体"/>
      <w:sz w:val="24"/>
    </w:rPr>
  </w:style>
  <w:style w:type="table" w:styleId="47">
    <w:name w:val="Table Grid"/>
    <w:basedOn w:val="46"/>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9">
    <w:name w:val="Strong"/>
    <w:autoRedefine/>
    <w:qFormat/>
    <w:uiPriority w:val="0"/>
    <w:rPr>
      <w:b/>
      <w:bCs/>
    </w:rPr>
  </w:style>
  <w:style w:type="character" w:styleId="50">
    <w:name w:val="endnote reference"/>
    <w:autoRedefine/>
    <w:qFormat/>
    <w:uiPriority w:val="0"/>
    <w:rPr>
      <w:vertAlign w:val="superscript"/>
    </w:rPr>
  </w:style>
  <w:style w:type="character" w:styleId="51">
    <w:name w:val="page number"/>
    <w:basedOn w:val="48"/>
    <w:autoRedefine/>
    <w:qFormat/>
    <w:uiPriority w:val="0"/>
  </w:style>
  <w:style w:type="character" w:styleId="52">
    <w:name w:val="FollowedHyperlink"/>
    <w:autoRedefine/>
    <w:qFormat/>
    <w:uiPriority w:val="0"/>
    <w:rPr>
      <w:color w:val="800080"/>
      <w:u w:val="single"/>
    </w:rPr>
  </w:style>
  <w:style w:type="character" w:styleId="53">
    <w:name w:val="Emphasis"/>
    <w:autoRedefine/>
    <w:qFormat/>
    <w:uiPriority w:val="0"/>
    <w:rPr>
      <w:i/>
      <w:iCs/>
    </w:rPr>
  </w:style>
  <w:style w:type="character" w:styleId="54">
    <w:name w:val="Hyperlink"/>
    <w:autoRedefine/>
    <w:qFormat/>
    <w:uiPriority w:val="99"/>
    <w:rPr>
      <w:color w:val="0000FF"/>
      <w:u w:val="single"/>
    </w:rPr>
  </w:style>
  <w:style w:type="character" w:styleId="55">
    <w:name w:val="annotation reference"/>
    <w:autoRedefine/>
    <w:qFormat/>
    <w:uiPriority w:val="0"/>
    <w:rPr>
      <w:sz w:val="21"/>
      <w:szCs w:val="21"/>
    </w:rPr>
  </w:style>
  <w:style w:type="character" w:styleId="56">
    <w:name w:val="footnote reference"/>
    <w:autoRedefine/>
    <w:qFormat/>
    <w:uiPriority w:val="0"/>
    <w:rPr>
      <w:vertAlign w:val="superscript"/>
    </w:rPr>
  </w:style>
  <w:style w:type="paragraph" w:customStyle="1" w:styleId="57">
    <w:name w:val="目录 53"/>
    <w:next w:val="1"/>
    <w:autoRedefine/>
    <w:qFormat/>
    <w:uiPriority w:val="99"/>
    <w:pPr>
      <w:wordWrap w:val="0"/>
      <w:ind w:left="1275"/>
      <w:jc w:val="both"/>
    </w:pPr>
    <w:rPr>
      <w:rFonts w:ascii="Calibri" w:hAnsi="Calibri" w:eastAsia="宋体" w:cs="Times New Roman"/>
      <w:sz w:val="21"/>
      <w:lang w:val="en-US" w:eastAsia="zh-CN" w:bidi="ar-SA"/>
    </w:rPr>
  </w:style>
  <w:style w:type="paragraph" w:customStyle="1" w:styleId="58">
    <w:name w:val="rr"/>
    <w:basedOn w:val="1"/>
    <w:autoRedefine/>
    <w:qFormat/>
    <w:uiPriority w:val="0"/>
    <w:pPr>
      <w:widowControl/>
      <w:spacing w:before="100" w:beforeAutospacing="1" w:after="100" w:afterAutospacing="1"/>
      <w:jc w:val="left"/>
    </w:pPr>
    <w:rPr>
      <w:rFonts w:hint="eastAsia" w:ascii="宋体" w:hAnsi="宋体"/>
      <w:kern w:val="0"/>
      <w:szCs w:val="21"/>
    </w:rPr>
  </w:style>
  <w:style w:type="paragraph" w:customStyle="1" w:styleId="59">
    <w:name w:val="_Style 101"/>
    <w:basedOn w:val="1"/>
    <w:autoRedefine/>
    <w:qFormat/>
    <w:uiPriority w:val="99"/>
    <w:pPr>
      <w:ind w:firstLine="420" w:firstLineChars="200"/>
    </w:pPr>
    <w:rPr>
      <w:sz w:val="28"/>
      <w:szCs w:val="28"/>
    </w:rPr>
  </w:style>
  <w:style w:type="paragraph" w:customStyle="1" w:styleId="60">
    <w:name w:val="表格标题"/>
    <w:basedOn w:val="61"/>
    <w:autoRedefine/>
    <w:qFormat/>
    <w:uiPriority w:val="0"/>
  </w:style>
  <w:style w:type="paragraph" w:customStyle="1" w:styleId="61">
    <w:name w:val="表格内容"/>
    <w:basedOn w:val="1"/>
    <w:autoRedefine/>
    <w:qFormat/>
    <w:uiPriority w:val="0"/>
    <w:pPr>
      <w:suppressLineNumbers/>
      <w:suppressAutoHyphens/>
    </w:pPr>
  </w:style>
  <w:style w:type="paragraph" w:customStyle="1" w:styleId="62">
    <w:name w:val="l-2"/>
    <w:basedOn w:val="1"/>
    <w:autoRedefine/>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63">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64">
    <w:name w:val="1"/>
    <w:basedOn w:val="1"/>
    <w:autoRedefine/>
    <w:qFormat/>
    <w:uiPriority w:val="0"/>
    <w:pPr>
      <w:widowControl/>
      <w:spacing w:before="100" w:beforeAutospacing="1" w:after="100" w:afterAutospacing="1"/>
      <w:jc w:val="left"/>
    </w:pPr>
    <w:rPr>
      <w:rFonts w:ascii="ˎ̥" w:hAnsi="ˎ̥" w:cs="宋体"/>
      <w:kern w:val="0"/>
      <w:sz w:val="24"/>
    </w:rPr>
  </w:style>
  <w:style w:type="paragraph" w:customStyle="1" w:styleId="65">
    <w:name w:val="标准样式1"/>
    <w:basedOn w:val="1"/>
    <w:autoRedefine/>
    <w:qFormat/>
    <w:uiPriority w:val="0"/>
    <w:pPr>
      <w:spacing w:line="600" w:lineRule="exact"/>
      <w:ind w:firstLine="567"/>
    </w:pPr>
    <w:rPr>
      <w:rFonts w:ascii="Calibri" w:hAnsi="Calibri"/>
      <w:sz w:val="28"/>
    </w:rPr>
  </w:style>
  <w:style w:type="paragraph" w:customStyle="1" w:styleId="66">
    <w:name w:val="列出段落11"/>
    <w:basedOn w:val="1"/>
    <w:autoRedefine/>
    <w:qFormat/>
    <w:uiPriority w:val="0"/>
    <w:pPr>
      <w:ind w:firstLine="420" w:firstLineChars="200"/>
    </w:pPr>
    <w:rPr>
      <w:sz w:val="28"/>
      <w:szCs w:val="28"/>
    </w:rPr>
  </w:style>
  <w:style w:type="paragraph" w:customStyle="1" w:styleId="67">
    <w:name w:val="p17"/>
    <w:basedOn w:val="1"/>
    <w:autoRedefine/>
    <w:qFormat/>
    <w:uiPriority w:val="0"/>
    <w:pPr>
      <w:widowControl/>
      <w:spacing w:before="120" w:after="120"/>
      <w:jc w:val="left"/>
    </w:pPr>
    <w:rPr>
      <w:rFonts w:ascii="Calibri" w:hAnsi="Calibri" w:cs="宋体"/>
      <w:b/>
      <w:bCs/>
      <w:caps/>
      <w:kern w:val="0"/>
      <w:sz w:val="28"/>
      <w:szCs w:val="28"/>
    </w:rPr>
  </w:style>
  <w:style w:type="paragraph" w:customStyle="1" w:styleId="68">
    <w:name w:val="WW-表格标题"/>
    <w:basedOn w:val="69"/>
    <w:autoRedefine/>
    <w:qFormat/>
    <w:uiPriority w:val="0"/>
  </w:style>
  <w:style w:type="paragraph" w:customStyle="1" w:styleId="69">
    <w:name w:val="WW-表格内容"/>
    <w:basedOn w:val="1"/>
    <w:autoRedefine/>
    <w:qFormat/>
    <w:uiPriority w:val="0"/>
    <w:pPr>
      <w:suppressLineNumbers/>
      <w:suppressAutoHyphens/>
    </w:pPr>
  </w:style>
  <w:style w:type="paragraph" w:customStyle="1" w:styleId="70">
    <w:name w:val="引用2"/>
    <w:basedOn w:val="1"/>
    <w:next w:val="1"/>
    <w:link w:val="301"/>
    <w:autoRedefine/>
    <w:qFormat/>
    <w:uiPriority w:val="0"/>
    <w:rPr>
      <w:i/>
      <w:iCs/>
      <w:color w:val="000000"/>
    </w:rPr>
  </w:style>
  <w:style w:type="paragraph" w:customStyle="1" w:styleId="71">
    <w:name w:val="Char Char Char Char Char Char Char Char Char Char"/>
    <w:basedOn w:val="15"/>
    <w:autoRedefine/>
    <w:qFormat/>
    <w:uiPriority w:val="0"/>
    <w:pPr>
      <w:spacing w:line="360" w:lineRule="auto"/>
      <w:ind w:firstLine="200" w:firstLineChars="200"/>
    </w:pPr>
    <w:rPr>
      <w:rFonts w:ascii="Tahoma" w:hAnsi="Tahoma"/>
      <w:sz w:val="24"/>
    </w:rPr>
  </w:style>
  <w:style w:type="paragraph" w:customStyle="1" w:styleId="72">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3">
    <w:name w:val="Char Char Char Char"/>
    <w:basedOn w:val="15"/>
    <w:autoRedefine/>
    <w:qFormat/>
    <w:uiPriority w:val="0"/>
    <w:pPr>
      <w:spacing w:line="360" w:lineRule="auto"/>
      <w:ind w:firstLine="200" w:firstLineChars="200"/>
    </w:pPr>
    <w:rPr>
      <w:rFonts w:ascii="Tahoma" w:hAnsi="Tahoma"/>
      <w:sz w:val="24"/>
    </w:rPr>
  </w:style>
  <w:style w:type="paragraph" w:customStyle="1" w:styleId="74">
    <w:name w:val="style12"/>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75">
    <w:name w:val="g2"/>
    <w:basedOn w:val="1"/>
    <w:autoRedefine/>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6">
    <w:name w:val="p16"/>
    <w:basedOn w:val="1"/>
    <w:autoRedefine/>
    <w:qFormat/>
    <w:uiPriority w:val="0"/>
    <w:pPr>
      <w:widowControl/>
    </w:pPr>
    <w:rPr>
      <w:rFonts w:ascii="Calibri" w:hAnsi="Calibri" w:cs="宋体"/>
      <w:kern w:val="0"/>
      <w:szCs w:val="21"/>
    </w:rPr>
  </w:style>
  <w:style w:type="paragraph" w:customStyle="1" w:styleId="77">
    <w:name w:val="列出段落1"/>
    <w:basedOn w:val="1"/>
    <w:autoRedefine/>
    <w:qFormat/>
    <w:uiPriority w:val="0"/>
    <w:pPr>
      <w:ind w:firstLine="420" w:firstLineChars="200"/>
    </w:pPr>
    <w:rPr>
      <w:sz w:val="28"/>
      <w:szCs w:val="28"/>
    </w:rPr>
  </w:style>
  <w:style w:type="paragraph" w:customStyle="1" w:styleId="78">
    <w:name w:val="样式1"/>
    <w:basedOn w:val="1"/>
    <w:next w:val="6"/>
    <w:autoRedefine/>
    <w:qFormat/>
    <w:uiPriority w:val="0"/>
    <w:pPr>
      <w:spacing w:line="360" w:lineRule="auto"/>
      <w:ind w:firstLine="420" w:firstLineChars="200"/>
    </w:pPr>
    <w:rPr>
      <w:rFonts w:ascii="宋体" w:hAnsi="宋体"/>
      <w:szCs w:val="21"/>
    </w:rPr>
  </w:style>
  <w:style w:type="paragraph" w:customStyle="1" w:styleId="79">
    <w:name w:val="ly"/>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80">
    <w:name w:val="Char9 Char Char Char Char Char Char"/>
    <w:basedOn w:val="15"/>
    <w:autoRedefine/>
    <w:qFormat/>
    <w:uiPriority w:val="0"/>
    <w:pPr>
      <w:spacing w:line="360" w:lineRule="auto"/>
      <w:ind w:firstLine="200" w:firstLineChars="200"/>
    </w:pPr>
    <w:rPr>
      <w:rFonts w:ascii="Tahoma" w:hAnsi="Tahoma"/>
      <w:sz w:val="24"/>
    </w:rPr>
  </w:style>
  <w:style w:type="paragraph" w:customStyle="1" w:styleId="81">
    <w:name w:val="xl65"/>
    <w:basedOn w:val="1"/>
    <w:autoRedefine/>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82">
    <w:name w:val="引用1"/>
    <w:basedOn w:val="1"/>
    <w:next w:val="1"/>
    <w:link w:val="151"/>
    <w:autoRedefine/>
    <w:qFormat/>
    <w:uiPriority w:val="29"/>
    <w:rPr>
      <w:i/>
      <w:iCs/>
      <w:color w:val="000000"/>
      <w:szCs w:val="20"/>
    </w:rPr>
  </w:style>
  <w:style w:type="paragraph" w:customStyle="1" w:styleId="83">
    <w:name w:val="表格文字"/>
    <w:basedOn w:val="1"/>
    <w:autoRedefine/>
    <w:qFormat/>
    <w:uiPriority w:val="0"/>
    <w:pPr>
      <w:adjustRightInd w:val="0"/>
      <w:spacing w:line="420" w:lineRule="atLeast"/>
      <w:jc w:val="left"/>
      <w:textAlignment w:val="baseline"/>
    </w:pPr>
    <w:rPr>
      <w:kern w:val="0"/>
      <w:szCs w:val="20"/>
    </w:rPr>
  </w:style>
  <w:style w:type="paragraph" w:customStyle="1" w:styleId="84">
    <w:name w:val="_Style 96"/>
    <w:autoRedefine/>
    <w:qFormat/>
    <w:uiPriority w:val="99"/>
    <w:rPr>
      <w:rFonts w:ascii="Calibri" w:hAnsi="Calibri" w:eastAsia="宋体" w:cs="Times New Roman"/>
      <w:kern w:val="2"/>
      <w:sz w:val="21"/>
      <w:szCs w:val="24"/>
      <w:lang w:val="en-US" w:eastAsia="zh-CN" w:bidi="ar-SA"/>
    </w:rPr>
  </w:style>
  <w:style w:type="paragraph" w:customStyle="1" w:styleId="85">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Calibri" w:hAnsi="Calibri" w:eastAsia="宋体" w:cs="Times New Roman"/>
      <w:kern w:val="2"/>
      <w:sz w:val="21"/>
      <w:lang w:val="en-US" w:eastAsia="zh-CN" w:bidi="ar-SA"/>
    </w:rPr>
  </w:style>
  <w:style w:type="paragraph" w:customStyle="1" w:styleId="86">
    <w:name w:val="_Style 105"/>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7">
    <w:name w:val="正  文"/>
    <w:basedOn w:val="1"/>
    <w:autoRedefine/>
    <w:qFormat/>
    <w:uiPriority w:val="0"/>
    <w:pPr>
      <w:spacing w:line="360" w:lineRule="auto"/>
      <w:ind w:firstLine="200" w:firstLineChars="200"/>
    </w:pPr>
    <w:rPr>
      <w:rFonts w:ascii="宋体" w:hAnsi="Calibri"/>
      <w:sz w:val="24"/>
    </w:rPr>
  </w:style>
  <w:style w:type="paragraph" w:customStyle="1" w:styleId="88">
    <w:name w:val="标题4"/>
    <w:basedOn w:val="4"/>
    <w:next w:val="20"/>
    <w:link w:val="244"/>
    <w:autoRedefine/>
    <w:qFormat/>
    <w:uiPriority w:val="0"/>
    <w:pPr>
      <w:spacing w:line="413" w:lineRule="auto"/>
    </w:pPr>
    <w:rPr>
      <w:rFonts w:ascii="Arial" w:hAnsi="Arial"/>
      <w:kern w:val="0"/>
      <w:sz w:val="24"/>
    </w:rPr>
  </w:style>
  <w:style w:type="paragraph" w:customStyle="1" w:styleId="89">
    <w:name w:val="_Style 3"/>
    <w:autoRedefine/>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90">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1">
    <w:name w:val="标题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2">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93">
    <w:name w:val="链接"/>
    <w:autoRedefine/>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94">
    <w:name w:val="g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5">
    <w:name w:val="zz"/>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96">
    <w:name w:val="1 Char"/>
    <w:basedOn w:val="1"/>
    <w:autoRedefine/>
    <w:qFormat/>
    <w:uiPriority w:val="0"/>
    <w:pPr>
      <w:widowControl/>
      <w:spacing w:after="160" w:line="240" w:lineRule="exact"/>
      <w:jc w:val="left"/>
    </w:pPr>
    <w:rPr>
      <w:rFonts w:ascii="Calibri" w:hAnsi="Calibri"/>
      <w:szCs w:val="20"/>
    </w:rPr>
  </w:style>
  <w:style w:type="paragraph" w:customStyle="1" w:styleId="97">
    <w:name w:val="g11"/>
    <w:basedOn w:val="1"/>
    <w:autoRedefine/>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98">
    <w:name w:val="pa-34"/>
    <w:basedOn w:val="1"/>
    <w:autoRedefine/>
    <w:qFormat/>
    <w:uiPriority w:val="0"/>
    <w:pPr>
      <w:widowControl/>
      <w:spacing w:line="360" w:lineRule="atLeast"/>
      <w:ind w:firstLine="420"/>
      <w:jc w:val="left"/>
    </w:pPr>
    <w:rPr>
      <w:rFonts w:ascii="宋体" w:hAnsi="宋体" w:cs="宋体"/>
      <w:kern w:val="0"/>
      <w:sz w:val="24"/>
    </w:rPr>
  </w:style>
  <w:style w:type="paragraph" w:customStyle="1" w:styleId="99">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00">
    <w:name w:val="p15"/>
    <w:basedOn w:val="1"/>
    <w:autoRedefine/>
    <w:qFormat/>
    <w:uiPriority w:val="0"/>
    <w:pPr>
      <w:widowControl/>
      <w:spacing w:after="120"/>
    </w:pPr>
    <w:rPr>
      <w:kern w:val="0"/>
      <w:szCs w:val="21"/>
    </w:rPr>
  </w:style>
  <w:style w:type="paragraph" w:customStyle="1" w:styleId="101">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2">
    <w:name w:val="Char Char Char Char Char Char Char Char Char Char Char Char Char Char Char Char"/>
    <w:basedOn w:val="15"/>
    <w:autoRedefine/>
    <w:qFormat/>
    <w:uiPriority w:val="0"/>
    <w:pPr>
      <w:spacing w:line="360" w:lineRule="auto"/>
      <w:ind w:firstLine="200" w:firstLineChars="200"/>
    </w:pPr>
    <w:rPr>
      <w:rFonts w:ascii="Tahoma" w:hAnsi="Tahoma"/>
      <w:sz w:val="24"/>
    </w:rPr>
  </w:style>
  <w:style w:type="paragraph" w:customStyle="1" w:styleId="103">
    <w:name w:val="_Style 124"/>
    <w:basedOn w:val="1"/>
    <w:next w:val="1"/>
    <w:link w:val="198"/>
    <w:autoRedefine/>
    <w:qFormat/>
    <w:uiPriority w:val="0"/>
    <w:rPr>
      <w:i/>
      <w:iCs/>
      <w:color w:val="000000"/>
      <w:szCs w:val="22"/>
    </w:rPr>
  </w:style>
  <w:style w:type="paragraph" w:customStyle="1" w:styleId="104">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customStyle="1" w:styleId="105">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6">
    <w:name w:val="Char Char"/>
    <w:basedOn w:val="1"/>
    <w:autoRedefine/>
    <w:qFormat/>
    <w:uiPriority w:val="0"/>
    <w:pPr>
      <w:widowControl/>
      <w:jc w:val="left"/>
    </w:pPr>
    <w:rPr>
      <w:rFonts w:ascii="Verdana" w:hAnsi="Verdana" w:eastAsia="Times New Roman"/>
      <w:kern w:val="0"/>
      <w:sz w:val="16"/>
      <w:szCs w:val="20"/>
      <w:lang w:eastAsia="en-US"/>
    </w:rPr>
  </w:style>
  <w:style w:type="paragraph" w:customStyle="1" w:styleId="107">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08">
    <w:name w:val="pa-27"/>
    <w:basedOn w:val="1"/>
    <w:autoRedefine/>
    <w:qFormat/>
    <w:uiPriority w:val="0"/>
    <w:pPr>
      <w:widowControl/>
      <w:spacing w:line="360" w:lineRule="atLeast"/>
      <w:ind w:firstLine="420"/>
    </w:pPr>
    <w:rPr>
      <w:rFonts w:ascii="宋体" w:hAnsi="宋体" w:cs="宋体"/>
      <w:kern w:val="0"/>
      <w:sz w:val="24"/>
    </w:rPr>
  </w:style>
  <w:style w:type="paragraph" w:customStyle="1" w:styleId="109">
    <w:name w:val="_Style 90"/>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0">
    <w:name w:val="2"/>
    <w:next w:val="1"/>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11">
    <w:name w:val="表格"/>
    <w:basedOn w:val="1"/>
    <w:autoRedefine/>
    <w:qFormat/>
    <w:uiPriority w:val="0"/>
    <w:pPr>
      <w:jc w:val="center"/>
      <w:textAlignment w:val="center"/>
    </w:pPr>
    <w:rPr>
      <w:rFonts w:ascii="华文细黑" w:hAnsi="华文细黑"/>
      <w:kern w:val="0"/>
      <w:szCs w:val="20"/>
    </w:rPr>
  </w:style>
  <w:style w:type="paragraph" w:customStyle="1" w:styleId="112">
    <w:name w:val="明显引用1"/>
    <w:basedOn w:val="1"/>
    <w:next w:val="1"/>
    <w:link w:val="299"/>
    <w:autoRedefine/>
    <w:qFormat/>
    <w:uiPriority w:val="30"/>
    <w:pPr>
      <w:pBdr>
        <w:bottom w:val="single" w:color="4F81BD" w:sz="4" w:space="4"/>
      </w:pBdr>
      <w:spacing w:before="200" w:after="280"/>
      <w:ind w:left="936" w:right="936"/>
    </w:pPr>
    <w:rPr>
      <w:b/>
      <w:bCs/>
      <w:i/>
      <w:iCs/>
      <w:color w:val="4F81BD"/>
      <w:szCs w:val="20"/>
    </w:rPr>
  </w:style>
  <w:style w:type="paragraph" w:customStyle="1" w:styleId="113">
    <w:name w:val="样式15"/>
    <w:basedOn w:val="5"/>
    <w:autoRedefine/>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14">
    <w:name w:val="TOC 标题2"/>
    <w:basedOn w:val="3"/>
    <w:next w:val="1"/>
    <w:autoRedefine/>
    <w:qFormat/>
    <w:uiPriority w:val="0"/>
    <w:pPr>
      <w:outlineLvl w:val="9"/>
    </w:pPr>
    <w:rPr>
      <w:rFonts w:ascii="Calibri" w:hAnsi="Calibri"/>
    </w:rPr>
  </w:style>
  <w:style w:type="paragraph" w:customStyle="1" w:styleId="115">
    <w:name w:val="样式 标题 1 + 黑体 三号 非加粗 居中 段前: 6 磅 段后: 6 磅 行距: 固定值 20 磅"/>
    <w:basedOn w:val="3"/>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116">
    <w:name w:val="intel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7">
    <w:name w:val="标题5"/>
    <w:basedOn w:val="5"/>
    <w:link w:val="166"/>
    <w:autoRedefine/>
    <w:qFormat/>
    <w:uiPriority w:val="0"/>
    <w:pPr>
      <w:spacing w:line="413" w:lineRule="auto"/>
    </w:pPr>
    <w:rPr>
      <w:rFonts w:ascii="Arial" w:hAnsi="Arial"/>
      <w:kern w:val="0"/>
      <w:sz w:val="24"/>
    </w:rPr>
  </w:style>
  <w:style w:type="paragraph" w:customStyle="1" w:styleId="118">
    <w:name w:val="正文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119">
    <w:name w:val="_Style 64"/>
    <w:basedOn w:val="1"/>
    <w:next w:val="1"/>
    <w:link w:val="298"/>
    <w:autoRedefine/>
    <w:qFormat/>
    <w:uiPriority w:val="0"/>
    <w:pPr>
      <w:pBdr>
        <w:bottom w:val="single" w:color="4F81BD" w:sz="4" w:space="4"/>
      </w:pBdr>
      <w:spacing w:before="200" w:after="280"/>
      <w:ind w:left="936" w:right="936"/>
    </w:pPr>
    <w:rPr>
      <w:b/>
      <w:bCs/>
      <w:i/>
      <w:iCs/>
      <w:color w:val="4F81BD"/>
      <w:szCs w:val="22"/>
    </w:rPr>
  </w:style>
  <w:style w:type="paragraph" w:customStyle="1" w:styleId="120">
    <w:name w:val="_Style 128"/>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1">
    <w:name w:val="Char2"/>
    <w:basedOn w:val="1"/>
    <w:autoRedefine/>
    <w:qFormat/>
    <w:uiPriority w:val="0"/>
    <w:rPr>
      <w:rFonts w:ascii="Calibri" w:hAnsi="Calibri"/>
    </w:rPr>
  </w:style>
  <w:style w:type="paragraph" w:customStyle="1" w:styleId="122">
    <w:name w:val="_Style 87"/>
    <w:basedOn w:val="1"/>
    <w:autoRedefine/>
    <w:qFormat/>
    <w:uiPriority w:val="99"/>
    <w:pPr>
      <w:ind w:firstLine="420" w:firstLineChars="200"/>
    </w:pPr>
    <w:rPr>
      <w:rFonts w:ascii="Calibri" w:hAnsi="Calibri"/>
      <w:sz w:val="28"/>
      <w:szCs w:val="28"/>
    </w:rPr>
  </w:style>
  <w:style w:type="paragraph" w:customStyle="1" w:styleId="123">
    <w:name w:val="自定样式1"/>
    <w:basedOn w:val="1"/>
    <w:autoRedefine/>
    <w:qFormat/>
    <w:uiPriority w:val="0"/>
    <w:pPr>
      <w:suppressAutoHyphens/>
      <w:jc w:val="center"/>
    </w:pPr>
    <w:rPr>
      <w:rFonts w:ascii="宋体" w:hAnsi="宋体"/>
      <w:color w:val="000000"/>
      <w:sz w:val="18"/>
    </w:rPr>
  </w:style>
  <w:style w:type="paragraph" w:customStyle="1" w:styleId="124">
    <w:name w:val="_Style 8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5">
    <w:name w:val="Char"/>
    <w:basedOn w:val="1"/>
    <w:autoRedefine/>
    <w:qFormat/>
    <w:uiPriority w:val="0"/>
  </w:style>
  <w:style w:type="paragraph" w:customStyle="1" w:styleId="126">
    <w:name w:val="标题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7">
    <w:name w:val="列表段落1"/>
    <w:basedOn w:val="1"/>
    <w:autoRedefine/>
    <w:qFormat/>
    <w:uiPriority w:val="34"/>
    <w:pPr>
      <w:ind w:firstLine="420" w:firstLineChars="200"/>
    </w:pPr>
    <w:rPr>
      <w:rFonts w:ascii="Calibri" w:hAnsi="Calibri"/>
    </w:rPr>
  </w:style>
  <w:style w:type="paragraph" w:customStyle="1" w:styleId="128">
    <w:name w:val="明显引用11"/>
    <w:basedOn w:val="1"/>
    <w:next w:val="1"/>
    <w:autoRedefine/>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29">
    <w:name w:val="表体"/>
    <w:basedOn w:val="1"/>
    <w:next w:val="1"/>
    <w:autoRedefine/>
    <w:qFormat/>
    <w:uiPriority w:val="0"/>
    <w:pPr>
      <w:spacing w:line="0" w:lineRule="atLeast"/>
    </w:pPr>
    <w:rPr>
      <w:rFonts w:ascii="Calibri" w:hAnsi="Calibri"/>
      <w:b/>
      <w:snapToGrid w:val="0"/>
      <w:szCs w:val="20"/>
    </w:rPr>
  </w:style>
  <w:style w:type="paragraph" w:customStyle="1" w:styleId="130">
    <w:name w:val="rw"/>
    <w:basedOn w:val="1"/>
    <w:autoRedefine/>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31">
    <w:name w:val="标准样式（文件）"/>
    <w:autoRedefine/>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32">
    <w:name w:val="Char Char1 Char Char"/>
    <w:basedOn w:val="15"/>
    <w:autoRedefine/>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3">
    <w:name w:val="Char11"/>
    <w:basedOn w:val="1"/>
    <w:autoRedefine/>
    <w:qFormat/>
    <w:uiPriority w:val="0"/>
  </w:style>
  <w:style w:type="paragraph" w:customStyle="1" w:styleId="134">
    <w:name w:val="Char Char1 Char Char Char Char Char Char Char Char Char Char"/>
    <w:basedOn w:val="1"/>
    <w:autoRedefine/>
    <w:qFormat/>
    <w:uiPriority w:val="0"/>
    <w:pPr>
      <w:autoSpaceDE w:val="0"/>
      <w:autoSpaceDN w:val="0"/>
      <w:adjustRightInd w:val="0"/>
      <w:ind w:firstLine="482"/>
    </w:pPr>
    <w:rPr>
      <w:rFonts w:ascii="Calibri" w:hAnsi="Calibri"/>
      <w:szCs w:val="20"/>
    </w:rPr>
  </w:style>
  <w:style w:type="paragraph" w:customStyle="1" w:styleId="135">
    <w:name w:val="样式 标题 3 + (中文) 黑体 小四 非加粗 段前: 7.8 磅 段后: 0 磅 行距: 固定值 20 磅"/>
    <w:basedOn w:val="5"/>
    <w:next w:val="1"/>
    <w:autoRedefine/>
    <w:qFormat/>
    <w:uiPriority w:val="0"/>
    <w:pPr>
      <w:spacing w:before="0" w:after="0" w:line="400" w:lineRule="exact"/>
    </w:pPr>
    <w:rPr>
      <w:rFonts w:eastAsia="黑体" w:cs="宋体"/>
      <w:b w:val="0"/>
      <w:bCs w:val="0"/>
      <w:sz w:val="24"/>
      <w:szCs w:val="20"/>
    </w:rPr>
  </w:style>
  <w:style w:type="paragraph" w:customStyle="1" w:styleId="136">
    <w:name w:val="_Style 86"/>
    <w:autoRedefine/>
    <w:qFormat/>
    <w:uiPriority w:val="0"/>
    <w:rPr>
      <w:rFonts w:ascii="Times New Roman" w:hAnsi="Times New Roman" w:eastAsia="宋体" w:cs="Times New Roman"/>
      <w:kern w:val="2"/>
      <w:sz w:val="21"/>
      <w:szCs w:val="24"/>
      <w:lang w:val="en-US" w:eastAsia="zh-CN" w:bidi="ar-SA"/>
    </w:rPr>
  </w:style>
  <w:style w:type="paragraph" w:customStyle="1" w:styleId="137">
    <w:name w:val="Char1"/>
    <w:basedOn w:val="1"/>
    <w:autoRedefine/>
    <w:qFormat/>
    <w:uiPriority w:val="0"/>
  </w:style>
  <w:style w:type="paragraph" w:customStyle="1" w:styleId="138">
    <w:name w:val="TOC 标题1"/>
    <w:basedOn w:val="3"/>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39">
    <w:name w:val="Default"/>
    <w:autoRedefine/>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40">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1">
    <w:name w:val="mtitle"/>
    <w:basedOn w:val="1"/>
    <w:autoRedefine/>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4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3">
    <w:name w:val="正文文本 Char2"/>
    <w:autoRedefine/>
    <w:qFormat/>
    <w:uiPriority w:val="99"/>
    <w:rPr>
      <w:kern w:val="2"/>
      <w:sz w:val="21"/>
      <w:szCs w:val="24"/>
    </w:rPr>
  </w:style>
  <w:style w:type="character" w:customStyle="1" w:styleId="144">
    <w:name w:val="尾注文本 Char1"/>
    <w:autoRedefine/>
    <w:qFormat/>
    <w:uiPriority w:val="0"/>
    <w:rPr>
      <w:rFonts w:ascii="Arial" w:hAnsi="Arial" w:cs="Arial"/>
      <w:szCs w:val="24"/>
      <w:lang w:eastAsia="en-US"/>
    </w:rPr>
  </w:style>
  <w:style w:type="character" w:customStyle="1" w:styleId="145">
    <w:name w:val="脚注文本 Char"/>
    <w:autoRedefine/>
    <w:qFormat/>
    <w:uiPriority w:val="0"/>
    <w:rPr>
      <w:rFonts w:ascii="Arial" w:hAnsi="Arial" w:eastAsia="宋体" w:cs="Arial"/>
      <w:sz w:val="18"/>
      <w:szCs w:val="18"/>
      <w:lang w:eastAsia="en-US"/>
    </w:rPr>
  </w:style>
  <w:style w:type="character" w:customStyle="1" w:styleId="146">
    <w:name w:val="Char Char17"/>
    <w:autoRedefine/>
    <w:qFormat/>
    <w:uiPriority w:val="0"/>
    <w:rPr>
      <w:kern w:val="2"/>
      <w:sz w:val="26"/>
      <w:szCs w:val="24"/>
    </w:rPr>
  </w:style>
  <w:style w:type="character" w:customStyle="1" w:styleId="147">
    <w:name w:val="副标题 Char1"/>
    <w:autoRedefine/>
    <w:qFormat/>
    <w:uiPriority w:val="0"/>
    <w:rPr>
      <w:szCs w:val="24"/>
      <w:u w:val="single"/>
      <w:lang w:eastAsia="en-US"/>
    </w:rPr>
  </w:style>
  <w:style w:type="character" w:customStyle="1" w:styleId="148">
    <w:name w:val="标题 Char1"/>
    <w:autoRedefine/>
    <w:qFormat/>
    <w:uiPriority w:val="10"/>
    <w:rPr>
      <w:szCs w:val="24"/>
      <w:u w:val="single"/>
      <w:lang w:eastAsia="en-US"/>
    </w:rPr>
  </w:style>
  <w:style w:type="character" w:customStyle="1" w:styleId="149">
    <w:name w:val="Char Char24"/>
    <w:autoRedefine/>
    <w:qFormat/>
    <w:uiPriority w:val="0"/>
    <w:rPr>
      <w:b/>
      <w:bCs/>
      <w:kern w:val="44"/>
      <w:sz w:val="44"/>
      <w:szCs w:val="44"/>
    </w:rPr>
  </w:style>
  <w:style w:type="character" w:customStyle="1" w:styleId="150">
    <w:name w:val="批注主题 Char"/>
    <w:autoRedefine/>
    <w:qFormat/>
    <w:uiPriority w:val="0"/>
    <w:rPr>
      <w:rFonts w:ascii="宋体" w:hAnsi="宋体" w:eastAsia="宋体"/>
      <w:kern w:val="2"/>
      <w:sz w:val="24"/>
      <w:szCs w:val="28"/>
      <w:lang w:val="en-US" w:eastAsia="zh-CN" w:bidi="ar-SA"/>
    </w:rPr>
  </w:style>
  <w:style w:type="character" w:customStyle="1" w:styleId="151">
    <w:name w:val="引用 Char1"/>
    <w:link w:val="82"/>
    <w:autoRedefine/>
    <w:qFormat/>
    <w:uiPriority w:val="29"/>
    <w:rPr>
      <w:i/>
      <w:iCs/>
      <w:color w:val="000000"/>
      <w:kern w:val="2"/>
      <w:sz w:val="21"/>
    </w:rPr>
  </w:style>
  <w:style w:type="character" w:customStyle="1" w:styleId="152">
    <w:name w:val="Char Char23"/>
    <w:autoRedefine/>
    <w:qFormat/>
    <w:uiPriority w:val="0"/>
    <w:rPr>
      <w:rFonts w:ascii="Cambria" w:hAnsi="Cambria" w:eastAsia="宋体" w:cs="Times New Roman"/>
      <w:b/>
      <w:bCs/>
      <w:kern w:val="2"/>
      <w:sz w:val="32"/>
      <w:szCs w:val="32"/>
    </w:rPr>
  </w:style>
  <w:style w:type="character" w:customStyle="1" w:styleId="153">
    <w:name w:val="ITTHEADER2 Char"/>
    <w:autoRedefine/>
    <w:qFormat/>
    <w:uiPriority w:val="0"/>
    <w:rPr>
      <w:rFonts w:ascii="仿宋_GB2312" w:eastAsia="仿宋_GB2312" w:cs="MingLiU"/>
      <w:b/>
      <w:spacing w:val="1"/>
      <w:w w:val="99"/>
      <w:sz w:val="28"/>
      <w:szCs w:val="32"/>
      <w:lang w:val="en-US" w:eastAsia="zh-CN" w:bidi="ar-SA"/>
    </w:rPr>
  </w:style>
  <w:style w:type="character" w:customStyle="1" w:styleId="154">
    <w:name w:val="标题 9 Char1"/>
    <w:autoRedefine/>
    <w:qFormat/>
    <w:uiPriority w:val="0"/>
    <w:rPr>
      <w:rFonts w:ascii="Times New Roman" w:hAnsi="Times New Roman" w:eastAsia="仿宋_GB2312" w:cs="Times New Roman"/>
      <w:sz w:val="30"/>
      <w:szCs w:val="20"/>
    </w:rPr>
  </w:style>
  <w:style w:type="character" w:customStyle="1" w:styleId="155">
    <w:name w:val="正文文本 Char1"/>
    <w:autoRedefine/>
    <w:qFormat/>
    <w:uiPriority w:val="0"/>
    <w:rPr>
      <w:kern w:val="2"/>
      <w:sz w:val="21"/>
      <w:szCs w:val="22"/>
    </w:rPr>
  </w:style>
  <w:style w:type="character" w:customStyle="1" w:styleId="156">
    <w:name w:val="引用 Char2"/>
    <w:autoRedefine/>
    <w:qFormat/>
    <w:uiPriority w:val="99"/>
    <w:rPr>
      <w:i/>
      <w:iCs/>
      <w:color w:val="000000"/>
      <w:kern w:val="2"/>
      <w:sz w:val="21"/>
      <w:szCs w:val="24"/>
    </w:rPr>
  </w:style>
  <w:style w:type="character" w:customStyle="1" w:styleId="157">
    <w:name w:val="正文文本 Char3"/>
    <w:autoRedefine/>
    <w:qFormat/>
    <w:uiPriority w:val="99"/>
    <w:rPr>
      <w:rFonts w:ascii="Calibri" w:hAnsi="Calibri" w:eastAsia="宋体" w:cs="Times New Roman"/>
      <w:szCs w:val="24"/>
    </w:rPr>
  </w:style>
  <w:style w:type="character" w:customStyle="1" w:styleId="158">
    <w:name w:val="日期 字符"/>
    <w:link w:val="25"/>
    <w:autoRedefine/>
    <w:qFormat/>
    <w:uiPriority w:val="0"/>
    <w:rPr>
      <w:rFonts w:eastAsia="宋体"/>
      <w:kern w:val="2"/>
      <w:sz w:val="21"/>
      <w:szCs w:val="24"/>
      <w:lang w:val="en-US" w:eastAsia="zh-CN" w:bidi="ar-SA"/>
    </w:rPr>
  </w:style>
  <w:style w:type="character" w:customStyle="1" w:styleId="159">
    <w:name w:val="标题 2 Char"/>
    <w:autoRedefine/>
    <w:qFormat/>
    <w:uiPriority w:val="0"/>
    <w:rPr>
      <w:rFonts w:ascii="仿宋_GB2312" w:hAnsi="Calibri" w:eastAsia="仿宋_GB2312" w:cs="Times New Roman"/>
      <w:b/>
      <w:spacing w:val="1"/>
      <w:w w:val="99"/>
      <w:kern w:val="0"/>
      <w:sz w:val="28"/>
      <w:szCs w:val="32"/>
    </w:rPr>
  </w:style>
  <w:style w:type="character" w:customStyle="1" w:styleId="160">
    <w:name w:val="标题 7 Char"/>
    <w:autoRedefine/>
    <w:qFormat/>
    <w:uiPriority w:val="0"/>
    <w:rPr>
      <w:rFonts w:ascii="Calibri" w:hAnsi="Calibri" w:eastAsia="宋体" w:cs="Times New Roman"/>
      <w:b/>
      <w:bCs/>
      <w:sz w:val="24"/>
      <w:szCs w:val="24"/>
    </w:rPr>
  </w:style>
  <w:style w:type="character" w:customStyle="1" w:styleId="161">
    <w:name w:val="批注框文本 Char1"/>
    <w:autoRedefine/>
    <w:qFormat/>
    <w:uiPriority w:val="0"/>
    <w:rPr>
      <w:kern w:val="2"/>
      <w:sz w:val="18"/>
      <w:szCs w:val="18"/>
    </w:rPr>
  </w:style>
  <w:style w:type="character" w:customStyle="1" w:styleId="162">
    <w:name w:val="日期 Char1"/>
    <w:autoRedefine/>
    <w:qFormat/>
    <w:uiPriority w:val="0"/>
    <w:rPr>
      <w:kern w:val="2"/>
      <w:sz w:val="21"/>
      <w:szCs w:val="22"/>
    </w:rPr>
  </w:style>
  <w:style w:type="character" w:customStyle="1" w:styleId="163">
    <w:name w:val="_Style 171"/>
    <w:autoRedefine/>
    <w:qFormat/>
    <w:uiPriority w:val="0"/>
    <w:rPr>
      <w:b/>
      <w:bCs/>
      <w:i/>
      <w:iCs/>
      <w:color w:val="4F81BD"/>
    </w:rPr>
  </w:style>
  <w:style w:type="character" w:customStyle="1" w:styleId="164">
    <w:name w:val="Char Char22"/>
    <w:autoRedefine/>
    <w:qFormat/>
    <w:uiPriority w:val="0"/>
    <w:rPr>
      <w:b/>
      <w:bCs/>
      <w:kern w:val="2"/>
      <w:sz w:val="32"/>
      <w:szCs w:val="32"/>
    </w:rPr>
  </w:style>
  <w:style w:type="character" w:customStyle="1" w:styleId="165">
    <w:name w:val="标题 6 Char1"/>
    <w:autoRedefine/>
    <w:qFormat/>
    <w:uiPriority w:val="0"/>
    <w:rPr>
      <w:rFonts w:ascii="Times New Roman" w:hAnsi="Arial" w:eastAsia="仿宋_GB2312" w:cs="Times New Roman"/>
      <w:sz w:val="30"/>
      <w:szCs w:val="20"/>
    </w:rPr>
  </w:style>
  <w:style w:type="character" w:customStyle="1" w:styleId="166">
    <w:name w:val="标题5 Char Char"/>
    <w:link w:val="117"/>
    <w:autoRedefine/>
    <w:qFormat/>
    <w:uiPriority w:val="0"/>
    <w:rPr>
      <w:rFonts w:ascii="Arial" w:hAnsi="Arial"/>
      <w:b/>
      <w:bCs/>
      <w:sz w:val="24"/>
      <w:szCs w:val="32"/>
      <w:lang w:bidi="ar-SA"/>
    </w:rPr>
  </w:style>
  <w:style w:type="character" w:customStyle="1" w:styleId="167">
    <w:name w:val="正文文本缩进 Char1"/>
    <w:autoRedefine/>
    <w:qFormat/>
    <w:uiPriority w:val="0"/>
    <w:rPr>
      <w:kern w:val="2"/>
      <w:sz w:val="21"/>
      <w:szCs w:val="24"/>
    </w:rPr>
  </w:style>
  <w:style w:type="character" w:customStyle="1" w:styleId="168">
    <w:name w:val="标题 4 Char1"/>
    <w:autoRedefine/>
    <w:qFormat/>
    <w:uiPriority w:val="0"/>
    <w:rPr>
      <w:rFonts w:ascii="宋体" w:hAnsi="宋体" w:eastAsia="宋体" w:cs="宋体"/>
      <w:b/>
      <w:bCs/>
      <w:sz w:val="24"/>
      <w:szCs w:val="24"/>
    </w:rPr>
  </w:style>
  <w:style w:type="character" w:customStyle="1" w:styleId="169">
    <w:name w:val="尾注文本 Char"/>
    <w:autoRedefine/>
    <w:qFormat/>
    <w:uiPriority w:val="0"/>
    <w:rPr>
      <w:kern w:val="2"/>
      <w:sz w:val="21"/>
      <w:szCs w:val="24"/>
    </w:rPr>
  </w:style>
  <w:style w:type="character" w:customStyle="1" w:styleId="170">
    <w:name w:val="HTML 预设格式 字符"/>
    <w:link w:val="40"/>
    <w:autoRedefine/>
    <w:qFormat/>
    <w:uiPriority w:val="0"/>
    <w:rPr>
      <w:rFonts w:ascii="宋体" w:hAnsi="宋体" w:eastAsia="宋体" w:cs="宋体"/>
      <w:color w:val="000000"/>
      <w:sz w:val="24"/>
      <w:szCs w:val="24"/>
      <w:lang w:val="en-US" w:eastAsia="zh-CN" w:bidi="ar-SA"/>
    </w:rPr>
  </w:style>
  <w:style w:type="character" w:customStyle="1" w:styleId="171">
    <w:name w:val="尾注文本 Char2"/>
    <w:autoRedefine/>
    <w:qFormat/>
    <w:uiPriority w:val="99"/>
    <w:rPr>
      <w:rFonts w:ascii="Calibri" w:hAnsi="Calibri" w:eastAsia="宋体" w:cs="Times New Roman"/>
      <w:szCs w:val="24"/>
    </w:rPr>
  </w:style>
  <w:style w:type="character" w:customStyle="1" w:styleId="172">
    <w:name w:val="明显强调1"/>
    <w:autoRedefine/>
    <w:qFormat/>
    <w:uiPriority w:val="0"/>
    <w:rPr>
      <w:b/>
      <w:bCs/>
      <w:i/>
      <w:iCs/>
      <w:color w:val="4F81BD"/>
    </w:rPr>
  </w:style>
  <w:style w:type="character" w:customStyle="1" w:styleId="173">
    <w:name w:val="正文文本 Char"/>
    <w:autoRedefine/>
    <w:qFormat/>
    <w:uiPriority w:val="0"/>
    <w:rPr>
      <w:sz w:val="26"/>
      <w:szCs w:val="24"/>
    </w:rPr>
  </w:style>
  <w:style w:type="character" w:customStyle="1" w:styleId="174">
    <w:name w:val="脚注文本 Char2"/>
    <w:autoRedefine/>
    <w:qFormat/>
    <w:uiPriority w:val="99"/>
    <w:rPr>
      <w:rFonts w:ascii="Calibri" w:hAnsi="Calibri" w:eastAsia="宋体" w:cs="Times New Roman"/>
      <w:sz w:val="18"/>
      <w:szCs w:val="18"/>
    </w:rPr>
  </w:style>
  <w:style w:type="character" w:customStyle="1" w:styleId="175">
    <w:name w:val="正文文本 2 Char1"/>
    <w:autoRedefine/>
    <w:qFormat/>
    <w:uiPriority w:val="99"/>
    <w:rPr>
      <w:rFonts w:ascii="Calibri" w:hAnsi="Calibri" w:eastAsia="宋体" w:cs="Times New Roman"/>
      <w:szCs w:val="24"/>
    </w:rPr>
  </w:style>
  <w:style w:type="character" w:customStyle="1" w:styleId="176">
    <w:name w:val="_Style 248"/>
    <w:autoRedefine/>
    <w:qFormat/>
    <w:uiPriority w:val="0"/>
    <w:rPr>
      <w:b/>
      <w:bCs/>
      <w:smallCaps/>
      <w:spacing w:val="5"/>
    </w:rPr>
  </w:style>
  <w:style w:type="character" w:customStyle="1" w:styleId="177">
    <w:name w:val="明显引用 Char3"/>
    <w:autoRedefine/>
    <w:qFormat/>
    <w:uiPriority w:val="30"/>
    <w:rPr>
      <w:rFonts w:ascii="Calibri" w:hAnsi="Calibri" w:eastAsia="宋体" w:cs="Times New Roman"/>
      <w:b/>
      <w:bCs/>
      <w:i/>
      <w:iCs/>
      <w:color w:val="4F81BD"/>
      <w:szCs w:val="24"/>
    </w:rPr>
  </w:style>
  <w:style w:type="character" w:customStyle="1" w:styleId="178">
    <w:name w:val="_Style 254"/>
    <w:autoRedefine/>
    <w:qFormat/>
    <w:uiPriority w:val="0"/>
    <w:rPr>
      <w:b/>
      <w:bCs/>
      <w:smallCaps/>
      <w:color w:val="C0504D"/>
      <w:spacing w:val="5"/>
      <w:u w:val="single"/>
    </w:rPr>
  </w:style>
  <w:style w:type="character" w:customStyle="1" w:styleId="179">
    <w:name w:val="正文文本缩进 Char2"/>
    <w:autoRedefine/>
    <w:qFormat/>
    <w:uiPriority w:val="99"/>
    <w:rPr>
      <w:rFonts w:ascii="Calibri" w:hAnsi="Calibri" w:eastAsia="宋体" w:cs="Times New Roman"/>
      <w:szCs w:val="24"/>
    </w:rPr>
  </w:style>
  <w:style w:type="character" w:customStyle="1" w:styleId="180">
    <w:name w:val="标题 4 字符"/>
    <w:link w:val="6"/>
    <w:autoRedefine/>
    <w:qFormat/>
    <w:uiPriority w:val="0"/>
    <w:rPr>
      <w:rFonts w:ascii="宋体" w:hAnsi="宋体" w:eastAsia="宋体" w:cs="宋体"/>
      <w:b/>
      <w:bCs/>
      <w:sz w:val="24"/>
      <w:szCs w:val="24"/>
      <w:lang w:val="en-US" w:eastAsia="zh-CN" w:bidi="ar-SA"/>
    </w:rPr>
  </w:style>
  <w:style w:type="character" w:customStyle="1" w:styleId="181">
    <w:name w:val="正文文本缩进 3 Char"/>
    <w:autoRedefine/>
    <w:qFormat/>
    <w:uiPriority w:val="0"/>
    <w:rPr>
      <w:kern w:val="2"/>
      <w:sz w:val="16"/>
      <w:szCs w:val="16"/>
    </w:rPr>
  </w:style>
  <w:style w:type="character" w:customStyle="1" w:styleId="182">
    <w:name w:val="尾注文本 字符"/>
    <w:link w:val="27"/>
    <w:autoRedefine/>
    <w:qFormat/>
    <w:uiPriority w:val="0"/>
    <w:rPr>
      <w:rFonts w:ascii="Arial" w:hAnsi="Arial" w:eastAsia="宋体" w:cs="Arial"/>
      <w:szCs w:val="24"/>
      <w:lang w:val="en-US" w:eastAsia="en-US" w:bidi="ar-SA"/>
    </w:rPr>
  </w:style>
  <w:style w:type="character" w:customStyle="1" w:styleId="183">
    <w:name w:val="引用 Char3"/>
    <w:autoRedefine/>
    <w:qFormat/>
    <w:uiPriority w:val="29"/>
    <w:rPr>
      <w:rFonts w:ascii="Calibri" w:hAnsi="Calibri" w:eastAsia="宋体" w:cs="Times New Roman"/>
      <w:i/>
      <w:iCs/>
      <w:color w:val="000000"/>
      <w:szCs w:val="24"/>
    </w:rPr>
  </w:style>
  <w:style w:type="character" w:customStyle="1" w:styleId="184">
    <w:name w:val="Char Char32"/>
    <w:autoRedefine/>
    <w:qFormat/>
    <w:uiPriority w:val="0"/>
    <w:rPr>
      <w:rFonts w:ascii="仿宋_GB2312" w:eastAsia="仿宋_GB2312" w:cs="MingLiU"/>
      <w:b/>
      <w:spacing w:val="1"/>
      <w:w w:val="99"/>
      <w:sz w:val="28"/>
      <w:szCs w:val="32"/>
    </w:rPr>
  </w:style>
  <w:style w:type="character" w:customStyle="1" w:styleId="185">
    <w:name w:val="日期 Char"/>
    <w:autoRedefine/>
    <w:qFormat/>
    <w:uiPriority w:val="0"/>
    <w:rPr>
      <w:rFonts w:eastAsia="宋体"/>
      <w:szCs w:val="24"/>
    </w:rPr>
  </w:style>
  <w:style w:type="character" w:customStyle="1" w:styleId="186">
    <w:name w:val="页脚 Char"/>
    <w:autoRedefine/>
    <w:qFormat/>
    <w:uiPriority w:val="0"/>
    <w:rPr>
      <w:sz w:val="18"/>
      <w:szCs w:val="18"/>
    </w:rPr>
  </w:style>
  <w:style w:type="character" w:customStyle="1" w:styleId="187">
    <w:name w:val="style121"/>
    <w:autoRedefine/>
    <w:qFormat/>
    <w:uiPriority w:val="0"/>
    <w:rPr>
      <w:rFonts w:hint="eastAsia" w:ascii="宋体" w:hAnsi="宋体" w:eastAsia="宋体"/>
      <w:sz w:val="18"/>
      <w:szCs w:val="18"/>
    </w:rPr>
  </w:style>
  <w:style w:type="character" w:customStyle="1" w:styleId="188">
    <w:name w:val="ss16"/>
    <w:autoRedefine/>
    <w:qFormat/>
    <w:uiPriority w:val="0"/>
    <w:rPr>
      <w:rFonts w:hint="eastAsia" w:ascii="宋体" w:hAnsi="宋体" w:eastAsia="宋体"/>
      <w:color w:val="000000"/>
      <w:sz w:val="9"/>
      <w:szCs w:val="9"/>
    </w:rPr>
  </w:style>
  <w:style w:type="character" w:customStyle="1" w:styleId="189">
    <w:name w:val="textcontents"/>
    <w:autoRedefine/>
    <w:qFormat/>
    <w:uiPriority w:val="0"/>
    <w:rPr>
      <w:rFonts w:cs="Times New Roman"/>
    </w:rPr>
  </w:style>
  <w:style w:type="character" w:customStyle="1" w:styleId="190">
    <w:name w:val="14t1"/>
    <w:autoRedefine/>
    <w:qFormat/>
    <w:uiPriority w:val="0"/>
    <w:rPr>
      <w:rFonts w:hint="eastAsia" w:ascii="宋体" w:hAnsi="宋体" w:eastAsia="宋体"/>
      <w:sz w:val="11"/>
      <w:szCs w:val="11"/>
    </w:rPr>
  </w:style>
  <w:style w:type="character" w:customStyle="1" w:styleId="191">
    <w:name w:val="不明显参考1"/>
    <w:autoRedefine/>
    <w:qFormat/>
    <w:uiPriority w:val="0"/>
    <w:rPr>
      <w:smallCaps/>
      <w:color w:val="C0504D"/>
      <w:u w:val="single"/>
    </w:rPr>
  </w:style>
  <w:style w:type="character" w:customStyle="1" w:styleId="192">
    <w:name w:val="unnamed1"/>
    <w:basedOn w:val="48"/>
    <w:autoRedefine/>
    <w:qFormat/>
    <w:uiPriority w:val="0"/>
  </w:style>
  <w:style w:type="character" w:customStyle="1" w:styleId="193">
    <w:name w:val="批注主题 Char3"/>
    <w:autoRedefine/>
    <w:qFormat/>
    <w:uiPriority w:val="99"/>
    <w:rPr>
      <w:rFonts w:ascii="Calibri" w:hAnsi="Calibri" w:eastAsia="宋体" w:cs="Times New Roman"/>
      <w:b/>
      <w:bCs/>
      <w:szCs w:val="24"/>
    </w:rPr>
  </w:style>
  <w:style w:type="character" w:customStyle="1" w:styleId="194">
    <w:name w:val="标题 3 字符"/>
    <w:link w:val="5"/>
    <w:autoRedefine/>
    <w:qFormat/>
    <w:uiPriority w:val="0"/>
    <w:rPr>
      <w:rFonts w:eastAsia="宋体"/>
      <w:b/>
      <w:bCs/>
      <w:kern w:val="2"/>
      <w:sz w:val="32"/>
      <w:szCs w:val="32"/>
      <w:lang w:val="en-US" w:eastAsia="zh-CN" w:bidi="ar-SA"/>
    </w:rPr>
  </w:style>
  <w:style w:type="character" w:customStyle="1" w:styleId="195">
    <w:name w:val="标题 2 字符"/>
    <w:link w:val="4"/>
    <w:autoRedefine/>
    <w:qFormat/>
    <w:uiPriority w:val="0"/>
    <w:rPr>
      <w:rFonts w:ascii="Cambria" w:hAnsi="Cambria" w:eastAsia="宋体"/>
      <w:b/>
      <w:bCs/>
      <w:kern w:val="2"/>
      <w:sz w:val="32"/>
      <w:szCs w:val="32"/>
      <w:lang w:val="en-US" w:eastAsia="zh-CN" w:bidi="ar-SA"/>
    </w:rPr>
  </w:style>
  <w:style w:type="character" w:customStyle="1" w:styleId="196">
    <w:name w:val="标题 6 字符"/>
    <w:link w:val="8"/>
    <w:autoRedefine/>
    <w:qFormat/>
    <w:uiPriority w:val="0"/>
    <w:rPr>
      <w:rFonts w:hAnsi="Arial" w:eastAsia="仿宋_GB2312"/>
      <w:sz w:val="30"/>
      <w:lang w:val="en-US" w:eastAsia="zh-CN" w:bidi="ar-SA"/>
    </w:rPr>
  </w:style>
  <w:style w:type="character" w:customStyle="1" w:styleId="197">
    <w:name w:val="页脚 字符"/>
    <w:link w:val="29"/>
    <w:autoRedefine/>
    <w:qFormat/>
    <w:uiPriority w:val="0"/>
    <w:rPr>
      <w:rFonts w:eastAsia="宋体"/>
      <w:kern w:val="2"/>
      <w:sz w:val="18"/>
      <w:szCs w:val="18"/>
      <w:lang w:val="en-US" w:eastAsia="zh-CN" w:bidi="ar-SA"/>
    </w:rPr>
  </w:style>
  <w:style w:type="character" w:customStyle="1" w:styleId="198">
    <w:name w:val="引用 Char4"/>
    <w:link w:val="103"/>
    <w:autoRedefine/>
    <w:qFormat/>
    <w:uiPriority w:val="0"/>
    <w:rPr>
      <w:i/>
      <w:iCs/>
      <w:color w:val="000000"/>
      <w:kern w:val="2"/>
      <w:sz w:val="21"/>
      <w:szCs w:val="22"/>
      <w:lang w:bidi="ar-SA"/>
    </w:rPr>
  </w:style>
  <w:style w:type="character" w:customStyle="1" w:styleId="199">
    <w:name w:val="标题 9 字符"/>
    <w:link w:val="12"/>
    <w:autoRedefine/>
    <w:qFormat/>
    <w:uiPriority w:val="0"/>
    <w:rPr>
      <w:rFonts w:eastAsia="仿宋_GB2312"/>
      <w:sz w:val="30"/>
      <w:lang w:val="en-US" w:eastAsia="zh-CN" w:bidi="ar-SA"/>
    </w:rPr>
  </w:style>
  <w:style w:type="character" w:customStyle="1" w:styleId="200">
    <w:name w:val="标题 3 Char"/>
    <w:autoRedefine/>
    <w:qFormat/>
    <w:uiPriority w:val="0"/>
    <w:rPr>
      <w:rFonts w:ascii="仿宋_GB2312" w:hAnsi="Calibri" w:eastAsia="仿宋_GB2312" w:cs="Times New Roman"/>
      <w:b/>
      <w:kern w:val="0"/>
      <w:sz w:val="24"/>
      <w:szCs w:val="28"/>
    </w:rPr>
  </w:style>
  <w:style w:type="character" w:customStyle="1" w:styleId="201">
    <w:name w:val="批注文字 Char2"/>
    <w:autoRedefine/>
    <w:qFormat/>
    <w:uiPriority w:val="0"/>
    <w:rPr>
      <w:rFonts w:ascii="Calibri" w:hAnsi="Calibri" w:eastAsia="宋体" w:cs="Times New Roman"/>
      <w:szCs w:val="24"/>
    </w:rPr>
  </w:style>
  <w:style w:type="character" w:customStyle="1" w:styleId="202">
    <w:name w:val="normaltext1"/>
    <w:autoRedefine/>
    <w:qFormat/>
    <w:uiPriority w:val="0"/>
    <w:rPr>
      <w:rFonts w:hint="default" w:ascii="ˎ̥" w:hAnsi="ˎ̥"/>
      <w:sz w:val="9"/>
      <w:szCs w:val="9"/>
    </w:rPr>
  </w:style>
  <w:style w:type="character" w:customStyle="1" w:styleId="203">
    <w:name w:val="ca-141"/>
    <w:autoRedefine/>
    <w:qFormat/>
    <w:uiPriority w:val="0"/>
    <w:rPr>
      <w:rFonts w:hint="eastAsia" w:ascii="仿宋_GB2312" w:eastAsia="仿宋_GB2312"/>
      <w:sz w:val="21"/>
      <w:szCs w:val="21"/>
    </w:rPr>
  </w:style>
  <w:style w:type="character" w:customStyle="1" w:styleId="204">
    <w:name w:val="main_tdbg_7601"/>
    <w:autoRedefine/>
    <w:qFormat/>
    <w:uiPriority w:val="0"/>
    <w:rPr>
      <w:sz w:val="14"/>
      <w:szCs w:val="14"/>
    </w:rPr>
  </w:style>
  <w:style w:type="character" w:customStyle="1" w:styleId="205">
    <w:name w:val="文档结构图 字符"/>
    <w:link w:val="15"/>
    <w:autoRedefine/>
    <w:qFormat/>
    <w:uiPriority w:val="0"/>
    <w:rPr>
      <w:rFonts w:eastAsia="宋体"/>
      <w:kern w:val="2"/>
      <w:sz w:val="21"/>
      <w:szCs w:val="24"/>
      <w:lang w:val="en-US" w:eastAsia="zh-CN" w:bidi="ar-SA"/>
    </w:rPr>
  </w:style>
  <w:style w:type="character" w:customStyle="1" w:styleId="206">
    <w:name w:val="批注框文本 Char3"/>
    <w:autoRedefine/>
    <w:qFormat/>
    <w:uiPriority w:val="99"/>
    <w:rPr>
      <w:rFonts w:ascii="Calibri" w:hAnsi="Calibri" w:eastAsia="宋体" w:cs="Times New Roman"/>
      <w:sz w:val="18"/>
      <w:szCs w:val="18"/>
    </w:rPr>
  </w:style>
  <w:style w:type="character" w:customStyle="1" w:styleId="207">
    <w:name w:val="Char Char9"/>
    <w:autoRedefine/>
    <w:qFormat/>
    <w:uiPriority w:val="0"/>
    <w:rPr>
      <w:rFonts w:ascii="仿宋_GB2312" w:eastAsia="仿宋_GB2312" w:cs="MingLiU"/>
      <w:b/>
      <w:sz w:val="24"/>
      <w:szCs w:val="28"/>
      <w:lang w:val="en-US" w:eastAsia="zh-CN" w:bidi="ar-SA"/>
    </w:rPr>
  </w:style>
  <w:style w:type="character" w:customStyle="1" w:styleId="208">
    <w:name w:val="title11"/>
    <w:autoRedefine/>
    <w:qFormat/>
    <w:uiPriority w:val="0"/>
    <w:rPr>
      <w:b/>
      <w:bCs/>
      <w:color w:val="FFFFFF"/>
      <w:sz w:val="11"/>
      <w:szCs w:val="11"/>
    </w:rPr>
  </w:style>
  <w:style w:type="character" w:customStyle="1" w:styleId="209">
    <w:name w:val="批注框文本 字符"/>
    <w:link w:val="28"/>
    <w:autoRedefine/>
    <w:qFormat/>
    <w:uiPriority w:val="0"/>
    <w:rPr>
      <w:rFonts w:eastAsia="宋体"/>
      <w:kern w:val="2"/>
      <w:sz w:val="18"/>
      <w:szCs w:val="18"/>
      <w:lang w:val="en-US" w:eastAsia="zh-CN" w:bidi="ar-SA"/>
    </w:rPr>
  </w:style>
  <w:style w:type="character" w:customStyle="1" w:styleId="210">
    <w:name w:val="标题 8 Char1"/>
    <w:autoRedefine/>
    <w:qFormat/>
    <w:uiPriority w:val="0"/>
    <w:rPr>
      <w:rFonts w:ascii="Times New Roman" w:hAnsi="Arial" w:eastAsia="仿宋_GB2312" w:cs="Times New Roman"/>
      <w:sz w:val="30"/>
      <w:szCs w:val="20"/>
    </w:rPr>
  </w:style>
  <w:style w:type="character" w:customStyle="1" w:styleId="211">
    <w:name w:val="标题 Char2"/>
    <w:autoRedefine/>
    <w:qFormat/>
    <w:uiPriority w:val="10"/>
    <w:rPr>
      <w:rFonts w:ascii="Cambria" w:hAnsi="Cambria" w:eastAsia="宋体" w:cs="Times New Roman"/>
      <w:b/>
      <w:bCs/>
      <w:sz w:val="32"/>
      <w:szCs w:val="32"/>
    </w:rPr>
  </w:style>
  <w:style w:type="character" w:customStyle="1" w:styleId="212">
    <w:name w:val="标题 字符"/>
    <w:link w:val="43"/>
    <w:autoRedefine/>
    <w:qFormat/>
    <w:uiPriority w:val="0"/>
    <w:rPr>
      <w:rFonts w:eastAsia="宋体"/>
      <w:szCs w:val="24"/>
      <w:u w:val="single"/>
      <w:lang w:val="en-US" w:eastAsia="en-US" w:bidi="ar-SA"/>
    </w:rPr>
  </w:style>
  <w:style w:type="character" w:customStyle="1" w:styleId="213">
    <w:name w:val="批注主题 Char1"/>
    <w:autoRedefine/>
    <w:qFormat/>
    <w:uiPriority w:val="0"/>
    <w:rPr>
      <w:b/>
      <w:bCs/>
      <w:kern w:val="2"/>
      <w:sz w:val="21"/>
      <w:szCs w:val="22"/>
    </w:rPr>
  </w:style>
  <w:style w:type="character" w:customStyle="1" w:styleId="214">
    <w:name w:val="副标题 Char"/>
    <w:autoRedefine/>
    <w:qFormat/>
    <w:uiPriority w:val="0"/>
    <w:rPr>
      <w:rFonts w:ascii="Cambria" w:hAnsi="Cambria" w:eastAsia="宋体" w:cs="Times New Roman"/>
      <w:b/>
      <w:bCs/>
      <w:kern w:val="28"/>
      <w:sz w:val="32"/>
      <w:szCs w:val="32"/>
    </w:rPr>
  </w:style>
  <w:style w:type="character" w:customStyle="1" w:styleId="215">
    <w:name w:val="正文文本 字符"/>
    <w:link w:val="2"/>
    <w:autoRedefine/>
    <w:qFormat/>
    <w:uiPriority w:val="0"/>
    <w:rPr>
      <w:rFonts w:eastAsia="宋体"/>
      <w:kern w:val="2"/>
      <w:sz w:val="21"/>
      <w:szCs w:val="24"/>
      <w:lang w:val="en-US" w:eastAsia="zh-CN" w:bidi="ar-SA"/>
    </w:rPr>
  </w:style>
  <w:style w:type="character" w:customStyle="1" w:styleId="216">
    <w:name w:val="纯文本 Char1"/>
    <w:autoRedefine/>
    <w:qFormat/>
    <w:uiPriority w:val="0"/>
    <w:rPr>
      <w:rFonts w:ascii="宋体" w:hAnsi="Courier New" w:cs="Courier New"/>
      <w:kern w:val="2"/>
      <w:sz w:val="21"/>
      <w:szCs w:val="21"/>
    </w:rPr>
  </w:style>
  <w:style w:type="character" w:customStyle="1" w:styleId="217">
    <w:name w:val="脚注文本 字符"/>
    <w:link w:val="34"/>
    <w:autoRedefine/>
    <w:qFormat/>
    <w:uiPriority w:val="0"/>
    <w:rPr>
      <w:rFonts w:ascii="Arial" w:hAnsi="Arial" w:eastAsia="宋体" w:cs="Arial"/>
      <w:sz w:val="18"/>
      <w:szCs w:val="18"/>
      <w:lang w:val="en-US" w:eastAsia="en-US" w:bidi="ar-SA"/>
    </w:rPr>
  </w:style>
  <w:style w:type="character" w:customStyle="1" w:styleId="218">
    <w:name w:val="标题 2 Char1"/>
    <w:autoRedefine/>
    <w:qFormat/>
    <w:uiPriority w:val="0"/>
    <w:rPr>
      <w:rFonts w:ascii="Cambria" w:hAnsi="Cambria" w:eastAsia="宋体" w:cs="Times New Roman"/>
      <w:b/>
      <w:bCs/>
      <w:kern w:val="2"/>
      <w:sz w:val="32"/>
      <w:szCs w:val="32"/>
    </w:rPr>
  </w:style>
  <w:style w:type="character" w:customStyle="1" w:styleId="219">
    <w:name w:val="脚注文本 Char1"/>
    <w:autoRedefine/>
    <w:qFormat/>
    <w:uiPriority w:val="0"/>
    <w:rPr>
      <w:rFonts w:ascii="Arial" w:hAnsi="Arial" w:cs="Arial"/>
      <w:sz w:val="18"/>
      <w:szCs w:val="18"/>
      <w:lang w:eastAsia="en-US"/>
    </w:rPr>
  </w:style>
  <w:style w:type="character" w:customStyle="1" w:styleId="220">
    <w:name w:val="HTML 预设格式 Char2"/>
    <w:autoRedefine/>
    <w:qFormat/>
    <w:uiPriority w:val="99"/>
    <w:rPr>
      <w:rFonts w:ascii="Courier New" w:hAnsi="Courier New" w:eastAsia="宋体" w:cs="Courier New"/>
      <w:sz w:val="20"/>
      <w:szCs w:val="20"/>
    </w:rPr>
  </w:style>
  <w:style w:type="character" w:customStyle="1" w:styleId="221">
    <w:name w:val="标题 8 Char"/>
    <w:autoRedefine/>
    <w:qFormat/>
    <w:uiPriority w:val="0"/>
    <w:rPr>
      <w:rFonts w:ascii="Arial" w:hAnsi="Arial" w:eastAsia="黑体" w:cs="Times New Roman"/>
      <w:sz w:val="24"/>
      <w:szCs w:val="24"/>
    </w:rPr>
  </w:style>
  <w:style w:type="character" w:customStyle="1" w:styleId="222">
    <w:name w:val="s3"/>
    <w:autoRedefine/>
    <w:qFormat/>
    <w:uiPriority w:val="0"/>
  </w:style>
  <w:style w:type="character" w:customStyle="1" w:styleId="223">
    <w:name w:val="标题 4 Char"/>
    <w:autoRedefine/>
    <w:qFormat/>
    <w:uiPriority w:val="0"/>
    <w:rPr>
      <w:rFonts w:ascii="仿宋_GB2312" w:hAnsi="Calibri" w:eastAsia="仿宋_GB2312" w:cs="Times New Roman"/>
      <w:b/>
      <w:kern w:val="0"/>
      <w:sz w:val="24"/>
      <w:szCs w:val="28"/>
    </w:rPr>
  </w:style>
  <w:style w:type="character" w:customStyle="1" w:styleId="224">
    <w:name w:val="正文文本缩进 2 Char"/>
    <w:autoRedefine/>
    <w:qFormat/>
    <w:uiPriority w:val="0"/>
    <w:rPr>
      <w:kern w:val="2"/>
      <w:sz w:val="21"/>
      <w:szCs w:val="24"/>
    </w:rPr>
  </w:style>
  <w:style w:type="character" w:customStyle="1" w:styleId="225">
    <w:name w:val="style21"/>
    <w:autoRedefine/>
    <w:qFormat/>
    <w:uiPriority w:val="0"/>
    <w:rPr>
      <w:b/>
      <w:bCs/>
      <w:sz w:val="28"/>
      <w:szCs w:val="28"/>
    </w:rPr>
  </w:style>
  <w:style w:type="character" w:customStyle="1" w:styleId="226">
    <w:name w:val="正文文本缩进 2 Char2"/>
    <w:autoRedefine/>
    <w:qFormat/>
    <w:uiPriority w:val="99"/>
    <w:rPr>
      <w:rFonts w:ascii="Calibri" w:hAnsi="Calibri" w:eastAsia="宋体" w:cs="Times New Roman"/>
      <w:szCs w:val="24"/>
    </w:rPr>
  </w:style>
  <w:style w:type="character" w:customStyle="1" w:styleId="227">
    <w:name w:val="ht1"/>
    <w:autoRedefine/>
    <w:qFormat/>
    <w:uiPriority w:val="0"/>
    <w:rPr>
      <w:rFonts w:ascii="黑体" w:eastAsia="黑体"/>
      <w:b/>
      <w:bCs/>
    </w:rPr>
  </w:style>
  <w:style w:type="character" w:customStyle="1" w:styleId="228">
    <w:name w:val="文档结构图 Char3"/>
    <w:autoRedefine/>
    <w:qFormat/>
    <w:uiPriority w:val="99"/>
    <w:rPr>
      <w:rFonts w:ascii="宋体" w:hAnsi="Calibri" w:eastAsia="宋体" w:cs="Times New Roman"/>
      <w:sz w:val="18"/>
      <w:szCs w:val="18"/>
    </w:rPr>
  </w:style>
  <w:style w:type="character" w:customStyle="1" w:styleId="229">
    <w:name w:val="书籍标题1"/>
    <w:autoRedefine/>
    <w:qFormat/>
    <w:uiPriority w:val="0"/>
    <w:rPr>
      <w:b/>
      <w:bCs/>
      <w:smallCaps/>
      <w:spacing w:val="5"/>
    </w:rPr>
  </w:style>
  <w:style w:type="character" w:customStyle="1" w:styleId="230">
    <w:name w:val="标题 7 Char1"/>
    <w:autoRedefine/>
    <w:qFormat/>
    <w:uiPriority w:val="0"/>
    <w:rPr>
      <w:rFonts w:ascii="Times New Roman" w:hAnsi="Times New Roman" w:eastAsia="仿宋_GB2312" w:cs="Times New Roman"/>
      <w:sz w:val="30"/>
      <w:szCs w:val="20"/>
    </w:rPr>
  </w:style>
  <w:style w:type="character" w:customStyle="1" w:styleId="231">
    <w:name w:val="明显引用 Char2"/>
    <w:autoRedefine/>
    <w:qFormat/>
    <w:uiPriority w:val="99"/>
    <w:rPr>
      <w:b/>
      <w:bCs/>
      <w:i/>
      <w:iCs/>
      <w:color w:val="4F81BD"/>
      <w:kern w:val="2"/>
      <w:sz w:val="21"/>
      <w:szCs w:val="24"/>
    </w:rPr>
  </w:style>
  <w:style w:type="character" w:customStyle="1" w:styleId="232">
    <w:name w:val="不明显强调1"/>
    <w:autoRedefine/>
    <w:qFormat/>
    <w:uiPriority w:val="0"/>
    <w:rPr>
      <w:i/>
      <w:iCs/>
      <w:color w:val="808080"/>
    </w:rPr>
  </w:style>
  <w:style w:type="character" w:customStyle="1" w:styleId="233">
    <w:name w:val="普通文字 Char Char2"/>
    <w:autoRedefine/>
    <w:qFormat/>
    <w:uiPriority w:val="0"/>
    <w:rPr>
      <w:rFonts w:ascii="宋体" w:hAnsi="Courier New"/>
      <w:kern w:val="2"/>
      <w:sz w:val="28"/>
      <w:szCs w:val="28"/>
    </w:rPr>
  </w:style>
  <w:style w:type="character" w:customStyle="1" w:styleId="234">
    <w:name w:val="标题 6 Char"/>
    <w:autoRedefine/>
    <w:qFormat/>
    <w:uiPriority w:val="0"/>
    <w:rPr>
      <w:rFonts w:ascii="Arial" w:hAnsi="Arial" w:eastAsia="黑体" w:cs="Times New Roman"/>
      <w:b/>
      <w:bCs/>
      <w:sz w:val="24"/>
      <w:szCs w:val="24"/>
    </w:rPr>
  </w:style>
  <w:style w:type="character" w:customStyle="1" w:styleId="235">
    <w:name w:val="l1"/>
    <w:basedOn w:val="48"/>
    <w:autoRedefine/>
    <w:qFormat/>
    <w:uiPriority w:val="0"/>
  </w:style>
  <w:style w:type="character" w:customStyle="1" w:styleId="236">
    <w:name w:val="未处理的提及1"/>
    <w:autoRedefine/>
    <w:qFormat/>
    <w:uiPriority w:val="99"/>
    <w:rPr>
      <w:color w:val="808080"/>
      <w:shd w:val="clear" w:color="auto" w:fill="E6E6E6"/>
    </w:rPr>
  </w:style>
  <w:style w:type="character" w:customStyle="1" w:styleId="237">
    <w:name w:val="页眉 字符"/>
    <w:link w:val="30"/>
    <w:autoRedefine/>
    <w:qFormat/>
    <w:uiPriority w:val="0"/>
    <w:rPr>
      <w:rFonts w:eastAsia="宋体"/>
      <w:kern w:val="2"/>
      <w:sz w:val="18"/>
      <w:szCs w:val="18"/>
      <w:lang w:val="en-US" w:eastAsia="zh-CN" w:bidi="ar-SA"/>
    </w:rPr>
  </w:style>
  <w:style w:type="character" w:customStyle="1" w:styleId="238">
    <w:name w:val="Char Char35"/>
    <w:autoRedefine/>
    <w:qFormat/>
    <w:uiPriority w:val="0"/>
    <w:rPr>
      <w:rFonts w:ascii="仿宋_GB2312" w:eastAsia="仿宋_GB2312" w:cs="MingLiU"/>
      <w:b/>
      <w:sz w:val="24"/>
      <w:szCs w:val="28"/>
    </w:rPr>
  </w:style>
  <w:style w:type="character" w:customStyle="1" w:styleId="239">
    <w:name w:val="Char Char11"/>
    <w:autoRedefine/>
    <w:qFormat/>
    <w:uiPriority w:val="0"/>
    <w:rPr>
      <w:rFonts w:eastAsia="黑体"/>
      <w:kern w:val="2"/>
      <w:sz w:val="44"/>
      <w:szCs w:val="44"/>
      <w:lang w:val="en-US" w:eastAsia="zh-CN" w:bidi="ar-SA"/>
    </w:rPr>
  </w:style>
  <w:style w:type="character" w:customStyle="1" w:styleId="240">
    <w:name w:val="style31"/>
    <w:autoRedefine/>
    <w:qFormat/>
    <w:uiPriority w:val="0"/>
    <w:rPr>
      <w:sz w:val="10"/>
      <w:szCs w:val="10"/>
    </w:rPr>
  </w:style>
  <w:style w:type="character" w:customStyle="1" w:styleId="241">
    <w:name w:val="0d1471"/>
    <w:autoRedefine/>
    <w:qFormat/>
    <w:uiPriority w:val="0"/>
    <w:rPr>
      <w:color w:val="000000"/>
      <w:sz w:val="11"/>
      <w:szCs w:val="11"/>
      <w:u w:val="none"/>
    </w:rPr>
  </w:style>
  <w:style w:type="character" w:customStyle="1" w:styleId="242">
    <w:name w:val="标题 9 Char"/>
    <w:autoRedefine/>
    <w:qFormat/>
    <w:uiPriority w:val="0"/>
    <w:rPr>
      <w:rFonts w:ascii="Arial" w:hAnsi="Arial" w:eastAsia="黑体" w:cs="Times New Roman"/>
      <w:szCs w:val="21"/>
    </w:rPr>
  </w:style>
  <w:style w:type="character" w:customStyle="1" w:styleId="243">
    <w:name w:val="标题 3 Char1"/>
    <w:autoRedefine/>
    <w:qFormat/>
    <w:uiPriority w:val="0"/>
    <w:rPr>
      <w:rFonts w:ascii="Times New Roman" w:hAnsi="Times New Roman" w:eastAsia="宋体" w:cs="Times New Roman"/>
      <w:b/>
      <w:bCs/>
      <w:kern w:val="2"/>
      <w:sz w:val="32"/>
      <w:szCs w:val="32"/>
    </w:rPr>
  </w:style>
  <w:style w:type="character" w:customStyle="1" w:styleId="244">
    <w:name w:val="标题4 Char Char"/>
    <w:link w:val="88"/>
    <w:autoRedefine/>
    <w:qFormat/>
    <w:uiPriority w:val="0"/>
    <w:rPr>
      <w:rFonts w:ascii="Arial" w:hAnsi="Arial"/>
      <w:b/>
      <w:bCs/>
      <w:sz w:val="24"/>
      <w:szCs w:val="32"/>
      <w:lang w:bidi="ar-SA"/>
    </w:rPr>
  </w:style>
  <w:style w:type="character" w:customStyle="1" w:styleId="245">
    <w:name w:val="标题 5 Char1"/>
    <w:autoRedefine/>
    <w:qFormat/>
    <w:uiPriority w:val="0"/>
    <w:rPr>
      <w:rFonts w:ascii="宋体" w:hAnsi="宋体" w:eastAsia="宋体" w:cs="宋体"/>
      <w:b/>
      <w:bCs/>
      <w:sz w:val="20"/>
      <w:szCs w:val="20"/>
    </w:rPr>
  </w:style>
  <w:style w:type="character" w:customStyle="1" w:styleId="246">
    <w:name w:val="正文文本缩进 3 Char1"/>
    <w:autoRedefine/>
    <w:qFormat/>
    <w:uiPriority w:val="0"/>
    <w:rPr>
      <w:rFonts w:ascii="宋体" w:hAnsi="宋体"/>
      <w:kern w:val="2"/>
      <w:sz w:val="28"/>
      <w:szCs w:val="28"/>
    </w:rPr>
  </w:style>
  <w:style w:type="character" w:customStyle="1" w:styleId="247">
    <w:name w:val="Char Char33"/>
    <w:autoRedefine/>
    <w:qFormat/>
    <w:uiPriority w:val="0"/>
    <w:rPr>
      <w:rFonts w:ascii="仿宋_GB2312" w:eastAsia="仿宋_GB2312" w:cs="MingLiU"/>
      <w:b/>
      <w:sz w:val="24"/>
      <w:szCs w:val="28"/>
    </w:rPr>
  </w:style>
  <w:style w:type="character" w:customStyle="1" w:styleId="248">
    <w:name w:val="批注文字 Char1"/>
    <w:autoRedefine/>
    <w:qFormat/>
    <w:uiPriority w:val="99"/>
    <w:rPr>
      <w:rFonts w:ascii="Times New Roman" w:hAnsi="Times New Roman" w:eastAsia="宋体" w:cs="Times New Roman"/>
      <w:szCs w:val="24"/>
    </w:rPr>
  </w:style>
  <w:style w:type="character" w:customStyle="1" w:styleId="249">
    <w:name w:val="正文文本 3 Char1"/>
    <w:autoRedefine/>
    <w:qFormat/>
    <w:uiPriority w:val="0"/>
    <w:rPr>
      <w:kern w:val="2"/>
      <w:sz w:val="16"/>
      <w:szCs w:val="16"/>
    </w:rPr>
  </w:style>
  <w:style w:type="character" w:customStyle="1" w:styleId="250">
    <w:name w:val="页眉 Char"/>
    <w:autoRedefine/>
    <w:qFormat/>
    <w:uiPriority w:val="0"/>
    <w:rPr>
      <w:sz w:val="18"/>
      <w:szCs w:val="18"/>
    </w:rPr>
  </w:style>
  <w:style w:type="character" w:customStyle="1" w:styleId="251">
    <w:name w:val="明显引用 Char"/>
    <w:autoRedefine/>
    <w:qFormat/>
    <w:uiPriority w:val="0"/>
    <w:rPr>
      <w:rFonts w:ascii="Times New Roman" w:hAnsi="Times New Roman" w:eastAsia="宋体" w:cs="Times New Roman"/>
      <w:b/>
      <w:bCs/>
      <w:i/>
      <w:iCs/>
      <w:color w:val="4F81BD"/>
      <w:kern w:val="2"/>
      <w:sz w:val="21"/>
      <w:szCs w:val="24"/>
    </w:rPr>
  </w:style>
  <w:style w:type="character" w:customStyle="1" w:styleId="252">
    <w:name w:val="color_red1"/>
    <w:autoRedefine/>
    <w:qFormat/>
    <w:uiPriority w:val="0"/>
    <w:rPr>
      <w:color w:val="FA0004"/>
    </w:rPr>
  </w:style>
  <w:style w:type="character" w:customStyle="1" w:styleId="253">
    <w:name w:val="批注主题 Char2"/>
    <w:autoRedefine/>
    <w:qFormat/>
    <w:uiPriority w:val="99"/>
    <w:rPr>
      <w:b/>
      <w:bCs/>
      <w:kern w:val="2"/>
      <w:sz w:val="21"/>
      <w:szCs w:val="24"/>
    </w:rPr>
  </w:style>
  <w:style w:type="character" w:customStyle="1" w:styleId="254">
    <w:name w:val="Char Char34"/>
    <w:autoRedefine/>
    <w:qFormat/>
    <w:uiPriority w:val="0"/>
    <w:rPr>
      <w:rFonts w:ascii="仿宋_GB2312" w:eastAsia="仿宋_GB2312" w:cs="MingLiU"/>
      <w:b/>
      <w:spacing w:val="1"/>
      <w:w w:val="99"/>
      <w:sz w:val="28"/>
      <w:szCs w:val="32"/>
    </w:rPr>
  </w:style>
  <w:style w:type="character" w:customStyle="1" w:styleId="255">
    <w:name w:val="标题 1 Char"/>
    <w:autoRedefine/>
    <w:qFormat/>
    <w:uiPriority w:val="0"/>
    <w:rPr>
      <w:rFonts w:ascii="Times New Roman" w:hAnsi="Times New Roman" w:eastAsia="宋体" w:cs="Times New Roman"/>
      <w:b/>
      <w:bCs/>
      <w:kern w:val="44"/>
      <w:sz w:val="44"/>
      <w:szCs w:val="44"/>
    </w:rPr>
  </w:style>
  <w:style w:type="character" w:customStyle="1" w:styleId="256">
    <w:name w:val="docpro"/>
    <w:basedOn w:val="48"/>
    <w:autoRedefine/>
    <w:qFormat/>
    <w:uiPriority w:val="0"/>
  </w:style>
  <w:style w:type="character" w:customStyle="1" w:styleId="257">
    <w:name w:val="正文文本 3 Char"/>
    <w:autoRedefine/>
    <w:qFormat/>
    <w:uiPriority w:val="0"/>
    <w:rPr>
      <w:kern w:val="2"/>
      <w:sz w:val="16"/>
      <w:szCs w:val="16"/>
    </w:rPr>
  </w:style>
  <w:style w:type="character" w:customStyle="1" w:styleId="258">
    <w:name w:val="标题 5 Char"/>
    <w:autoRedefine/>
    <w:qFormat/>
    <w:uiPriority w:val="0"/>
    <w:rPr>
      <w:rFonts w:ascii="Calibri" w:hAnsi="Calibri" w:eastAsia="宋体" w:cs="Times New Roman"/>
      <w:b/>
      <w:bCs/>
      <w:sz w:val="28"/>
      <w:szCs w:val="28"/>
    </w:rPr>
  </w:style>
  <w:style w:type="character" w:customStyle="1" w:styleId="259">
    <w:name w:val="style161"/>
    <w:autoRedefine/>
    <w:qFormat/>
    <w:uiPriority w:val="0"/>
    <w:rPr>
      <w:b/>
      <w:bCs/>
      <w:color w:val="333333"/>
    </w:rPr>
  </w:style>
  <w:style w:type="character" w:customStyle="1" w:styleId="260">
    <w:name w:val="文档结构图 Char2"/>
    <w:autoRedefine/>
    <w:qFormat/>
    <w:uiPriority w:val="99"/>
    <w:rPr>
      <w:kern w:val="2"/>
      <w:sz w:val="21"/>
      <w:szCs w:val="24"/>
      <w:shd w:val="clear" w:color="auto" w:fill="000080"/>
    </w:rPr>
  </w:style>
  <w:style w:type="character" w:customStyle="1" w:styleId="261">
    <w:name w:val="页脚 Char1"/>
    <w:autoRedefine/>
    <w:qFormat/>
    <w:uiPriority w:val="99"/>
    <w:rPr>
      <w:kern w:val="2"/>
      <w:sz w:val="18"/>
      <w:szCs w:val="18"/>
    </w:rPr>
  </w:style>
  <w:style w:type="character" w:customStyle="1" w:styleId="262">
    <w:name w:val="日期 Char2"/>
    <w:autoRedefine/>
    <w:qFormat/>
    <w:uiPriority w:val="99"/>
    <w:rPr>
      <w:kern w:val="2"/>
      <w:sz w:val="21"/>
      <w:szCs w:val="24"/>
    </w:rPr>
  </w:style>
  <w:style w:type="character" w:customStyle="1" w:styleId="263">
    <w:name w:val="HTML 预设格式 Char"/>
    <w:autoRedefine/>
    <w:qFormat/>
    <w:uiPriority w:val="0"/>
    <w:rPr>
      <w:rFonts w:ascii="宋体" w:hAnsi="宋体" w:eastAsia="宋体" w:cs="宋体"/>
      <w:color w:val="000000"/>
      <w:sz w:val="24"/>
      <w:szCs w:val="24"/>
    </w:rPr>
  </w:style>
  <w:style w:type="character" w:customStyle="1" w:styleId="264">
    <w:name w:val="批注主题 字符"/>
    <w:link w:val="44"/>
    <w:autoRedefine/>
    <w:qFormat/>
    <w:uiPriority w:val="0"/>
    <w:rPr>
      <w:rFonts w:eastAsia="宋体"/>
      <w:b/>
      <w:bCs/>
      <w:kern w:val="2"/>
      <w:sz w:val="21"/>
      <w:szCs w:val="24"/>
      <w:lang w:val="en-US" w:eastAsia="zh-CN" w:bidi="ar-SA"/>
    </w:rPr>
  </w:style>
  <w:style w:type="character" w:customStyle="1" w:styleId="265">
    <w:name w:val="正文文本 2 字符"/>
    <w:link w:val="39"/>
    <w:autoRedefine/>
    <w:qFormat/>
    <w:uiPriority w:val="0"/>
    <w:rPr>
      <w:i/>
      <w:iCs/>
      <w:kern w:val="2"/>
      <w:sz w:val="26"/>
      <w:szCs w:val="24"/>
    </w:rPr>
  </w:style>
  <w:style w:type="character" w:customStyle="1" w:styleId="266">
    <w:name w:val="批注框文本 Char"/>
    <w:autoRedefine/>
    <w:qFormat/>
    <w:uiPriority w:val="0"/>
    <w:rPr>
      <w:sz w:val="18"/>
      <w:szCs w:val="18"/>
    </w:rPr>
  </w:style>
  <w:style w:type="character" w:customStyle="1" w:styleId="267">
    <w:name w:val="文档结构图 Char"/>
    <w:autoRedefine/>
    <w:qFormat/>
    <w:uiPriority w:val="0"/>
    <w:rPr>
      <w:rFonts w:ascii="宋体"/>
      <w:kern w:val="2"/>
      <w:sz w:val="18"/>
      <w:szCs w:val="18"/>
    </w:rPr>
  </w:style>
  <w:style w:type="character" w:customStyle="1" w:styleId="268">
    <w:name w:val="标题 8 字符"/>
    <w:link w:val="11"/>
    <w:autoRedefine/>
    <w:qFormat/>
    <w:uiPriority w:val="0"/>
    <w:rPr>
      <w:rFonts w:hAnsi="Arial" w:eastAsia="仿宋_GB2312"/>
      <w:sz w:val="30"/>
      <w:lang w:val="en-US" w:eastAsia="zh-CN" w:bidi="ar-SA"/>
    </w:rPr>
  </w:style>
  <w:style w:type="character" w:customStyle="1" w:styleId="269">
    <w:name w:val="正文文本缩进 3 字符"/>
    <w:link w:val="36"/>
    <w:autoRedefine/>
    <w:qFormat/>
    <w:uiPriority w:val="0"/>
    <w:rPr>
      <w:rFonts w:ascii="宋体" w:hAnsi="宋体" w:eastAsia="宋体"/>
      <w:kern w:val="2"/>
      <w:sz w:val="28"/>
      <w:szCs w:val="28"/>
      <w:lang w:val="en-US" w:eastAsia="zh-CN" w:bidi="ar-SA"/>
    </w:rPr>
  </w:style>
  <w:style w:type="character" w:customStyle="1" w:styleId="270">
    <w:name w:val="正文文本缩进 字符"/>
    <w:link w:val="18"/>
    <w:autoRedefine/>
    <w:qFormat/>
    <w:uiPriority w:val="0"/>
    <w:rPr>
      <w:rFonts w:eastAsia="宋体"/>
      <w:kern w:val="2"/>
      <w:sz w:val="21"/>
      <w:szCs w:val="24"/>
      <w:lang w:val="en-US" w:eastAsia="zh-CN" w:bidi="ar-SA"/>
    </w:rPr>
  </w:style>
  <w:style w:type="character" w:customStyle="1" w:styleId="271">
    <w:name w:val="_Style 196"/>
    <w:autoRedefine/>
    <w:qFormat/>
    <w:uiPriority w:val="0"/>
    <w:rPr>
      <w:i/>
      <w:iCs/>
      <w:color w:val="808080"/>
    </w:rPr>
  </w:style>
  <w:style w:type="character" w:customStyle="1" w:styleId="272">
    <w:name w:val="正文文本缩进 2 字符"/>
    <w:link w:val="26"/>
    <w:autoRedefine/>
    <w:qFormat/>
    <w:uiPriority w:val="0"/>
    <w:rPr>
      <w:rFonts w:eastAsia="宋体"/>
      <w:sz w:val="28"/>
      <w:szCs w:val="24"/>
      <w:lang w:val="en-US" w:eastAsia="zh-CN" w:bidi="ar-SA"/>
    </w:rPr>
  </w:style>
  <w:style w:type="character" w:customStyle="1" w:styleId="273">
    <w:name w:val="标题 7 字符"/>
    <w:link w:val="10"/>
    <w:autoRedefine/>
    <w:qFormat/>
    <w:uiPriority w:val="0"/>
    <w:rPr>
      <w:rFonts w:eastAsia="仿宋_GB2312"/>
      <w:sz w:val="30"/>
      <w:lang w:val="en-US" w:eastAsia="zh-CN" w:bidi="ar-SA"/>
    </w:rPr>
  </w:style>
  <w:style w:type="character" w:customStyle="1" w:styleId="274">
    <w:name w:val="Char Char13"/>
    <w:autoRedefine/>
    <w:qFormat/>
    <w:uiPriority w:val="0"/>
    <w:rPr>
      <w:kern w:val="2"/>
      <w:sz w:val="18"/>
      <w:szCs w:val="18"/>
    </w:rPr>
  </w:style>
  <w:style w:type="character" w:customStyle="1" w:styleId="275">
    <w:name w:val="正文文本缩进 2 Char1"/>
    <w:autoRedefine/>
    <w:qFormat/>
    <w:uiPriority w:val="0"/>
    <w:rPr>
      <w:sz w:val="28"/>
      <w:szCs w:val="24"/>
    </w:rPr>
  </w:style>
  <w:style w:type="character" w:customStyle="1" w:styleId="276">
    <w:name w:val="Char Char21"/>
    <w:autoRedefine/>
    <w:qFormat/>
    <w:uiPriority w:val="0"/>
    <w:rPr>
      <w:rFonts w:ascii="宋体" w:hAnsi="宋体" w:cs="宋体"/>
      <w:b/>
      <w:bCs/>
      <w:sz w:val="24"/>
      <w:szCs w:val="24"/>
    </w:rPr>
  </w:style>
  <w:style w:type="character" w:customStyle="1" w:styleId="277">
    <w:name w:val="文档结构图 Char1"/>
    <w:autoRedefine/>
    <w:qFormat/>
    <w:uiPriority w:val="0"/>
    <w:rPr>
      <w:rFonts w:ascii="宋体"/>
      <w:kern w:val="2"/>
      <w:sz w:val="18"/>
      <w:szCs w:val="18"/>
    </w:rPr>
  </w:style>
  <w:style w:type="character" w:customStyle="1" w:styleId="278">
    <w:name w:val="标题 Char"/>
    <w:autoRedefine/>
    <w:qFormat/>
    <w:uiPriority w:val="0"/>
    <w:rPr>
      <w:rFonts w:ascii="Cambria" w:hAnsi="Cambria" w:eastAsia="宋体" w:cs="Times New Roman"/>
      <w:b/>
      <w:bCs/>
      <w:kern w:val="2"/>
      <w:sz w:val="32"/>
      <w:szCs w:val="32"/>
    </w:rPr>
  </w:style>
  <w:style w:type="character" w:customStyle="1" w:styleId="279">
    <w:name w:val="_Style 275"/>
    <w:autoRedefine/>
    <w:qFormat/>
    <w:uiPriority w:val="0"/>
    <w:rPr>
      <w:smallCaps/>
      <w:color w:val="C0504D"/>
      <w:u w:val="single"/>
    </w:rPr>
  </w:style>
  <w:style w:type="character" w:customStyle="1" w:styleId="280">
    <w:name w:val="Char Char12"/>
    <w:autoRedefine/>
    <w:qFormat/>
    <w:uiPriority w:val="0"/>
    <w:rPr>
      <w:rFonts w:eastAsia="黑体"/>
      <w:kern w:val="2"/>
      <w:sz w:val="44"/>
      <w:szCs w:val="44"/>
      <w:lang w:val="en-US" w:eastAsia="zh-CN" w:bidi="ar-SA"/>
    </w:rPr>
  </w:style>
  <w:style w:type="character" w:customStyle="1" w:styleId="281">
    <w:name w:val="明显参考1"/>
    <w:autoRedefine/>
    <w:qFormat/>
    <w:uiPriority w:val="0"/>
    <w:rPr>
      <w:b/>
      <w:bCs/>
      <w:smallCaps/>
      <w:color w:val="C0504D"/>
      <w:spacing w:val="5"/>
      <w:u w:val="single"/>
    </w:rPr>
  </w:style>
  <w:style w:type="character" w:customStyle="1" w:styleId="282">
    <w:name w:val="Char Char36"/>
    <w:autoRedefine/>
    <w:qFormat/>
    <w:uiPriority w:val="0"/>
    <w:rPr>
      <w:rFonts w:ascii="仿宋_GB2312" w:eastAsia="仿宋_GB2312" w:cs="MingLiU"/>
      <w:b/>
      <w:sz w:val="24"/>
      <w:szCs w:val="28"/>
    </w:rPr>
  </w:style>
  <w:style w:type="character" w:customStyle="1" w:styleId="283">
    <w:name w:val="批注框文本 Char2"/>
    <w:autoRedefine/>
    <w:qFormat/>
    <w:uiPriority w:val="99"/>
    <w:rPr>
      <w:kern w:val="2"/>
      <w:sz w:val="18"/>
      <w:szCs w:val="18"/>
    </w:rPr>
  </w:style>
  <w:style w:type="character" w:customStyle="1" w:styleId="284">
    <w:name w:val="subhead1"/>
    <w:autoRedefine/>
    <w:qFormat/>
    <w:uiPriority w:val="0"/>
    <w:rPr>
      <w:rFonts w:hint="default" w:ascii="Tahoma" w:hAnsi="Tahoma" w:cs="Tahoma"/>
      <w:color w:val="000000"/>
      <w:sz w:val="18"/>
      <w:szCs w:val="18"/>
      <w:u w:val="none"/>
      <w:shd w:val="clear" w:color="auto" w:fill="FFFFFF"/>
    </w:rPr>
  </w:style>
  <w:style w:type="character" w:customStyle="1" w:styleId="285">
    <w:name w:val="正文文本缩进 3 Char2"/>
    <w:autoRedefine/>
    <w:qFormat/>
    <w:uiPriority w:val="99"/>
    <w:rPr>
      <w:rFonts w:ascii="Calibri" w:hAnsi="Calibri" w:eastAsia="宋体" w:cs="Times New Roman"/>
      <w:sz w:val="16"/>
      <w:szCs w:val="16"/>
    </w:rPr>
  </w:style>
  <w:style w:type="character" w:customStyle="1" w:styleId="286">
    <w:name w:val="纯文本 Char"/>
    <w:autoRedefine/>
    <w:qFormat/>
    <w:uiPriority w:val="0"/>
    <w:rPr>
      <w:rFonts w:ascii="宋体" w:hAnsi="Courier New"/>
      <w:sz w:val="28"/>
      <w:szCs w:val="28"/>
    </w:rPr>
  </w:style>
  <w:style w:type="character" w:customStyle="1" w:styleId="287">
    <w:name w:val="纯文本 Char2"/>
    <w:autoRedefine/>
    <w:qFormat/>
    <w:uiPriority w:val="99"/>
    <w:rPr>
      <w:rFonts w:ascii="宋体" w:hAnsi="Courier New" w:eastAsia="宋体" w:cs="Courier New"/>
      <w:szCs w:val="21"/>
    </w:rPr>
  </w:style>
  <w:style w:type="character" w:customStyle="1" w:styleId="288">
    <w:name w:val="页眉 Char1"/>
    <w:autoRedefine/>
    <w:qFormat/>
    <w:uiPriority w:val="99"/>
    <w:rPr>
      <w:kern w:val="2"/>
      <w:sz w:val="18"/>
      <w:szCs w:val="18"/>
    </w:rPr>
  </w:style>
  <w:style w:type="character" w:customStyle="1" w:styleId="289">
    <w:name w:val="Char Char14"/>
    <w:autoRedefine/>
    <w:qFormat/>
    <w:uiPriority w:val="0"/>
    <w:rPr>
      <w:kern w:val="2"/>
      <w:sz w:val="18"/>
      <w:szCs w:val="18"/>
    </w:rPr>
  </w:style>
  <w:style w:type="character" w:customStyle="1" w:styleId="290">
    <w:name w:val="批注文字 字符"/>
    <w:link w:val="16"/>
    <w:autoRedefine/>
    <w:qFormat/>
    <w:uiPriority w:val="99"/>
    <w:rPr>
      <w:rFonts w:eastAsia="宋体"/>
      <w:kern w:val="2"/>
      <w:sz w:val="21"/>
      <w:szCs w:val="24"/>
      <w:lang w:val="en-US" w:eastAsia="zh-CN" w:bidi="ar-SA"/>
    </w:rPr>
  </w:style>
  <w:style w:type="character" w:customStyle="1" w:styleId="291">
    <w:name w:val="批注文字 Char Char"/>
    <w:autoRedefine/>
    <w:qFormat/>
    <w:uiPriority w:val="0"/>
    <w:rPr>
      <w:rFonts w:ascii="宋体" w:hAnsi="Times New Roman" w:eastAsia="宋体" w:cs="Times New Roman"/>
      <w:sz w:val="28"/>
      <w:szCs w:val="20"/>
    </w:rPr>
  </w:style>
  <w:style w:type="character" w:customStyle="1" w:styleId="292">
    <w:name w:val="标题 1 Char1"/>
    <w:autoRedefine/>
    <w:qFormat/>
    <w:uiPriority w:val="0"/>
    <w:rPr>
      <w:rFonts w:ascii="Times New Roman" w:hAnsi="Times New Roman" w:eastAsia="宋体" w:cs="Times New Roman"/>
      <w:b/>
      <w:bCs/>
      <w:kern w:val="44"/>
      <w:sz w:val="44"/>
      <w:szCs w:val="44"/>
    </w:rPr>
  </w:style>
  <w:style w:type="character" w:customStyle="1" w:styleId="293">
    <w:name w:val="标题 5 字符"/>
    <w:link w:val="7"/>
    <w:autoRedefine/>
    <w:qFormat/>
    <w:uiPriority w:val="0"/>
    <w:rPr>
      <w:rFonts w:ascii="宋体" w:hAnsi="宋体" w:eastAsia="宋体" w:cs="宋体"/>
      <w:b/>
      <w:bCs/>
      <w:lang w:val="en-US" w:eastAsia="zh-CN" w:bidi="ar-SA"/>
    </w:rPr>
  </w:style>
  <w:style w:type="character" w:customStyle="1" w:styleId="294">
    <w:name w:val="手改 Char Char"/>
    <w:autoRedefine/>
    <w:qFormat/>
    <w:uiPriority w:val="0"/>
    <w:rPr>
      <w:kern w:val="2"/>
      <w:sz w:val="21"/>
      <w:szCs w:val="24"/>
    </w:rPr>
  </w:style>
  <w:style w:type="character" w:customStyle="1" w:styleId="295">
    <w:name w:val="标题 1 字符"/>
    <w:link w:val="3"/>
    <w:autoRedefine/>
    <w:qFormat/>
    <w:uiPriority w:val="0"/>
    <w:rPr>
      <w:rFonts w:eastAsia="宋体"/>
      <w:b/>
      <w:bCs/>
      <w:kern w:val="44"/>
      <w:sz w:val="44"/>
      <w:szCs w:val="44"/>
      <w:lang w:val="en-US" w:eastAsia="zh-CN" w:bidi="ar-SA"/>
    </w:rPr>
  </w:style>
  <w:style w:type="character" w:customStyle="1" w:styleId="296">
    <w:name w:val="intel3"/>
    <w:basedOn w:val="48"/>
    <w:autoRedefine/>
    <w:qFormat/>
    <w:uiPriority w:val="0"/>
  </w:style>
  <w:style w:type="character" w:customStyle="1" w:styleId="297">
    <w:name w:val="副标题 Char2"/>
    <w:autoRedefine/>
    <w:qFormat/>
    <w:uiPriority w:val="11"/>
    <w:rPr>
      <w:rFonts w:ascii="Cambria" w:hAnsi="Cambria" w:eastAsia="宋体" w:cs="Times New Roman"/>
      <w:b/>
      <w:bCs/>
      <w:kern w:val="28"/>
      <w:sz w:val="32"/>
      <w:szCs w:val="32"/>
    </w:rPr>
  </w:style>
  <w:style w:type="character" w:customStyle="1" w:styleId="298">
    <w:name w:val="明显引用 Char4"/>
    <w:link w:val="119"/>
    <w:autoRedefine/>
    <w:qFormat/>
    <w:uiPriority w:val="0"/>
    <w:rPr>
      <w:b/>
      <w:bCs/>
      <w:i/>
      <w:iCs/>
      <w:color w:val="4F81BD"/>
      <w:kern w:val="2"/>
      <w:sz w:val="21"/>
      <w:szCs w:val="22"/>
      <w:lang w:bidi="ar-SA"/>
    </w:rPr>
  </w:style>
  <w:style w:type="character" w:customStyle="1" w:styleId="299">
    <w:name w:val="明显引用 Char1"/>
    <w:link w:val="112"/>
    <w:autoRedefine/>
    <w:qFormat/>
    <w:uiPriority w:val="30"/>
    <w:rPr>
      <w:b/>
      <w:bCs/>
      <w:i/>
      <w:iCs/>
      <w:color w:val="4F81BD"/>
      <w:kern w:val="2"/>
      <w:sz w:val="21"/>
    </w:rPr>
  </w:style>
  <w:style w:type="character" w:customStyle="1" w:styleId="300">
    <w:name w:val="HTML 预设格式 Char1"/>
    <w:autoRedefine/>
    <w:qFormat/>
    <w:uiPriority w:val="0"/>
    <w:rPr>
      <w:rFonts w:ascii="宋体" w:hAnsi="宋体" w:cs="宋体"/>
      <w:color w:val="000000"/>
      <w:sz w:val="24"/>
      <w:szCs w:val="24"/>
    </w:rPr>
  </w:style>
  <w:style w:type="character" w:customStyle="1" w:styleId="301">
    <w:name w:val="引用 Char"/>
    <w:link w:val="70"/>
    <w:autoRedefine/>
    <w:qFormat/>
    <w:uiPriority w:val="0"/>
    <w:rPr>
      <w:rFonts w:ascii="Times New Roman" w:hAnsi="Times New Roman" w:eastAsia="宋体" w:cs="Times New Roman"/>
      <w:i/>
      <w:iCs/>
      <w:color w:val="000000"/>
      <w:kern w:val="2"/>
      <w:sz w:val="21"/>
      <w:szCs w:val="24"/>
    </w:rPr>
  </w:style>
  <w:style w:type="character" w:customStyle="1" w:styleId="302">
    <w:name w:val="副标题 字符"/>
    <w:link w:val="33"/>
    <w:autoRedefine/>
    <w:qFormat/>
    <w:uiPriority w:val="0"/>
    <w:rPr>
      <w:rFonts w:eastAsia="宋体"/>
      <w:szCs w:val="24"/>
      <w:u w:val="single"/>
      <w:lang w:val="en-US" w:eastAsia="en-US" w:bidi="ar-SA"/>
    </w:rPr>
  </w:style>
  <w:style w:type="character" w:customStyle="1" w:styleId="303">
    <w:name w:val="ITTHEADER1 Char"/>
    <w:autoRedefine/>
    <w:qFormat/>
    <w:uiPriority w:val="0"/>
    <w:rPr>
      <w:rFonts w:eastAsia="黑体"/>
      <w:kern w:val="2"/>
      <w:sz w:val="44"/>
      <w:szCs w:val="44"/>
      <w:lang w:val="en-US" w:eastAsia="zh-CN" w:bidi="ar-SA"/>
    </w:rPr>
  </w:style>
  <w:style w:type="character" w:customStyle="1" w:styleId="304">
    <w:name w:val="日期 Char3"/>
    <w:autoRedefine/>
    <w:qFormat/>
    <w:uiPriority w:val="99"/>
    <w:rPr>
      <w:rFonts w:ascii="Calibri" w:hAnsi="Calibri" w:eastAsia="宋体" w:cs="Times New Roman"/>
      <w:szCs w:val="24"/>
    </w:rPr>
  </w:style>
  <w:style w:type="character" w:customStyle="1" w:styleId="305">
    <w:name w:val="纯文本 字符"/>
    <w:link w:val="23"/>
    <w:autoRedefine/>
    <w:qFormat/>
    <w:uiPriority w:val="0"/>
    <w:rPr>
      <w:rFonts w:ascii="宋体" w:hAnsi="Courier New" w:eastAsia="宋体" w:cs="Courier New"/>
      <w:kern w:val="2"/>
      <w:sz w:val="21"/>
      <w:szCs w:val="21"/>
      <w:lang w:val="en-US" w:eastAsia="zh-CN" w:bidi="ar-SA"/>
    </w:rPr>
  </w:style>
  <w:style w:type="character" w:customStyle="1" w:styleId="306">
    <w:name w:val="批注文字 Char"/>
    <w:autoRedefine/>
    <w:qFormat/>
    <w:uiPriority w:val="0"/>
    <w:rPr>
      <w:rFonts w:ascii="Times New Roman" w:hAnsi="Times New Roman" w:eastAsia="宋体" w:cs="Times New Roman"/>
      <w:kern w:val="2"/>
      <w:sz w:val="21"/>
      <w:szCs w:val="24"/>
    </w:rPr>
  </w:style>
  <w:style w:type="character" w:customStyle="1" w:styleId="307">
    <w:name w:val="Section Char"/>
    <w:autoRedefine/>
    <w:qFormat/>
    <w:uiPriority w:val="0"/>
    <w:rPr>
      <w:rFonts w:ascii="仿宋_GB2312" w:eastAsia="仿宋_GB2312" w:cs="MingLiU"/>
      <w:b/>
      <w:sz w:val="24"/>
      <w:szCs w:val="28"/>
      <w:lang w:val="en-US" w:eastAsia="zh-CN" w:bidi="ar-SA"/>
    </w:rPr>
  </w:style>
  <w:style w:type="character" w:customStyle="1" w:styleId="308">
    <w:name w:val="正文文本 3 Char2"/>
    <w:autoRedefine/>
    <w:qFormat/>
    <w:uiPriority w:val="99"/>
    <w:rPr>
      <w:rFonts w:ascii="Calibri" w:hAnsi="Calibri" w:eastAsia="宋体" w:cs="Times New Roman"/>
      <w:sz w:val="16"/>
      <w:szCs w:val="16"/>
    </w:rPr>
  </w:style>
  <w:style w:type="character" w:customStyle="1" w:styleId="309">
    <w:name w:val="正文文本 3 字符"/>
    <w:link w:val="17"/>
    <w:autoRedefine/>
    <w:qFormat/>
    <w:uiPriority w:val="0"/>
    <w:rPr>
      <w:rFonts w:eastAsia="宋体"/>
      <w:kern w:val="2"/>
      <w:sz w:val="16"/>
      <w:szCs w:val="16"/>
      <w:lang w:val="en-US" w:eastAsia="zh-CN" w:bidi="ar-SA"/>
    </w:rPr>
  </w:style>
  <w:style w:type="character" w:customStyle="1" w:styleId="310">
    <w:name w:val="普通文字 Char Char1"/>
    <w:autoRedefine/>
    <w:qFormat/>
    <w:uiPriority w:val="0"/>
    <w:rPr>
      <w:rFonts w:ascii="宋体" w:hAnsi="Courier New"/>
      <w:kern w:val="2"/>
      <w:sz w:val="28"/>
      <w:szCs w:val="28"/>
    </w:rPr>
  </w:style>
  <w:style w:type="character" w:customStyle="1" w:styleId="311">
    <w:name w:val="正文文本缩进 Char"/>
    <w:autoRedefine/>
    <w:qFormat/>
    <w:uiPriority w:val="0"/>
    <w:rPr>
      <w:rFonts w:ascii="黑体" w:hAnsi="宋体" w:eastAsia="黑体"/>
      <w:color w:val="000000"/>
      <w:sz w:val="28"/>
      <w:szCs w:val="32"/>
    </w:rPr>
  </w:style>
  <w:style w:type="character" w:customStyle="1" w:styleId="312">
    <w:name w:val="font161"/>
    <w:autoRedefine/>
    <w:qFormat/>
    <w:uiPriority w:val="0"/>
    <w:rPr>
      <w:b/>
      <w:bCs/>
      <w:sz w:val="32"/>
      <w:szCs w:val="32"/>
    </w:rPr>
  </w:style>
  <w:style w:type="paragraph" w:customStyle="1" w:styleId="313">
    <w:name w:val="List Paragraph_2053445d-0ea7-4fc6-805c-24e9551bff14"/>
    <w:basedOn w:val="1"/>
    <w:autoRedefine/>
    <w:qFormat/>
    <w:uiPriority w:val="99"/>
    <w:pPr>
      <w:ind w:firstLine="420" w:firstLineChars="200"/>
    </w:pPr>
    <w:rPr>
      <w:sz w:val="28"/>
      <w:szCs w:val="28"/>
    </w:rPr>
  </w:style>
  <w:style w:type="paragraph" w:customStyle="1" w:styleId="314">
    <w:name w:val="Revision_be56d849-df43-460f-89c6-231392157f72"/>
    <w:autoRedefine/>
    <w:qFormat/>
    <w:uiPriority w:val="99"/>
    <w:rPr>
      <w:rFonts w:ascii="Times New Roman" w:hAnsi="Times New Roman" w:eastAsia="宋体" w:cs="Times New Roman"/>
      <w:kern w:val="2"/>
      <w:sz w:val="21"/>
      <w:szCs w:val="24"/>
      <w:lang w:val="en-US" w:eastAsia="zh-CN" w:bidi="ar-SA"/>
    </w:rPr>
  </w:style>
  <w:style w:type="paragraph" w:customStyle="1" w:styleId="315">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127</Pages>
  <Words>81330</Words>
  <Characters>85666</Characters>
  <Paragraphs>4432</Paragraphs>
  <TotalTime>0</TotalTime>
  <ScaleCrop>false</ScaleCrop>
  <LinksUpToDate>false</LinksUpToDate>
  <CharactersWithSpaces>93476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2021-12-17T11:12:00Z</dcterms:created>
  <dc:creator>USER</dc:creator>
  <cp:lastModifiedBy> </cp:lastModifiedBy>
  <cp:lastPrinted>2024-03-13T01:11:00Z</cp:lastPrinted>
  <dcterms:modified xsi:type="dcterms:W3CDTF">2024-05-14T08:18:12Z</dcterms:modified>
  <dc:title>第一卷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149E4384CC804D0FBBEC3889C49FA412_13</vt:lpwstr>
  </property>
</Properties>
</file>