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8182D">
      <w:pPr>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 xml:space="preserve"> </w:t>
      </w:r>
    </w:p>
    <w:p w14:paraId="3B65190F">
      <w:pPr>
        <w:spacing w:line="360" w:lineRule="auto"/>
        <w:jc w:val="center"/>
        <w:rPr>
          <w:rFonts w:ascii="宋体" w:hAnsi="宋体"/>
          <w:kern w:val="0"/>
          <w:sz w:val="32"/>
          <w:szCs w:val="32"/>
          <w:highlight w:val="none"/>
        </w:rPr>
      </w:pPr>
      <w:r>
        <w:rPr>
          <w:rFonts w:hint="eastAsia" w:ascii="宋体" w:hAnsi="宋体"/>
          <w:color w:val="0000FF"/>
          <w:kern w:val="0"/>
          <w:sz w:val="32"/>
          <w:szCs w:val="32"/>
          <w:highlight w:val="none"/>
          <w:u w:val="single"/>
          <w:lang w:eastAsia="zh-CN"/>
        </w:rPr>
        <w:t>开成路、横六路道路交安提升及绿化补栽工程（</w:t>
      </w:r>
      <w:r>
        <w:rPr>
          <w:rFonts w:hint="eastAsia" w:ascii="宋体" w:hAnsi="宋体"/>
          <w:color w:val="0000FF"/>
          <w:kern w:val="0"/>
          <w:sz w:val="32"/>
          <w:szCs w:val="32"/>
          <w:highlight w:val="none"/>
          <w:u w:val="single"/>
          <w:lang w:val="en-US" w:eastAsia="zh-CN"/>
        </w:rPr>
        <w:t>第二次</w:t>
      </w:r>
      <w:r>
        <w:rPr>
          <w:rFonts w:hint="eastAsia" w:ascii="宋体" w:hAnsi="宋体"/>
          <w:color w:val="0000FF"/>
          <w:kern w:val="0"/>
          <w:sz w:val="32"/>
          <w:szCs w:val="32"/>
          <w:highlight w:val="none"/>
          <w:u w:val="single"/>
          <w:lang w:eastAsia="zh-CN"/>
        </w:rPr>
        <w:t>）</w:t>
      </w:r>
      <w:r>
        <w:rPr>
          <w:rFonts w:hint="eastAsia" w:ascii="宋体" w:hAnsi="宋体"/>
          <w:kern w:val="0"/>
          <w:sz w:val="32"/>
          <w:szCs w:val="32"/>
          <w:highlight w:val="none"/>
          <w:u w:val="single"/>
        </w:rPr>
        <w:t>（项目名称）</w:t>
      </w:r>
    </w:p>
    <w:p w14:paraId="64DC3B50">
      <w:pPr>
        <w:autoSpaceDE w:val="0"/>
        <w:autoSpaceDN w:val="0"/>
        <w:adjustRightInd w:val="0"/>
        <w:snapToGrid w:val="0"/>
        <w:spacing w:line="360" w:lineRule="auto"/>
        <w:jc w:val="left"/>
        <w:rPr>
          <w:rFonts w:ascii="宋体" w:hAnsi="宋体"/>
          <w:kern w:val="0"/>
          <w:sz w:val="20"/>
          <w:szCs w:val="20"/>
          <w:highlight w:val="none"/>
        </w:rPr>
      </w:pPr>
    </w:p>
    <w:p w14:paraId="46A9DD24">
      <w:pPr>
        <w:autoSpaceDE w:val="0"/>
        <w:autoSpaceDN w:val="0"/>
        <w:adjustRightInd w:val="0"/>
        <w:snapToGrid w:val="0"/>
        <w:spacing w:line="360" w:lineRule="auto"/>
        <w:jc w:val="left"/>
        <w:rPr>
          <w:rFonts w:ascii="宋体" w:hAnsi="宋体"/>
          <w:kern w:val="0"/>
          <w:sz w:val="20"/>
          <w:szCs w:val="20"/>
          <w:highlight w:val="none"/>
        </w:rPr>
      </w:pPr>
    </w:p>
    <w:p w14:paraId="56F8A3E2">
      <w:pPr>
        <w:autoSpaceDE w:val="0"/>
        <w:autoSpaceDN w:val="0"/>
        <w:adjustRightInd w:val="0"/>
        <w:snapToGrid w:val="0"/>
        <w:spacing w:line="360" w:lineRule="auto"/>
        <w:jc w:val="left"/>
        <w:rPr>
          <w:rFonts w:ascii="宋体" w:hAnsi="宋体"/>
          <w:kern w:val="0"/>
          <w:sz w:val="20"/>
          <w:szCs w:val="20"/>
          <w:highlight w:val="none"/>
        </w:rPr>
      </w:pPr>
    </w:p>
    <w:p w14:paraId="4AFB64DD">
      <w:pPr>
        <w:autoSpaceDE w:val="0"/>
        <w:autoSpaceDN w:val="0"/>
        <w:adjustRightInd w:val="0"/>
        <w:snapToGrid w:val="0"/>
        <w:spacing w:line="360" w:lineRule="auto"/>
        <w:jc w:val="left"/>
        <w:rPr>
          <w:rFonts w:ascii="宋体" w:hAnsi="宋体"/>
          <w:kern w:val="0"/>
          <w:sz w:val="20"/>
          <w:szCs w:val="20"/>
          <w:highlight w:val="none"/>
        </w:rPr>
      </w:pPr>
    </w:p>
    <w:p w14:paraId="58173E57">
      <w:pPr>
        <w:autoSpaceDE w:val="0"/>
        <w:autoSpaceDN w:val="0"/>
        <w:adjustRightInd w:val="0"/>
        <w:snapToGrid w:val="0"/>
        <w:spacing w:line="360" w:lineRule="auto"/>
        <w:jc w:val="left"/>
        <w:rPr>
          <w:rFonts w:ascii="宋体" w:hAnsi="宋体"/>
          <w:kern w:val="0"/>
          <w:sz w:val="20"/>
          <w:szCs w:val="20"/>
          <w:highlight w:val="none"/>
        </w:rPr>
      </w:pPr>
    </w:p>
    <w:p w14:paraId="6193EABE">
      <w:pPr>
        <w:autoSpaceDE w:val="0"/>
        <w:autoSpaceDN w:val="0"/>
        <w:adjustRightInd w:val="0"/>
        <w:snapToGrid w:val="0"/>
        <w:spacing w:line="360" w:lineRule="auto"/>
        <w:jc w:val="left"/>
        <w:rPr>
          <w:rFonts w:ascii="宋体" w:hAnsi="宋体"/>
          <w:kern w:val="0"/>
          <w:sz w:val="20"/>
          <w:szCs w:val="20"/>
          <w:highlight w:val="none"/>
        </w:rPr>
      </w:pPr>
    </w:p>
    <w:p w14:paraId="684E2721">
      <w:pPr>
        <w:autoSpaceDE w:val="0"/>
        <w:autoSpaceDN w:val="0"/>
        <w:adjustRightInd w:val="0"/>
        <w:snapToGrid w:val="0"/>
        <w:spacing w:line="360" w:lineRule="auto"/>
        <w:jc w:val="center"/>
        <w:outlineLvl w:val="0"/>
        <w:rPr>
          <w:rFonts w:ascii="宋体" w:hAnsi="宋体"/>
          <w:kern w:val="0"/>
          <w:sz w:val="72"/>
          <w:szCs w:val="72"/>
          <w:highlight w:val="none"/>
        </w:rPr>
      </w:pPr>
      <w:bookmarkStart w:id="0" w:name="_Toc6745"/>
      <w:r>
        <w:rPr>
          <w:rFonts w:hint="eastAsia" w:ascii="宋体" w:hAnsi="宋体"/>
          <w:kern w:val="0"/>
          <w:sz w:val="72"/>
          <w:szCs w:val="72"/>
          <w:highlight w:val="none"/>
          <w:lang w:val="en-US" w:eastAsia="zh-CN"/>
        </w:rPr>
        <w:t>竞争性比选</w:t>
      </w:r>
      <w:r>
        <w:rPr>
          <w:rFonts w:ascii="宋体" w:hAnsi="宋体"/>
          <w:kern w:val="0"/>
          <w:sz w:val="72"/>
          <w:szCs w:val="72"/>
          <w:highlight w:val="none"/>
        </w:rPr>
        <w:t>文件</w:t>
      </w:r>
      <w:bookmarkEnd w:id="0"/>
    </w:p>
    <w:p w14:paraId="71FC6ADF">
      <w:pPr>
        <w:autoSpaceDE w:val="0"/>
        <w:autoSpaceDN w:val="0"/>
        <w:adjustRightInd w:val="0"/>
        <w:snapToGrid w:val="0"/>
        <w:spacing w:line="360" w:lineRule="auto"/>
        <w:jc w:val="left"/>
        <w:rPr>
          <w:rFonts w:ascii="宋体" w:hAnsi="宋体"/>
          <w:kern w:val="0"/>
          <w:sz w:val="10"/>
          <w:szCs w:val="10"/>
          <w:highlight w:val="none"/>
        </w:rPr>
      </w:pPr>
    </w:p>
    <w:p w14:paraId="776914F7">
      <w:pPr>
        <w:autoSpaceDE w:val="0"/>
        <w:autoSpaceDN w:val="0"/>
        <w:adjustRightInd w:val="0"/>
        <w:snapToGrid w:val="0"/>
        <w:spacing w:line="360" w:lineRule="auto"/>
        <w:jc w:val="left"/>
        <w:rPr>
          <w:rFonts w:ascii="宋体" w:hAnsi="宋体"/>
          <w:kern w:val="0"/>
          <w:sz w:val="20"/>
          <w:szCs w:val="20"/>
          <w:highlight w:val="none"/>
        </w:rPr>
      </w:pPr>
    </w:p>
    <w:p w14:paraId="76E81775">
      <w:pPr>
        <w:autoSpaceDE w:val="0"/>
        <w:autoSpaceDN w:val="0"/>
        <w:adjustRightInd w:val="0"/>
        <w:snapToGrid w:val="0"/>
        <w:spacing w:line="360" w:lineRule="auto"/>
        <w:jc w:val="left"/>
        <w:rPr>
          <w:rFonts w:ascii="宋体" w:hAnsi="宋体"/>
          <w:kern w:val="0"/>
          <w:sz w:val="20"/>
          <w:szCs w:val="20"/>
          <w:highlight w:val="none"/>
        </w:rPr>
      </w:pPr>
    </w:p>
    <w:p w14:paraId="41595503">
      <w:pPr>
        <w:autoSpaceDE w:val="0"/>
        <w:autoSpaceDN w:val="0"/>
        <w:adjustRightInd w:val="0"/>
        <w:snapToGrid w:val="0"/>
        <w:spacing w:line="360" w:lineRule="auto"/>
        <w:jc w:val="left"/>
        <w:rPr>
          <w:rFonts w:ascii="宋体" w:hAnsi="宋体"/>
          <w:kern w:val="0"/>
          <w:sz w:val="20"/>
          <w:szCs w:val="20"/>
          <w:highlight w:val="none"/>
        </w:rPr>
      </w:pPr>
    </w:p>
    <w:p w14:paraId="2EDAC237">
      <w:pPr>
        <w:autoSpaceDE w:val="0"/>
        <w:autoSpaceDN w:val="0"/>
        <w:adjustRightInd w:val="0"/>
        <w:snapToGrid w:val="0"/>
        <w:spacing w:line="360" w:lineRule="auto"/>
        <w:jc w:val="left"/>
        <w:rPr>
          <w:rFonts w:ascii="宋体" w:hAnsi="宋体"/>
          <w:kern w:val="0"/>
          <w:sz w:val="20"/>
          <w:szCs w:val="20"/>
          <w:highlight w:val="none"/>
        </w:rPr>
      </w:pPr>
    </w:p>
    <w:p w14:paraId="039F46DF">
      <w:pPr>
        <w:autoSpaceDE w:val="0"/>
        <w:autoSpaceDN w:val="0"/>
        <w:adjustRightInd w:val="0"/>
        <w:snapToGrid w:val="0"/>
        <w:spacing w:line="360" w:lineRule="auto"/>
        <w:jc w:val="left"/>
        <w:rPr>
          <w:rFonts w:ascii="宋体" w:hAnsi="宋体"/>
          <w:kern w:val="0"/>
          <w:sz w:val="20"/>
          <w:szCs w:val="20"/>
          <w:highlight w:val="none"/>
        </w:rPr>
      </w:pPr>
    </w:p>
    <w:p w14:paraId="6CBE22AA">
      <w:pPr>
        <w:autoSpaceDE w:val="0"/>
        <w:autoSpaceDN w:val="0"/>
        <w:adjustRightInd w:val="0"/>
        <w:snapToGrid w:val="0"/>
        <w:spacing w:line="360" w:lineRule="auto"/>
        <w:jc w:val="left"/>
        <w:rPr>
          <w:rFonts w:ascii="宋体" w:hAnsi="宋体"/>
          <w:kern w:val="0"/>
          <w:sz w:val="20"/>
          <w:szCs w:val="20"/>
          <w:highlight w:val="none"/>
        </w:rPr>
      </w:pPr>
    </w:p>
    <w:p w14:paraId="4380544C">
      <w:pPr>
        <w:autoSpaceDE w:val="0"/>
        <w:autoSpaceDN w:val="0"/>
        <w:adjustRightInd w:val="0"/>
        <w:snapToGrid w:val="0"/>
        <w:spacing w:line="360" w:lineRule="auto"/>
        <w:jc w:val="left"/>
        <w:rPr>
          <w:rFonts w:ascii="宋体" w:hAnsi="宋体"/>
          <w:kern w:val="0"/>
          <w:sz w:val="20"/>
          <w:szCs w:val="20"/>
          <w:highlight w:val="none"/>
        </w:rPr>
      </w:pPr>
    </w:p>
    <w:p w14:paraId="74F46280">
      <w:pPr>
        <w:autoSpaceDE w:val="0"/>
        <w:autoSpaceDN w:val="0"/>
        <w:adjustRightInd w:val="0"/>
        <w:snapToGrid w:val="0"/>
        <w:spacing w:line="360" w:lineRule="auto"/>
        <w:rPr>
          <w:rFonts w:ascii="宋体" w:hAnsi="宋体"/>
          <w:kern w:val="0"/>
          <w:sz w:val="20"/>
          <w:szCs w:val="20"/>
          <w:highlight w:val="none"/>
        </w:rPr>
      </w:pPr>
    </w:p>
    <w:p w14:paraId="3B954D8B">
      <w:pPr>
        <w:autoSpaceDE w:val="0"/>
        <w:autoSpaceDN w:val="0"/>
        <w:adjustRightInd w:val="0"/>
        <w:snapToGrid w:val="0"/>
        <w:spacing w:line="360" w:lineRule="auto"/>
        <w:jc w:val="left"/>
        <w:rPr>
          <w:rFonts w:ascii="宋体" w:hAnsi="宋体"/>
          <w:kern w:val="0"/>
          <w:sz w:val="20"/>
          <w:szCs w:val="20"/>
          <w:highlight w:val="none"/>
        </w:rPr>
      </w:pPr>
    </w:p>
    <w:p w14:paraId="1AB02D5D">
      <w:pPr>
        <w:autoSpaceDE w:val="0"/>
        <w:autoSpaceDN w:val="0"/>
        <w:adjustRightInd w:val="0"/>
        <w:snapToGrid w:val="0"/>
        <w:spacing w:line="360" w:lineRule="auto"/>
        <w:rPr>
          <w:rFonts w:ascii="宋体" w:hAnsi="宋体"/>
          <w:kern w:val="0"/>
          <w:sz w:val="20"/>
          <w:szCs w:val="20"/>
          <w:highlight w:val="none"/>
        </w:rPr>
      </w:pPr>
    </w:p>
    <w:p w14:paraId="4DFCFB1C">
      <w:pPr>
        <w:autoSpaceDE w:val="0"/>
        <w:autoSpaceDN w:val="0"/>
        <w:adjustRightInd w:val="0"/>
        <w:snapToGrid w:val="0"/>
        <w:spacing w:line="360" w:lineRule="auto"/>
        <w:rPr>
          <w:rFonts w:ascii="宋体" w:hAnsi="宋体"/>
          <w:kern w:val="0"/>
          <w:sz w:val="20"/>
          <w:szCs w:val="20"/>
          <w:highlight w:val="none"/>
        </w:rPr>
      </w:pPr>
    </w:p>
    <w:p w14:paraId="79B09406">
      <w:pPr>
        <w:autoSpaceDE w:val="0"/>
        <w:autoSpaceDN w:val="0"/>
        <w:adjustRightInd w:val="0"/>
        <w:snapToGrid w:val="0"/>
        <w:spacing w:line="360" w:lineRule="auto"/>
        <w:rPr>
          <w:rFonts w:ascii="宋体" w:hAnsi="宋体"/>
          <w:kern w:val="0"/>
          <w:sz w:val="20"/>
          <w:szCs w:val="20"/>
          <w:highlight w:val="none"/>
        </w:rPr>
      </w:pPr>
    </w:p>
    <w:p w14:paraId="02D32A5A">
      <w:pPr>
        <w:tabs>
          <w:tab w:val="left" w:pos="6219"/>
        </w:tabs>
        <w:autoSpaceDE w:val="0"/>
        <w:autoSpaceDN w:val="0"/>
        <w:adjustRightInd w:val="0"/>
        <w:snapToGrid w:val="0"/>
        <w:spacing w:line="360" w:lineRule="auto"/>
        <w:jc w:val="center"/>
        <w:outlineLvl w:val="0"/>
        <w:rPr>
          <w:rFonts w:ascii="宋体" w:hAnsi="宋体"/>
          <w:b/>
          <w:w w:val="99"/>
          <w:kern w:val="0"/>
          <w:sz w:val="28"/>
          <w:szCs w:val="28"/>
          <w:highlight w:val="none"/>
        </w:rPr>
      </w:pPr>
      <w:bookmarkStart w:id="1" w:name="_Toc22934"/>
      <w:bookmarkStart w:id="2" w:name="_Toc19399"/>
      <w:r>
        <w:rPr>
          <w:rFonts w:hint="eastAsia" w:ascii="宋体" w:hAnsi="宋体"/>
          <w:b/>
          <w:w w:val="99"/>
          <w:kern w:val="0"/>
          <w:sz w:val="28"/>
          <w:szCs w:val="28"/>
          <w:highlight w:val="none"/>
          <w:lang w:val="en-US" w:eastAsia="zh-CN"/>
        </w:rPr>
        <w:t>比选</w:t>
      </w:r>
      <w:r>
        <w:rPr>
          <w:rFonts w:ascii="宋体" w:hAnsi="宋体"/>
          <w:b/>
          <w:w w:val="99"/>
          <w:kern w:val="0"/>
          <w:sz w:val="28"/>
          <w:szCs w:val="28"/>
          <w:highlight w:val="none"/>
        </w:rPr>
        <w:t>人：</w:t>
      </w:r>
      <w:r>
        <w:rPr>
          <w:rFonts w:hint="eastAsia" w:ascii="宋体" w:hAnsi="宋体"/>
          <w:b/>
          <w:w w:val="99"/>
          <w:kern w:val="0"/>
          <w:sz w:val="28"/>
          <w:szCs w:val="28"/>
          <w:highlight w:val="none"/>
        </w:rPr>
        <w:t>重庆</w:t>
      </w:r>
      <w:r>
        <w:rPr>
          <w:rFonts w:hint="eastAsia" w:ascii="宋体" w:hAnsi="宋体"/>
          <w:b/>
          <w:w w:val="99"/>
          <w:kern w:val="0"/>
          <w:sz w:val="28"/>
          <w:szCs w:val="28"/>
          <w:highlight w:val="none"/>
          <w:lang w:val="en-US" w:eastAsia="zh-CN"/>
        </w:rPr>
        <w:t>经开区开发建设有限公司</w:t>
      </w:r>
      <w:r>
        <w:rPr>
          <w:rFonts w:ascii="宋体" w:hAnsi="宋体"/>
          <w:b/>
          <w:w w:val="99"/>
          <w:kern w:val="0"/>
          <w:sz w:val="28"/>
          <w:szCs w:val="28"/>
          <w:highlight w:val="none"/>
        </w:rPr>
        <w:t>（盖单位法人章）</w:t>
      </w:r>
      <w:bookmarkEnd w:id="1"/>
      <w:bookmarkEnd w:id="2"/>
    </w:p>
    <w:p w14:paraId="2D041081">
      <w:pPr>
        <w:autoSpaceDE w:val="0"/>
        <w:autoSpaceDN w:val="0"/>
        <w:adjustRightInd w:val="0"/>
        <w:snapToGrid w:val="0"/>
        <w:spacing w:line="360" w:lineRule="auto"/>
        <w:jc w:val="center"/>
        <w:rPr>
          <w:rFonts w:ascii="宋体" w:hAnsi="宋体"/>
          <w:b/>
          <w:kern w:val="0"/>
          <w:sz w:val="20"/>
          <w:szCs w:val="20"/>
          <w:highlight w:val="none"/>
        </w:rPr>
      </w:pPr>
    </w:p>
    <w:p w14:paraId="104C6920">
      <w:pPr>
        <w:autoSpaceDE w:val="0"/>
        <w:autoSpaceDN w:val="0"/>
        <w:adjustRightInd w:val="0"/>
        <w:snapToGrid w:val="0"/>
        <w:spacing w:line="360" w:lineRule="auto"/>
        <w:jc w:val="center"/>
        <w:rPr>
          <w:rFonts w:ascii="宋体" w:hAnsi="宋体"/>
          <w:b/>
          <w:kern w:val="0"/>
          <w:sz w:val="28"/>
          <w:szCs w:val="28"/>
          <w:highlight w:val="none"/>
        </w:rPr>
      </w:pPr>
    </w:p>
    <w:p w14:paraId="4ABB33AA">
      <w:pPr>
        <w:autoSpaceDE w:val="0"/>
        <w:autoSpaceDN w:val="0"/>
        <w:adjustRightInd w:val="0"/>
        <w:snapToGrid w:val="0"/>
        <w:spacing w:line="360" w:lineRule="auto"/>
        <w:jc w:val="center"/>
        <w:rPr>
          <w:rFonts w:ascii="宋体" w:hAnsi="宋体"/>
          <w:b/>
          <w:kern w:val="0"/>
          <w:sz w:val="28"/>
          <w:szCs w:val="28"/>
          <w:highlight w:val="none"/>
        </w:rPr>
      </w:pPr>
    </w:p>
    <w:p w14:paraId="5ED1C357">
      <w:pPr>
        <w:autoSpaceDE w:val="0"/>
        <w:autoSpaceDN w:val="0"/>
        <w:adjustRightInd w:val="0"/>
        <w:snapToGrid w:val="0"/>
        <w:spacing w:line="360" w:lineRule="auto"/>
        <w:rPr>
          <w:rFonts w:ascii="宋体" w:hAnsi="宋体"/>
          <w:b/>
          <w:kern w:val="0"/>
          <w:sz w:val="20"/>
          <w:szCs w:val="20"/>
          <w:highlight w:val="none"/>
        </w:rPr>
      </w:pPr>
    </w:p>
    <w:p w14:paraId="584B62A2">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3" w:name="_Toc509218549"/>
      <w:bookmarkStart w:id="4" w:name="_Toc13210649"/>
      <w:bookmarkStart w:id="5" w:name="_Toc536797277"/>
      <w:bookmarkStart w:id="6" w:name="_Toc536796736"/>
      <w:bookmarkStart w:id="7" w:name="_Toc536621766"/>
      <w:r>
        <w:rPr>
          <w:rFonts w:hint="eastAsia" w:ascii="宋体" w:hAnsi="宋体"/>
          <w:b/>
          <w:spacing w:val="8"/>
          <w:kern w:val="0"/>
          <w:sz w:val="28"/>
          <w:szCs w:val="28"/>
          <w:highlight w:val="none"/>
          <w:u w:val="single"/>
          <w:lang w:val="en-US" w:eastAsia="zh-CN"/>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lang w:val="en-US" w:eastAsia="zh-CN"/>
        </w:rPr>
        <w:t>6</w:t>
      </w:r>
      <w:r>
        <w:rPr>
          <w:rFonts w:ascii="宋体" w:hAnsi="宋体"/>
          <w:b/>
          <w:spacing w:val="8"/>
          <w:kern w:val="0"/>
          <w:sz w:val="28"/>
          <w:szCs w:val="28"/>
          <w:highlight w:val="none"/>
        </w:rPr>
        <w:t>月</w:t>
      </w:r>
      <w:bookmarkEnd w:id="3"/>
      <w:bookmarkEnd w:id="4"/>
      <w:bookmarkEnd w:id="5"/>
      <w:bookmarkEnd w:id="6"/>
      <w:bookmarkEnd w:id="7"/>
    </w:p>
    <w:p w14:paraId="6BB8E5A3">
      <w:pPr>
        <w:pStyle w:val="2"/>
        <w:spacing w:line="360" w:lineRule="auto"/>
        <w:jc w:val="center"/>
        <w:outlineLvl w:val="9"/>
        <w:rPr>
          <w:rFonts w:ascii="宋体" w:hAnsi="宋体"/>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14:paraId="5BE685EA">
      <w:pPr>
        <w:pStyle w:val="120"/>
        <w:jc w:val="center"/>
        <w:rPr>
          <w:rFonts w:ascii="宋体" w:hAnsi="宋体"/>
          <w:color w:val="auto"/>
          <w:sz w:val="44"/>
          <w:szCs w:val="44"/>
          <w:highlight w:val="none"/>
          <w:lang w:val="zh-CN"/>
        </w:rPr>
      </w:pPr>
      <w:bookmarkStart w:id="8" w:name="_Toc28843"/>
      <w:bookmarkStart w:id="9"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8"/>
      <w:bookmarkEnd w:id="9"/>
    </w:p>
    <w:sdt>
      <w:sdtPr>
        <w:rPr>
          <w:rFonts w:ascii="宋体" w:hAnsi="宋体" w:eastAsia="宋体" w:cs="Times New Roman"/>
          <w:kern w:val="2"/>
          <w:sz w:val="21"/>
          <w:szCs w:val="24"/>
          <w:lang w:val="en-US" w:eastAsia="zh-CN" w:bidi="ar-SA"/>
        </w:rPr>
        <w:id w:val="14746370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4F5EF8B3">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1963213">
          <w:pPr>
            <w:pStyle w:val="315"/>
            <w:tabs>
              <w:tab w:val="right" w:leader="dot" w:pos="9070"/>
            </w:tabs>
            <w:rPr>
              <w:b/>
            </w:rPr>
          </w:pPr>
          <w:r>
            <w:fldChar w:fldCharType="begin"/>
          </w:r>
          <w:r>
            <w:instrText xml:space="preserve">TOC \o "1-2" \h \u </w:instrText>
          </w:r>
          <w:r>
            <w:fldChar w:fldCharType="separate"/>
          </w:r>
          <w:r>
            <w:rPr>
              <w:b/>
            </w:rPr>
            <w:fldChar w:fldCharType="begin"/>
          </w:r>
          <w:r>
            <w:rPr>
              <w:b/>
            </w:rPr>
            <w:instrText xml:space="preserve"> HYPERLINK \l _Toc6745 </w:instrText>
          </w:r>
          <w:r>
            <w:rPr>
              <w:b/>
            </w:rPr>
            <w:fldChar w:fldCharType="separate"/>
          </w:r>
          <w:r>
            <w:rPr>
              <w:rFonts w:hint="eastAsia" w:ascii="宋体" w:hAnsi="宋体"/>
              <w:b/>
              <w:kern w:val="0"/>
              <w:szCs w:val="72"/>
              <w:highlight w:val="none"/>
              <w:lang w:val="en-US" w:eastAsia="zh-CN"/>
            </w:rPr>
            <w:t>竞争性比选</w:t>
          </w:r>
          <w:r>
            <w:rPr>
              <w:rFonts w:ascii="宋体" w:hAnsi="宋体"/>
              <w:b/>
              <w:kern w:val="0"/>
              <w:szCs w:val="72"/>
              <w:highlight w:val="none"/>
            </w:rPr>
            <w:t>文件</w:t>
          </w:r>
          <w:r>
            <w:rPr>
              <w:b/>
            </w:rPr>
            <w:tab/>
          </w:r>
          <w:r>
            <w:rPr>
              <w:b/>
            </w:rPr>
            <w:fldChar w:fldCharType="begin"/>
          </w:r>
          <w:r>
            <w:rPr>
              <w:b/>
            </w:rPr>
            <w:instrText xml:space="preserve"> PAGEREF _Toc6745 \h </w:instrText>
          </w:r>
          <w:r>
            <w:rPr>
              <w:b/>
            </w:rPr>
            <w:fldChar w:fldCharType="separate"/>
          </w:r>
          <w:r>
            <w:rPr>
              <w:b/>
            </w:rPr>
            <w:t>- 1 -</w:t>
          </w:r>
          <w:r>
            <w:rPr>
              <w:b/>
            </w:rPr>
            <w:fldChar w:fldCharType="end"/>
          </w:r>
          <w:r>
            <w:rPr>
              <w:b/>
            </w:rPr>
            <w:fldChar w:fldCharType="end"/>
          </w:r>
        </w:p>
        <w:p w14:paraId="42CEDA32">
          <w:pPr>
            <w:pStyle w:val="315"/>
            <w:tabs>
              <w:tab w:val="right" w:leader="dot" w:pos="9070"/>
            </w:tabs>
            <w:rPr>
              <w:b/>
            </w:rPr>
          </w:pPr>
          <w:r>
            <w:rPr>
              <w:b/>
            </w:rPr>
            <w:fldChar w:fldCharType="begin"/>
          </w:r>
          <w:r>
            <w:rPr>
              <w:b/>
            </w:rPr>
            <w:instrText xml:space="preserve"> HYPERLINK \l _Toc19399 </w:instrText>
          </w:r>
          <w:r>
            <w:rPr>
              <w:b/>
            </w:rPr>
            <w:fldChar w:fldCharType="separate"/>
          </w:r>
          <w:r>
            <w:rPr>
              <w:rFonts w:hint="eastAsia" w:ascii="宋体" w:hAnsi="宋体"/>
              <w:b/>
              <w:w w:val="99"/>
              <w:kern w:val="0"/>
              <w:szCs w:val="28"/>
              <w:highlight w:val="none"/>
              <w:lang w:val="en-US" w:eastAsia="zh-CN"/>
            </w:rPr>
            <w:t>比选</w:t>
          </w:r>
          <w:r>
            <w:rPr>
              <w:rFonts w:ascii="宋体" w:hAnsi="宋体"/>
              <w:b/>
              <w:w w:val="99"/>
              <w:kern w:val="0"/>
              <w:szCs w:val="28"/>
              <w:highlight w:val="none"/>
            </w:rPr>
            <w:t>人：</w:t>
          </w:r>
          <w:r>
            <w:rPr>
              <w:rFonts w:hint="eastAsia" w:ascii="宋体" w:hAnsi="宋体"/>
              <w:b/>
              <w:w w:val="99"/>
              <w:kern w:val="0"/>
              <w:szCs w:val="28"/>
              <w:highlight w:val="none"/>
            </w:rPr>
            <w:t>重庆</w:t>
          </w:r>
          <w:r>
            <w:rPr>
              <w:rFonts w:hint="eastAsia" w:ascii="宋体" w:hAnsi="宋体"/>
              <w:b/>
              <w:w w:val="99"/>
              <w:kern w:val="0"/>
              <w:szCs w:val="28"/>
              <w:highlight w:val="none"/>
              <w:lang w:val="en-US" w:eastAsia="zh-CN"/>
            </w:rPr>
            <w:t>经开区开发建设有限公司</w:t>
          </w:r>
          <w:r>
            <w:rPr>
              <w:rFonts w:ascii="宋体" w:hAnsi="宋体"/>
              <w:b/>
              <w:w w:val="99"/>
              <w:kern w:val="0"/>
              <w:szCs w:val="28"/>
              <w:highlight w:val="none"/>
            </w:rPr>
            <w:t>（盖单位法人章）</w:t>
          </w:r>
          <w:r>
            <w:rPr>
              <w:b/>
            </w:rPr>
            <w:tab/>
          </w:r>
          <w:r>
            <w:rPr>
              <w:b/>
            </w:rPr>
            <w:fldChar w:fldCharType="begin"/>
          </w:r>
          <w:r>
            <w:rPr>
              <w:b/>
            </w:rPr>
            <w:instrText xml:space="preserve"> PAGEREF _Toc19399 \h </w:instrText>
          </w:r>
          <w:r>
            <w:rPr>
              <w:b/>
            </w:rPr>
            <w:fldChar w:fldCharType="separate"/>
          </w:r>
          <w:r>
            <w:rPr>
              <w:b/>
            </w:rPr>
            <w:t>- 1 -</w:t>
          </w:r>
          <w:r>
            <w:rPr>
              <w:b/>
            </w:rPr>
            <w:fldChar w:fldCharType="end"/>
          </w:r>
          <w:r>
            <w:rPr>
              <w:b/>
            </w:rPr>
            <w:fldChar w:fldCharType="end"/>
          </w:r>
        </w:p>
        <w:p w14:paraId="487681B5">
          <w:pPr>
            <w:pStyle w:val="315"/>
            <w:tabs>
              <w:tab w:val="right" w:leader="dot" w:pos="9070"/>
            </w:tabs>
            <w:rPr>
              <w:b/>
            </w:rPr>
          </w:pPr>
          <w:r>
            <w:rPr>
              <w:b/>
            </w:rPr>
            <w:fldChar w:fldCharType="begin"/>
          </w:r>
          <w:r>
            <w:rPr>
              <w:b/>
            </w:rPr>
            <w:instrText xml:space="preserve"> HYPERLINK \l _Toc30385 </w:instrText>
          </w:r>
          <w:r>
            <w:rPr>
              <w:b/>
            </w:rPr>
            <w:fldChar w:fldCharType="separate"/>
          </w:r>
          <w:r>
            <w:rPr>
              <w:rFonts w:ascii="宋体" w:hAnsi="宋体"/>
              <w:b/>
              <w:snapToGrid w:val="0"/>
              <w:kern w:val="0"/>
              <w:highlight w:val="none"/>
            </w:rPr>
            <w:t xml:space="preserve">第一章  </w:t>
          </w:r>
          <w:r>
            <w:rPr>
              <w:rFonts w:hint="eastAsia" w:ascii="宋体" w:hAnsi="宋体"/>
              <w:b/>
              <w:snapToGrid w:val="0"/>
              <w:kern w:val="0"/>
              <w:highlight w:val="none"/>
              <w:lang w:eastAsia="zh-CN"/>
            </w:rPr>
            <w:t>比选公告</w:t>
          </w:r>
          <w:r>
            <w:rPr>
              <w:b/>
            </w:rPr>
            <w:tab/>
          </w:r>
          <w:r>
            <w:rPr>
              <w:b/>
            </w:rPr>
            <w:fldChar w:fldCharType="begin"/>
          </w:r>
          <w:r>
            <w:rPr>
              <w:b/>
            </w:rPr>
            <w:instrText xml:space="preserve"> PAGEREF _Toc30385 \h </w:instrText>
          </w:r>
          <w:r>
            <w:rPr>
              <w:b/>
            </w:rPr>
            <w:fldChar w:fldCharType="separate"/>
          </w:r>
          <w:r>
            <w:rPr>
              <w:b/>
            </w:rPr>
            <w:t>3</w:t>
          </w:r>
          <w:r>
            <w:rPr>
              <w:b/>
            </w:rPr>
            <w:fldChar w:fldCharType="end"/>
          </w:r>
          <w:r>
            <w:rPr>
              <w:b/>
            </w:rPr>
            <w:fldChar w:fldCharType="end"/>
          </w:r>
        </w:p>
        <w:p w14:paraId="01982B24">
          <w:pPr>
            <w:pStyle w:val="316"/>
            <w:tabs>
              <w:tab w:val="right" w:leader="dot" w:pos="9070"/>
            </w:tabs>
          </w:pPr>
          <w:r>
            <w:fldChar w:fldCharType="begin"/>
          </w:r>
          <w:r>
            <w:instrText xml:space="preserve"> HYPERLINK \l _Toc13510 </w:instrText>
          </w:r>
          <w:r>
            <w:fldChar w:fldCharType="separate"/>
          </w:r>
          <w:r>
            <w:rPr>
              <w:rFonts w:hint="eastAsia" w:ascii="宋体" w:hAnsi="宋体"/>
              <w:snapToGrid w:val="0"/>
              <w:szCs w:val="28"/>
              <w:highlight w:val="none"/>
            </w:rPr>
            <w:t>开成路、横六路道路交安提升及绿化补栽工程</w:t>
          </w:r>
          <w:r>
            <w:tab/>
          </w:r>
          <w:r>
            <w:fldChar w:fldCharType="begin"/>
          </w:r>
          <w:r>
            <w:instrText xml:space="preserve"> PAGEREF _Toc13510 \h </w:instrText>
          </w:r>
          <w:r>
            <w:fldChar w:fldCharType="separate"/>
          </w:r>
          <w:r>
            <w:t>3</w:t>
          </w:r>
          <w:r>
            <w:fldChar w:fldCharType="end"/>
          </w:r>
          <w:r>
            <w:fldChar w:fldCharType="end"/>
          </w:r>
        </w:p>
        <w:p w14:paraId="243800CD">
          <w:pPr>
            <w:pStyle w:val="316"/>
            <w:tabs>
              <w:tab w:val="right" w:leader="dot" w:pos="9070"/>
            </w:tabs>
          </w:pPr>
          <w:r>
            <w:fldChar w:fldCharType="begin"/>
          </w:r>
          <w:r>
            <w:instrText xml:space="preserve"> HYPERLINK \l _Toc2237 </w:instrText>
          </w:r>
          <w:r>
            <w:fldChar w:fldCharType="separate"/>
          </w:r>
          <w:r>
            <w:rPr>
              <w:rFonts w:ascii="宋体" w:hAnsi="宋体"/>
              <w:snapToGrid w:val="0"/>
              <w:szCs w:val="28"/>
              <w:highlight w:val="none"/>
            </w:rPr>
            <w:t xml:space="preserve">1. </w:t>
          </w:r>
          <w:r>
            <w:rPr>
              <w:rFonts w:hint="eastAsia" w:ascii="宋体" w:hAnsi="宋体"/>
              <w:snapToGrid w:val="0"/>
              <w:szCs w:val="28"/>
              <w:highlight w:val="none"/>
            </w:rPr>
            <w:t xml:space="preserve"> </w:t>
          </w:r>
          <w:r>
            <w:rPr>
              <w:rFonts w:ascii="宋体" w:hAnsi="宋体"/>
              <w:snapToGrid w:val="0"/>
              <w:szCs w:val="28"/>
              <w:highlight w:val="none"/>
            </w:rPr>
            <w:t>招标条件</w:t>
          </w:r>
          <w:r>
            <w:tab/>
          </w:r>
          <w:r>
            <w:fldChar w:fldCharType="begin"/>
          </w:r>
          <w:r>
            <w:instrText xml:space="preserve"> PAGEREF _Toc2237 \h </w:instrText>
          </w:r>
          <w:r>
            <w:fldChar w:fldCharType="separate"/>
          </w:r>
          <w:r>
            <w:t>3</w:t>
          </w:r>
          <w:r>
            <w:fldChar w:fldCharType="end"/>
          </w:r>
          <w:r>
            <w:fldChar w:fldCharType="end"/>
          </w:r>
        </w:p>
        <w:p w14:paraId="41560E60">
          <w:pPr>
            <w:pStyle w:val="316"/>
            <w:tabs>
              <w:tab w:val="right" w:leader="dot" w:pos="9070"/>
            </w:tabs>
          </w:pPr>
          <w:r>
            <w:fldChar w:fldCharType="begin"/>
          </w:r>
          <w:r>
            <w:instrText xml:space="preserve"> HYPERLINK \l _Toc16930 </w:instrText>
          </w:r>
          <w:r>
            <w:fldChar w:fldCharType="separate"/>
          </w:r>
          <w:r>
            <w:rPr>
              <w:rFonts w:ascii="宋体" w:hAnsi="宋体"/>
              <w:snapToGrid w:val="0"/>
              <w:szCs w:val="28"/>
              <w:highlight w:val="none"/>
            </w:rPr>
            <w:t>2.</w:t>
          </w:r>
          <w:r>
            <w:rPr>
              <w:rFonts w:hint="eastAsia" w:ascii="宋体" w:hAnsi="宋体"/>
              <w:snapToGrid w:val="0"/>
              <w:szCs w:val="28"/>
              <w:highlight w:val="none"/>
            </w:rPr>
            <w:t xml:space="preserve"> </w:t>
          </w:r>
          <w:r>
            <w:rPr>
              <w:rFonts w:ascii="宋体" w:hAnsi="宋体"/>
              <w:snapToGrid w:val="0"/>
              <w:szCs w:val="28"/>
              <w:highlight w:val="none"/>
            </w:rPr>
            <w:t xml:space="preserve"> 项目概况与招标范围</w:t>
          </w:r>
          <w:r>
            <w:tab/>
          </w:r>
          <w:r>
            <w:fldChar w:fldCharType="begin"/>
          </w:r>
          <w:r>
            <w:instrText xml:space="preserve"> PAGEREF _Toc16930 \h </w:instrText>
          </w:r>
          <w:r>
            <w:fldChar w:fldCharType="separate"/>
          </w:r>
          <w:r>
            <w:t>3</w:t>
          </w:r>
          <w:r>
            <w:fldChar w:fldCharType="end"/>
          </w:r>
          <w:r>
            <w:fldChar w:fldCharType="end"/>
          </w:r>
        </w:p>
        <w:p w14:paraId="1286F81A">
          <w:pPr>
            <w:pStyle w:val="316"/>
            <w:tabs>
              <w:tab w:val="right" w:leader="dot" w:pos="9070"/>
            </w:tabs>
          </w:pPr>
          <w:r>
            <w:fldChar w:fldCharType="begin"/>
          </w:r>
          <w:r>
            <w:instrText xml:space="preserve"> HYPERLINK \l _Toc5702 </w:instrText>
          </w:r>
          <w:r>
            <w:fldChar w:fldCharType="separate"/>
          </w:r>
          <w:r>
            <w:rPr>
              <w:rFonts w:ascii="宋体" w:hAnsi="宋体"/>
              <w:snapToGrid w:val="0"/>
              <w:szCs w:val="28"/>
              <w:highlight w:val="none"/>
            </w:rPr>
            <w:t xml:space="preserve">3. </w:t>
          </w:r>
          <w:r>
            <w:rPr>
              <w:rFonts w:hint="eastAsia" w:ascii="宋体" w:hAnsi="宋体"/>
              <w:snapToGrid w:val="0"/>
              <w:szCs w:val="28"/>
              <w:highlight w:val="none"/>
            </w:rPr>
            <w:t xml:space="preserve"> </w:t>
          </w:r>
          <w:r>
            <w:rPr>
              <w:rFonts w:hint="eastAsia" w:ascii="宋体" w:hAnsi="宋体"/>
              <w:snapToGrid w:val="0"/>
              <w:szCs w:val="28"/>
              <w:highlight w:val="none"/>
              <w:lang w:eastAsia="zh-CN"/>
            </w:rPr>
            <w:t>竞选人</w:t>
          </w:r>
          <w:r>
            <w:rPr>
              <w:rFonts w:ascii="宋体" w:hAnsi="宋体"/>
              <w:snapToGrid w:val="0"/>
              <w:szCs w:val="28"/>
              <w:highlight w:val="none"/>
            </w:rPr>
            <w:t>资格要求</w:t>
          </w:r>
          <w:r>
            <w:tab/>
          </w:r>
          <w:r>
            <w:fldChar w:fldCharType="begin"/>
          </w:r>
          <w:r>
            <w:instrText xml:space="preserve"> PAGEREF _Toc5702 \h </w:instrText>
          </w:r>
          <w:r>
            <w:fldChar w:fldCharType="separate"/>
          </w:r>
          <w:r>
            <w:t>3</w:t>
          </w:r>
          <w:r>
            <w:fldChar w:fldCharType="end"/>
          </w:r>
          <w:r>
            <w:fldChar w:fldCharType="end"/>
          </w:r>
        </w:p>
        <w:p w14:paraId="2D61807F">
          <w:pPr>
            <w:pStyle w:val="316"/>
            <w:tabs>
              <w:tab w:val="right" w:leader="dot" w:pos="9070"/>
            </w:tabs>
          </w:pPr>
          <w:r>
            <w:fldChar w:fldCharType="begin"/>
          </w:r>
          <w:r>
            <w:instrText xml:space="preserve"> HYPERLINK \l _Toc30806 </w:instrText>
          </w:r>
          <w:r>
            <w:fldChar w:fldCharType="separate"/>
          </w:r>
          <w:r>
            <w:rPr>
              <w:rFonts w:ascii="宋体" w:hAnsi="宋体"/>
              <w:snapToGrid w:val="0"/>
              <w:szCs w:val="28"/>
              <w:highlight w:val="none"/>
            </w:rPr>
            <w:t xml:space="preserve">4. </w:t>
          </w:r>
          <w:r>
            <w:rPr>
              <w:rFonts w:hint="eastAsia" w:ascii="宋体" w:hAnsi="宋体"/>
              <w:snapToGrid w:val="0"/>
              <w:szCs w:val="28"/>
              <w:highlight w:val="none"/>
            </w:rPr>
            <w:t xml:space="preserve"> </w:t>
          </w:r>
          <w:r>
            <w:rPr>
              <w:rFonts w:hint="eastAsia" w:ascii="宋体" w:hAnsi="宋体"/>
              <w:snapToGrid w:val="0"/>
              <w:szCs w:val="28"/>
              <w:highlight w:val="none"/>
              <w:lang w:val="en-US" w:eastAsia="zh-CN"/>
            </w:rPr>
            <w:t>比选</w:t>
          </w:r>
          <w:r>
            <w:rPr>
              <w:rFonts w:ascii="宋体" w:hAnsi="宋体"/>
              <w:snapToGrid w:val="0"/>
              <w:szCs w:val="28"/>
              <w:highlight w:val="none"/>
            </w:rPr>
            <w:t>文件的获取</w:t>
          </w:r>
          <w:r>
            <w:tab/>
          </w:r>
          <w:r>
            <w:fldChar w:fldCharType="begin"/>
          </w:r>
          <w:r>
            <w:instrText xml:space="preserve"> PAGEREF _Toc30806 \h </w:instrText>
          </w:r>
          <w:r>
            <w:fldChar w:fldCharType="separate"/>
          </w:r>
          <w:r>
            <w:t>4</w:t>
          </w:r>
          <w:r>
            <w:fldChar w:fldCharType="end"/>
          </w:r>
          <w:r>
            <w:fldChar w:fldCharType="end"/>
          </w:r>
        </w:p>
        <w:p w14:paraId="2B0048D7">
          <w:pPr>
            <w:pStyle w:val="316"/>
            <w:tabs>
              <w:tab w:val="right" w:leader="dot" w:pos="9070"/>
            </w:tabs>
          </w:pPr>
          <w:r>
            <w:fldChar w:fldCharType="begin"/>
          </w:r>
          <w:r>
            <w:instrText xml:space="preserve"> HYPERLINK \l _Toc22624 </w:instrText>
          </w:r>
          <w:r>
            <w:fldChar w:fldCharType="separate"/>
          </w:r>
          <w:r>
            <w:rPr>
              <w:rFonts w:ascii="宋体" w:hAnsi="宋体"/>
              <w:snapToGrid w:val="0"/>
              <w:szCs w:val="28"/>
              <w:highlight w:val="none"/>
            </w:rPr>
            <w:t xml:space="preserve">5. </w:t>
          </w:r>
          <w:r>
            <w:rPr>
              <w:rFonts w:hint="eastAsia" w:ascii="宋体" w:hAnsi="宋体"/>
              <w:snapToGrid w:val="0"/>
              <w:szCs w:val="28"/>
              <w:highlight w:val="none"/>
            </w:rPr>
            <w:t xml:space="preserve"> </w:t>
          </w:r>
          <w:r>
            <w:rPr>
              <w:rFonts w:hint="eastAsia" w:ascii="宋体" w:hAnsi="宋体"/>
              <w:snapToGrid w:val="0"/>
              <w:szCs w:val="28"/>
              <w:highlight w:val="none"/>
              <w:lang w:eastAsia="zh-CN"/>
            </w:rPr>
            <w:t>竞选文件</w:t>
          </w:r>
          <w:r>
            <w:rPr>
              <w:rFonts w:ascii="宋体" w:hAnsi="宋体"/>
              <w:snapToGrid w:val="0"/>
              <w:szCs w:val="28"/>
              <w:highlight w:val="none"/>
            </w:rPr>
            <w:t>的递交</w:t>
          </w:r>
          <w:r>
            <w:tab/>
          </w:r>
          <w:r>
            <w:fldChar w:fldCharType="begin"/>
          </w:r>
          <w:r>
            <w:instrText xml:space="preserve"> PAGEREF _Toc22624 \h </w:instrText>
          </w:r>
          <w:r>
            <w:fldChar w:fldCharType="separate"/>
          </w:r>
          <w:r>
            <w:t>4</w:t>
          </w:r>
          <w:r>
            <w:fldChar w:fldCharType="end"/>
          </w:r>
          <w:r>
            <w:fldChar w:fldCharType="end"/>
          </w:r>
        </w:p>
        <w:p w14:paraId="25F55622">
          <w:pPr>
            <w:pStyle w:val="316"/>
            <w:tabs>
              <w:tab w:val="right" w:leader="dot" w:pos="9070"/>
            </w:tabs>
          </w:pPr>
          <w:r>
            <w:fldChar w:fldCharType="begin"/>
          </w:r>
          <w:r>
            <w:instrText xml:space="preserve"> HYPERLINK \l _Toc131 </w:instrText>
          </w:r>
          <w:r>
            <w:fldChar w:fldCharType="separate"/>
          </w:r>
          <w:r>
            <w:rPr>
              <w:rFonts w:ascii="宋体" w:hAnsi="宋体"/>
              <w:snapToGrid w:val="0"/>
              <w:szCs w:val="28"/>
              <w:highlight w:val="none"/>
            </w:rPr>
            <w:t xml:space="preserve">6. </w:t>
          </w:r>
          <w:r>
            <w:rPr>
              <w:rFonts w:hint="eastAsia" w:ascii="宋体" w:hAnsi="宋体"/>
              <w:snapToGrid w:val="0"/>
              <w:szCs w:val="28"/>
              <w:highlight w:val="none"/>
            </w:rPr>
            <w:t xml:space="preserve"> </w:t>
          </w:r>
          <w:r>
            <w:rPr>
              <w:rFonts w:ascii="宋体" w:hAnsi="宋体"/>
              <w:snapToGrid w:val="0"/>
              <w:szCs w:val="28"/>
              <w:highlight w:val="none"/>
            </w:rPr>
            <w:t>发布公告的媒介</w:t>
          </w:r>
          <w:r>
            <w:tab/>
          </w:r>
          <w:r>
            <w:fldChar w:fldCharType="begin"/>
          </w:r>
          <w:r>
            <w:instrText xml:space="preserve"> PAGEREF _Toc131 \h </w:instrText>
          </w:r>
          <w:r>
            <w:fldChar w:fldCharType="separate"/>
          </w:r>
          <w:r>
            <w:t>4</w:t>
          </w:r>
          <w:r>
            <w:fldChar w:fldCharType="end"/>
          </w:r>
          <w:r>
            <w:fldChar w:fldCharType="end"/>
          </w:r>
        </w:p>
        <w:p w14:paraId="3D235A4B">
          <w:pPr>
            <w:pStyle w:val="316"/>
            <w:tabs>
              <w:tab w:val="right" w:leader="dot" w:pos="9070"/>
            </w:tabs>
          </w:pPr>
          <w:r>
            <w:fldChar w:fldCharType="begin"/>
          </w:r>
          <w:r>
            <w:instrText xml:space="preserve"> HYPERLINK \l _Toc24195 </w:instrText>
          </w:r>
          <w:r>
            <w:fldChar w:fldCharType="separate"/>
          </w:r>
          <w:r>
            <w:rPr>
              <w:rFonts w:hint="eastAsia" w:ascii="宋体" w:hAnsi="宋体"/>
              <w:snapToGrid w:val="0"/>
              <w:szCs w:val="28"/>
              <w:highlight w:val="none"/>
            </w:rPr>
            <w:t>7</w:t>
          </w:r>
          <w:r>
            <w:rPr>
              <w:rFonts w:ascii="宋体" w:hAnsi="宋体"/>
              <w:snapToGrid w:val="0"/>
              <w:szCs w:val="28"/>
              <w:highlight w:val="none"/>
            </w:rPr>
            <w:t xml:space="preserve">. </w:t>
          </w:r>
          <w:r>
            <w:rPr>
              <w:rFonts w:hint="eastAsia" w:ascii="宋体" w:hAnsi="宋体"/>
              <w:snapToGrid w:val="0"/>
              <w:szCs w:val="28"/>
              <w:highlight w:val="none"/>
            </w:rPr>
            <w:t xml:space="preserve"> </w:t>
          </w:r>
          <w:r>
            <w:rPr>
              <w:rFonts w:ascii="宋体" w:hAnsi="宋体"/>
              <w:snapToGrid w:val="0"/>
              <w:szCs w:val="28"/>
              <w:highlight w:val="none"/>
            </w:rPr>
            <w:t>联系方式</w:t>
          </w:r>
          <w:r>
            <w:tab/>
          </w:r>
          <w:r>
            <w:fldChar w:fldCharType="begin"/>
          </w:r>
          <w:r>
            <w:instrText xml:space="preserve"> PAGEREF _Toc24195 \h </w:instrText>
          </w:r>
          <w:r>
            <w:fldChar w:fldCharType="separate"/>
          </w:r>
          <w:r>
            <w:t>4</w:t>
          </w:r>
          <w:r>
            <w:fldChar w:fldCharType="end"/>
          </w:r>
          <w:r>
            <w:fldChar w:fldCharType="end"/>
          </w:r>
        </w:p>
        <w:p w14:paraId="614DCA0C">
          <w:pPr>
            <w:pStyle w:val="315"/>
            <w:tabs>
              <w:tab w:val="right" w:leader="dot" w:pos="9070"/>
            </w:tabs>
            <w:rPr>
              <w:b/>
            </w:rPr>
          </w:pPr>
          <w:r>
            <w:rPr>
              <w:b/>
            </w:rPr>
            <w:fldChar w:fldCharType="begin"/>
          </w:r>
          <w:r>
            <w:rPr>
              <w:b/>
            </w:rPr>
            <w:instrText xml:space="preserve"> HYPERLINK \l _Toc29623 </w:instrText>
          </w:r>
          <w:r>
            <w:rPr>
              <w:b/>
            </w:rPr>
            <w:fldChar w:fldCharType="separate"/>
          </w:r>
          <w:r>
            <w:rPr>
              <w:rFonts w:ascii="宋体" w:hAnsi="宋体"/>
              <w:b/>
              <w:snapToGrid w:val="0"/>
              <w:kern w:val="0"/>
              <w:highlight w:val="none"/>
            </w:rPr>
            <w:t xml:space="preserve">第二章  </w:t>
          </w:r>
          <w:r>
            <w:rPr>
              <w:rFonts w:hint="eastAsia" w:ascii="宋体" w:hAnsi="宋体"/>
              <w:b/>
              <w:snapToGrid w:val="0"/>
              <w:kern w:val="0"/>
              <w:highlight w:val="none"/>
              <w:lang w:eastAsia="zh-CN"/>
            </w:rPr>
            <w:t>竞选人</w:t>
          </w:r>
          <w:r>
            <w:rPr>
              <w:rFonts w:ascii="宋体" w:hAnsi="宋体"/>
              <w:b/>
              <w:snapToGrid w:val="0"/>
              <w:kern w:val="0"/>
              <w:highlight w:val="none"/>
            </w:rPr>
            <w:t>须知</w:t>
          </w:r>
          <w:r>
            <w:rPr>
              <w:b/>
            </w:rPr>
            <w:tab/>
          </w:r>
          <w:r>
            <w:rPr>
              <w:b/>
            </w:rPr>
            <w:fldChar w:fldCharType="begin"/>
          </w:r>
          <w:r>
            <w:rPr>
              <w:b/>
            </w:rPr>
            <w:instrText xml:space="preserve"> PAGEREF _Toc29623 \h </w:instrText>
          </w:r>
          <w:r>
            <w:rPr>
              <w:b/>
            </w:rPr>
            <w:fldChar w:fldCharType="separate"/>
          </w:r>
          <w:r>
            <w:rPr>
              <w:b/>
            </w:rPr>
            <w:t>5</w:t>
          </w:r>
          <w:r>
            <w:rPr>
              <w:b/>
            </w:rPr>
            <w:fldChar w:fldCharType="end"/>
          </w:r>
          <w:r>
            <w:rPr>
              <w:b/>
            </w:rPr>
            <w:fldChar w:fldCharType="end"/>
          </w:r>
        </w:p>
        <w:p w14:paraId="189D7EC5">
          <w:pPr>
            <w:pStyle w:val="316"/>
            <w:tabs>
              <w:tab w:val="right" w:leader="dot" w:pos="9070"/>
            </w:tabs>
          </w:pPr>
          <w:r>
            <w:fldChar w:fldCharType="begin"/>
          </w:r>
          <w:r>
            <w:instrText xml:space="preserve"> HYPERLINK \l _Toc20275 </w:instrText>
          </w:r>
          <w:r>
            <w:fldChar w:fldCharType="separate"/>
          </w:r>
          <w:r>
            <w:rPr>
              <w:rFonts w:hint="eastAsia" w:ascii="宋体" w:hAnsi="宋体"/>
              <w:highlight w:val="none"/>
              <w:lang w:eastAsia="zh-CN"/>
            </w:rPr>
            <w:t>竞选人</w:t>
          </w:r>
          <w:r>
            <w:rPr>
              <w:rFonts w:hint="eastAsia" w:ascii="宋体" w:hAnsi="宋体"/>
              <w:highlight w:val="none"/>
            </w:rPr>
            <w:t>须知前附表</w:t>
          </w:r>
          <w:r>
            <w:tab/>
          </w:r>
          <w:r>
            <w:fldChar w:fldCharType="begin"/>
          </w:r>
          <w:r>
            <w:instrText xml:space="preserve"> PAGEREF _Toc20275 \h </w:instrText>
          </w:r>
          <w:r>
            <w:fldChar w:fldCharType="separate"/>
          </w:r>
          <w:r>
            <w:t>5</w:t>
          </w:r>
          <w:r>
            <w:fldChar w:fldCharType="end"/>
          </w:r>
          <w:r>
            <w:fldChar w:fldCharType="end"/>
          </w:r>
        </w:p>
        <w:p w14:paraId="193591B7">
          <w:pPr>
            <w:pStyle w:val="316"/>
            <w:tabs>
              <w:tab w:val="right" w:leader="dot" w:pos="9070"/>
            </w:tabs>
          </w:pPr>
          <w:r>
            <w:fldChar w:fldCharType="begin"/>
          </w:r>
          <w:r>
            <w:instrText xml:space="preserve"> HYPERLINK \l _Toc12644 </w:instrText>
          </w:r>
          <w:r>
            <w:fldChar w:fldCharType="separate"/>
          </w:r>
          <w:r>
            <w:rPr>
              <w:rFonts w:hint="eastAsia" w:ascii="宋体" w:hAnsi="宋体" w:eastAsia="宋体" w:cs="宋体"/>
              <w:szCs w:val="21"/>
              <w:highlight w:val="none"/>
            </w:rPr>
            <w:t>1.总则</w:t>
          </w:r>
          <w:r>
            <w:tab/>
          </w:r>
          <w:r>
            <w:fldChar w:fldCharType="begin"/>
          </w:r>
          <w:r>
            <w:instrText xml:space="preserve"> PAGEREF _Toc12644 \h </w:instrText>
          </w:r>
          <w:r>
            <w:fldChar w:fldCharType="separate"/>
          </w:r>
          <w:r>
            <w:t>20</w:t>
          </w:r>
          <w:r>
            <w:fldChar w:fldCharType="end"/>
          </w:r>
          <w:r>
            <w:fldChar w:fldCharType="end"/>
          </w:r>
        </w:p>
        <w:p w14:paraId="18C2DE1F">
          <w:pPr>
            <w:pStyle w:val="316"/>
            <w:tabs>
              <w:tab w:val="right" w:leader="dot" w:pos="9070"/>
            </w:tabs>
          </w:pPr>
          <w:r>
            <w:fldChar w:fldCharType="begin"/>
          </w:r>
          <w:r>
            <w:instrText xml:space="preserve"> HYPERLINK \l _Toc6929 </w:instrText>
          </w:r>
          <w:r>
            <w:fldChar w:fldCharType="separate"/>
          </w:r>
          <w:r>
            <w:rPr>
              <w:rFonts w:hint="eastAsia" w:ascii="宋体" w:hAnsi="宋体" w:eastAsia="宋体" w:cs="宋体"/>
              <w:szCs w:val="21"/>
              <w:highlight w:val="none"/>
            </w:rPr>
            <w:t>2.比选文件</w:t>
          </w:r>
          <w:r>
            <w:tab/>
          </w:r>
          <w:r>
            <w:fldChar w:fldCharType="begin"/>
          </w:r>
          <w:r>
            <w:instrText xml:space="preserve"> PAGEREF _Toc6929 \h </w:instrText>
          </w:r>
          <w:r>
            <w:fldChar w:fldCharType="separate"/>
          </w:r>
          <w:r>
            <w:t>22</w:t>
          </w:r>
          <w:r>
            <w:fldChar w:fldCharType="end"/>
          </w:r>
          <w:r>
            <w:fldChar w:fldCharType="end"/>
          </w:r>
        </w:p>
        <w:p w14:paraId="322E35D4">
          <w:pPr>
            <w:pStyle w:val="316"/>
            <w:tabs>
              <w:tab w:val="right" w:leader="dot" w:pos="9070"/>
            </w:tabs>
          </w:pPr>
          <w:r>
            <w:fldChar w:fldCharType="begin"/>
          </w:r>
          <w:r>
            <w:instrText xml:space="preserve"> HYPERLINK \l _Toc8893 </w:instrText>
          </w:r>
          <w:r>
            <w:fldChar w:fldCharType="separate"/>
          </w:r>
          <w:r>
            <w:rPr>
              <w:rFonts w:hint="eastAsia" w:ascii="宋体" w:hAnsi="宋体" w:eastAsia="宋体" w:cs="宋体"/>
              <w:szCs w:val="21"/>
              <w:highlight w:val="none"/>
            </w:rPr>
            <w:t xml:space="preserve">3. </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w:t>
          </w:r>
          <w:r>
            <w:tab/>
          </w:r>
          <w:r>
            <w:fldChar w:fldCharType="begin"/>
          </w:r>
          <w:r>
            <w:instrText xml:space="preserve"> PAGEREF _Toc8893 \h </w:instrText>
          </w:r>
          <w:r>
            <w:fldChar w:fldCharType="separate"/>
          </w:r>
          <w:r>
            <w:t>23</w:t>
          </w:r>
          <w:r>
            <w:fldChar w:fldCharType="end"/>
          </w:r>
          <w:r>
            <w:fldChar w:fldCharType="end"/>
          </w:r>
        </w:p>
        <w:p w14:paraId="155A8CEF">
          <w:pPr>
            <w:pStyle w:val="316"/>
            <w:tabs>
              <w:tab w:val="right" w:leader="dot" w:pos="9070"/>
            </w:tabs>
          </w:pPr>
          <w:r>
            <w:fldChar w:fldCharType="begin"/>
          </w:r>
          <w:r>
            <w:instrText xml:space="preserve"> HYPERLINK \l _Toc7501 </w:instrText>
          </w:r>
          <w:r>
            <w:fldChar w:fldCharType="separate"/>
          </w:r>
          <w:r>
            <w:rPr>
              <w:rFonts w:hint="eastAsia" w:ascii="宋体" w:hAnsi="宋体" w:eastAsia="宋体" w:cs="宋体"/>
              <w:szCs w:val="21"/>
              <w:highlight w:val="none"/>
            </w:rPr>
            <w:t xml:space="preserve">4. </w:t>
          </w:r>
          <w:r>
            <w:rPr>
              <w:rFonts w:hint="eastAsia" w:ascii="宋体" w:hAnsi="宋体" w:eastAsia="宋体" w:cs="宋体"/>
              <w:szCs w:val="21"/>
              <w:highlight w:val="none"/>
              <w:lang w:eastAsia="zh-CN"/>
            </w:rPr>
            <w:t>投标</w:t>
          </w:r>
          <w:r>
            <w:rPr>
              <w:rFonts w:hint="eastAsia" w:ascii="宋体" w:hAnsi="宋体" w:eastAsia="宋体" w:cs="宋体"/>
              <w:szCs w:val="21"/>
              <w:highlight w:val="none"/>
            </w:rPr>
            <w:t>文件的递交等</w:t>
          </w:r>
          <w:r>
            <w:tab/>
          </w:r>
          <w:r>
            <w:fldChar w:fldCharType="begin"/>
          </w:r>
          <w:r>
            <w:instrText xml:space="preserve"> PAGEREF _Toc7501 \h </w:instrText>
          </w:r>
          <w:r>
            <w:fldChar w:fldCharType="separate"/>
          </w:r>
          <w:r>
            <w:t>25</w:t>
          </w:r>
          <w:r>
            <w:fldChar w:fldCharType="end"/>
          </w:r>
          <w:r>
            <w:fldChar w:fldCharType="end"/>
          </w:r>
        </w:p>
        <w:p w14:paraId="3419CABB">
          <w:pPr>
            <w:pStyle w:val="316"/>
            <w:tabs>
              <w:tab w:val="right" w:leader="dot" w:pos="9070"/>
            </w:tabs>
          </w:pPr>
          <w:r>
            <w:fldChar w:fldCharType="begin"/>
          </w:r>
          <w:r>
            <w:instrText xml:space="preserve"> HYPERLINK \l _Toc6612 </w:instrText>
          </w:r>
          <w:r>
            <w:fldChar w:fldCharType="separate"/>
          </w:r>
          <w:r>
            <w:rPr>
              <w:rFonts w:hint="eastAsia" w:ascii="宋体" w:hAnsi="宋体" w:eastAsia="宋体" w:cs="宋体"/>
              <w:szCs w:val="21"/>
              <w:highlight w:val="none"/>
            </w:rPr>
            <w:t>5. 比选</w:t>
          </w:r>
          <w:r>
            <w:tab/>
          </w:r>
          <w:r>
            <w:fldChar w:fldCharType="begin"/>
          </w:r>
          <w:r>
            <w:instrText xml:space="preserve"> PAGEREF _Toc6612 \h </w:instrText>
          </w:r>
          <w:r>
            <w:fldChar w:fldCharType="separate"/>
          </w:r>
          <w:r>
            <w:t>25</w:t>
          </w:r>
          <w:r>
            <w:fldChar w:fldCharType="end"/>
          </w:r>
          <w:r>
            <w:fldChar w:fldCharType="end"/>
          </w:r>
        </w:p>
        <w:p w14:paraId="0BAC9224">
          <w:pPr>
            <w:pStyle w:val="316"/>
            <w:tabs>
              <w:tab w:val="right" w:leader="dot" w:pos="9070"/>
            </w:tabs>
          </w:pPr>
          <w:r>
            <w:fldChar w:fldCharType="begin"/>
          </w:r>
          <w:r>
            <w:instrText xml:space="preserve"> HYPERLINK \l _Toc15567 </w:instrText>
          </w:r>
          <w:r>
            <w:fldChar w:fldCharType="separate"/>
          </w:r>
          <w:r>
            <w:rPr>
              <w:rFonts w:hint="eastAsia" w:ascii="宋体" w:hAnsi="宋体" w:eastAsia="宋体" w:cs="宋体"/>
              <w:szCs w:val="21"/>
              <w:highlight w:val="none"/>
            </w:rPr>
            <w:t>6. 评审</w:t>
          </w:r>
          <w:r>
            <w:tab/>
          </w:r>
          <w:r>
            <w:fldChar w:fldCharType="begin"/>
          </w:r>
          <w:r>
            <w:instrText xml:space="preserve"> PAGEREF _Toc15567 \h </w:instrText>
          </w:r>
          <w:r>
            <w:fldChar w:fldCharType="separate"/>
          </w:r>
          <w:r>
            <w:t>25</w:t>
          </w:r>
          <w:r>
            <w:fldChar w:fldCharType="end"/>
          </w:r>
          <w:r>
            <w:fldChar w:fldCharType="end"/>
          </w:r>
        </w:p>
        <w:p w14:paraId="50C8B5C2">
          <w:pPr>
            <w:pStyle w:val="316"/>
            <w:tabs>
              <w:tab w:val="right" w:leader="dot" w:pos="9070"/>
            </w:tabs>
          </w:pPr>
          <w:r>
            <w:fldChar w:fldCharType="begin"/>
          </w:r>
          <w:r>
            <w:instrText xml:space="preserve"> HYPERLINK \l _Toc12959 </w:instrText>
          </w:r>
          <w:r>
            <w:fldChar w:fldCharType="separate"/>
          </w:r>
          <w:r>
            <w:rPr>
              <w:rFonts w:hint="eastAsia" w:ascii="宋体" w:hAnsi="宋体" w:eastAsia="宋体" w:cs="宋体"/>
              <w:szCs w:val="21"/>
              <w:highlight w:val="none"/>
            </w:rPr>
            <w:t>7. 合同授予</w:t>
          </w:r>
          <w:r>
            <w:tab/>
          </w:r>
          <w:r>
            <w:fldChar w:fldCharType="begin"/>
          </w:r>
          <w:r>
            <w:instrText xml:space="preserve"> PAGEREF _Toc12959 \h </w:instrText>
          </w:r>
          <w:r>
            <w:fldChar w:fldCharType="separate"/>
          </w:r>
          <w:r>
            <w:t>26</w:t>
          </w:r>
          <w:r>
            <w:fldChar w:fldCharType="end"/>
          </w:r>
          <w:r>
            <w:fldChar w:fldCharType="end"/>
          </w:r>
        </w:p>
        <w:p w14:paraId="51892A09">
          <w:pPr>
            <w:pStyle w:val="316"/>
            <w:tabs>
              <w:tab w:val="right" w:leader="dot" w:pos="9070"/>
            </w:tabs>
          </w:pPr>
          <w:r>
            <w:fldChar w:fldCharType="begin"/>
          </w:r>
          <w:r>
            <w:instrText xml:space="preserve"> HYPERLINK \l _Toc31639 </w:instrText>
          </w:r>
          <w:r>
            <w:fldChar w:fldCharType="separate"/>
          </w:r>
          <w:r>
            <w:rPr>
              <w:rFonts w:hint="eastAsia" w:ascii="宋体" w:hAnsi="宋体" w:eastAsia="宋体" w:cs="宋体"/>
              <w:szCs w:val="21"/>
              <w:highlight w:val="none"/>
            </w:rPr>
            <w:t>8. 重新比选和不再比选</w:t>
          </w:r>
          <w:r>
            <w:tab/>
          </w:r>
          <w:r>
            <w:fldChar w:fldCharType="begin"/>
          </w:r>
          <w:r>
            <w:instrText xml:space="preserve"> PAGEREF _Toc31639 \h </w:instrText>
          </w:r>
          <w:r>
            <w:fldChar w:fldCharType="separate"/>
          </w:r>
          <w:r>
            <w:t>27</w:t>
          </w:r>
          <w:r>
            <w:fldChar w:fldCharType="end"/>
          </w:r>
          <w:r>
            <w:fldChar w:fldCharType="end"/>
          </w:r>
        </w:p>
        <w:p w14:paraId="4B8BC6BC">
          <w:pPr>
            <w:pStyle w:val="316"/>
            <w:tabs>
              <w:tab w:val="right" w:leader="dot" w:pos="9070"/>
            </w:tabs>
          </w:pPr>
          <w:r>
            <w:fldChar w:fldCharType="begin"/>
          </w:r>
          <w:r>
            <w:instrText xml:space="preserve"> HYPERLINK \l _Toc3425 </w:instrText>
          </w:r>
          <w:r>
            <w:fldChar w:fldCharType="separate"/>
          </w:r>
          <w:r>
            <w:rPr>
              <w:rFonts w:hint="eastAsia" w:ascii="宋体" w:hAnsi="宋体" w:eastAsia="宋体" w:cs="宋体"/>
              <w:szCs w:val="21"/>
              <w:highlight w:val="none"/>
            </w:rPr>
            <w:t>9.  纪律和监督</w:t>
          </w:r>
          <w:r>
            <w:tab/>
          </w:r>
          <w:r>
            <w:fldChar w:fldCharType="begin"/>
          </w:r>
          <w:r>
            <w:instrText xml:space="preserve"> PAGEREF _Toc3425 \h </w:instrText>
          </w:r>
          <w:r>
            <w:fldChar w:fldCharType="separate"/>
          </w:r>
          <w:r>
            <w:t>27</w:t>
          </w:r>
          <w:r>
            <w:fldChar w:fldCharType="end"/>
          </w:r>
          <w:r>
            <w:fldChar w:fldCharType="end"/>
          </w:r>
        </w:p>
        <w:p w14:paraId="6E8AD37F">
          <w:pPr>
            <w:pStyle w:val="316"/>
            <w:tabs>
              <w:tab w:val="right" w:leader="dot" w:pos="9070"/>
            </w:tabs>
          </w:pPr>
          <w:r>
            <w:fldChar w:fldCharType="begin"/>
          </w:r>
          <w:r>
            <w:instrText xml:space="preserve"> HYPERLINK \l _Toc3617 </w:instrText>
          </w:r>
          <w:r>
            <w:fldChar w:fldCharType="separate"/>
          </w:r>
          <w:r>
            <w:rPr>
              <w:rFonts w:hint="eastAsia" w:ascii="宋体" w:hAnsi="宋体" w:eastAsia="宋体" w:cs="宋体"/>
              <w:bCs/>
              <w:snapToGrid w:val="0"/>
              <w:kern w:val="2"/>
              <w:szCs w:val="21"/>
              <w:highlight w:val="none"/>
              <w:lang w:val="en-US" w:eastAsia="zh-CN" w:bidi="ar-SA"/>
            </w:rPr>
            <w:t>10. 需要补充的其他内容</w:t>
          </w:r>
          <w:r>
            <w:tab/>
          </w:r>
          <w:r>
            <w:fldChar w:fldCharType="begin"/>
          </w:r>
          <w:r>
            <w:instrText xml:space="preserve"> PAGEREF _Toc3617 \h </w:instrText>
          </w:r>
          <w:r>
            <w:fldChar w:fldCharType="separate"/>
          </w:r>
          <w:r>
            <w:t>28</w:t>
          </w:r>
          <w:r>
            <w:fldChar w:fldCharType="end"/>
          </w:r>
          <w:r>
            <w:fldChar w:fldCharType="end"/>
          </w:r>
        </w:p>
        <w:p w14:paraId="7159C42D">
          <w:pPr>
            <w:pStyle w:val="315"/>
            <w:tabs>
              <w:tab w:val="right" w:leader="dot" w:pos="9070"/>
            </w:tabs>
            <w:rPr>
              <w:b/>
            </w:rPr>
          </w:pPr>
          <w:r>
            <w:rPr>
              <w:b/>
            </w:rPr>
            <w:fldChar w:fldCharType="begin"/>
          </w:r>
          <w:r>
            <w:rPr>
              <w:b/>
            </w:rPr>
            <w:instrText xml:space="preserve"> HYPERLINK \l _Toc13564 </w:instrText>
          </w:r>
          <w:r>
            <w:rPr>
              <w:b/>
            </w:rPr>
            <w:fldChar w:fldCharType="separate"/>
          </w:r>
          <w:r>
            <w:rPr>
              <w:rFonts w:ascii="宋体" w:hAnsi="宋体"/>
              <w:b/>
              <w:highlight w:val="none"/>
            </w:rPr>
            <w:t xml:space="preserve">第三章 </w:t>
          </w:r>
          <w:r>
            <w:rPr>
              <w:rFonts w:hint="eastAsia" w:ascii="宋体" w:hAnsi="宋体"/>
              <w:b/>
              <w:highlight w:val="none"/>
            </w:rPr>
            <w:t xml:space="preserve"> </w:t>
          </w:r>
          <w:r>
            <w:rPr>
              <w:rFonts w:ascii="宋体" w:hAnsi="宋体"/>
              <w:b/>
              <w:highlight w:val="none"/>
            </w:rPr>
            <w:t>评标办法（</w:t>
          </w:r>
          <w:r>
            <w:rPr>
              <w:rFonts w:hint="eastAsia" w:ascii="宋体" w:hAnsi="宋体"/>
              <w:b/>
              <w:snapToGrid w:val="0"/>
              <w:kern w:val="0"/>
              <w:highlight w:val="none"/>
            </w:rPr>
            <w:t>经评审的最低投标价法</w:t>
          </w:r>
          <w:r>
            <w:rPr>
              <w:rFonts w:ascii="宋体" w:hAnsi="宋体"/>
              <w:b/>
              <w:highlight w:val="none"/>
            </w:rPr>
            <w:t>）</w:t>
          </w:r>
          <w:r>
            <w:rPr>
              <w:b/>
            </w:rPr>
            <w:tab/>
          </w:r>
          <w:r>
            <w:rPr>
              <w:b/>
            </w:rPr>
            <w:fldChar w:fldCharType="begin"/>
          </w:r>
          <w:r>
            <w:rPr>
              <w:b/>
            </w:rPr>
            <w:instrText xml:space="preserve"> PAGEREF _Toc13564 \h </w:instrText>
          </w:r>
          <w:r>
            <w:rPr>
              <w:b/>
            </w:rPr>
            <w:fldChar w:fldCharType="separate"/>
          </w:r>
          <w:r>
            <w:rPr>
              <w:b/>
            </w:rPr>
            <w:t>29</w:t>
          </w:r>
          <w:r>
            <w:rPr>
              <w:b/>
            </w:rPr>
            <w:fldChar w:fldCharType="end"/>
          </w:r>
          <w:r>
            <w:rPr>
              <w:b/>
            </w:rPr>
            <w:fldChar w:fldCharType="end"/>
          </w:r>
        </w:p>
        <w:p w14:paraId="36933374">
          <w:pPr>
            <w:pStyle w:val="316"/>
            <w:tabs>
              <w:tab w:val="right" w:leader="dot" w:pos="9070"/>
            </w:tabs>
          </w:pPr>
          <w:r>
            <w:fldChar w:fldCharType="begin"/>
          </w:r>
          <w:r>
            <w:instrText xml:space="preserve"> HYPERLINK \l _Toc8905 </w:instrText>
          </w:r>
          <w:r>
            <w:fldChar w:fldCharType="separate"/>
          </w:r>
          <w:r>
            <w:rPr>
              <w:rFonts w:hint="eastAsia" w:ascii="宋体" w:hAnsi="宋体"/>
              <w:highlight w:val="none"/>
            </w:rPr>
            <w:t>评标办法前附表</w:t>
          </w:r>
          <w:r>
            <w:tab/>
          </w:r>
          <w:r>
            <w:fldChar w:fldCharType="begin"/>
          </w:r>
          <w:r>
            <w:instrText xml:space="preserve"> PAGEREF _Toc8905 \h </w:instrText>
          </w:r>
          <w:r>
            <w:fldChar w:fldCharType="separate"/>
          </w:r>
          <w:r>
            <w:t>29</w:t>
          </w:r>
          <w:r>
            <w:fldChar w:fldCharType="end"/>
          </w:r>
          <w:r>
            <w:fldChar w:fldCharType="end"/>
          </w:r>
        </w:p>
        <w:p w14:paraId="1F70AE82">
          <w:pPr>
            <w:pStyle w:val="316"/>
            <w:tabs>
              <w:tab w:val="right" w:leader="dot" w:pos="9070"/>
            </w:tabs>
          </w:pPr>
          <w:r>
            <w:fldChar w:fldCharType="begin"/>
          </w:r>
          <w:r>
            <w:instrText xml:space="preserve"> HYPERLINK \l _Toc22842 </w:instrText>
          </w:r>
          <w:r>
            <w:fldChar w:fldCharType="separate"/>
          </w:r>
          <w:r>
            <w:rPr>
              <w:rFonts w:ascii="宋体" w:hAnsi="宋体"/>
              <w:snapToGrid w:val="0"/>
              <w:highlight w:val="none"/>
            </w:rPr>
            <w:t>1.  评标方法</w:t>
          </w:r>
          <w:r>
            <w:tab/>
          </w:r>
          <w:r>
            <w:fldChar w:fldCharType="begin"/>
          </w:r>
          <w:r>
            <w:instrText xml:space="preserve"> PAGEREF _Toc22842 \h </w:instrText>
          </w:r>
          <w:r>
            <w:fldChar w:fldCharType="separate"/>
          </w:r>
          <w:r>
            <w:t>32</w:t>
          </w:r>
          <w:r>
            <w:fldChar w:fldCharType="end"/>
          </w:r>
          <w:r>
            <w:fldChar w:fldCharType="end"/>
          </w:r>
        </w:p>
        <w:p w14:paraId="07334786">
          <w:pPr>
            <w:pStyle w:val="316"/>
            <w:tabs>
              <w:tab w:val="right" w:leader="dot" w:pos="9070"/>
            </w:tabs>
          </w:pPr>
          <w:r>
            <w:fldChar w:fldCharType="begin"/>
          </w:r>
          <w:r>
            <w:instrText xml:space="preserve"> HYPERLINK \l _Toc395 </w:instrText>
          </w:r>
          <w:r>
            <w:fldChar w:fldCharType="separate"/>
          </w:r>
          <w:r>
            <w:rPr>
              <w:rFonts w:ascii="宋体" w:hAnsi="宋体"/>
              <w:snapToGrid w:val="0"/>
              <w:highlight w:val="none"/>
            </w:rPr>
            <w:t>2.  评审标准</w:t>
          </w:r>
          <w:r>
            <w:tab/>
          </w:r>
          <w:r>
            <w:fldChar w:fldCharType="begin"/>
          </w:r>
          <w:r>
            <w:instrText xml:space="preserve"> PAGEREF _Toc395 \h </w:instrText>
          </w:r>
          <w:r>
            <w:fldChar w:fldCharType="separate"/>
          </w:r>
          <w:r>
            <w:t>32</w:t>
          </w:r>
          <w:r>
            <w:fldChar w:fldCharType="end"/>
          </w:r>
          <w:r>
            <w:fldChar w:fldCharType="end"/>
          </w:r>
        </w:p>
        <w:p w14:paraId="0C76740B">
          <w:pPr>
            <w:pStyle w:val="316"/>
            <w:tabs>
              <w:tab w:val="right" w:leader="dot" w:pos="9070"/>
            </w:tabs>
          </w:pPr>
          <w:r>
            <w:fldChar w:fldCharType="begin"/>
          </w:r>
          <w:r>
            <w:instrText xml:space="preserve"> HYPERLINK \l _Toc1051 </w:instrText>
          </w:r>
          <w:r>
            <w:fldChar w:fldCharType="separate"/>
          </w:r>
          <w:r>
            <w:rPr>
              <w:rFonts w:ascii="宋体" w:hAnsi="宋体"/>
              <w:snapToGrid w:val="0"/>
              <w:highlight w:val="none"/>
            </w:rPr>
            <w:t>3.  评标程序</w:t>
          </w:r>
          <w:r>
            <w:tab/>
          </w:r>
          <w:r>
            <w:fldChar w:fldCharType="begin"/>
          </w:r>
          <w:r>
            <w:instrText xml:space="preserve"> PAGEREF _Toc1051 \h </w:instrText>
          </w:r>
          <w:r>
            <w:fldChar w:fldCharType="separate"/>
          </w:r>
          <w:r>
            <w:t>32</w:t>
          </w:r>
          <w:r>
            <w:fldChar w:fldCharType="end"/>
          </w:r>
          <w:r>
            <w:fldChar w:fldCharType="end"/>
          </w:r>
        </w:p>
        <w:p w14:paraId="22EF2515">
          <w:pPr>
            <w:pStyle w:val="315"/>
            <w:tabs>
              <w:tab w:val="right" w:leader="dot" w:pos="9070"/>
            </w:tabs>
            <w:rPr>
              <w:b/>
            </w:rPr>
          </w:pPr>
          <w:r>
            <w:rPr>
              <w:b/>
            </w:rPr>
            <w:fldChar w:fldCharType="begin"/>
          </w:r>
          <w:r>
            <w:rPr>
              <w:b/>
            </w:rPr>
            <w:instrText xml:space="preserve"> HYPERLINK \l _Toc11925 </w:instrText>
          </w:r>
          <w:r>
            <w:rPr>
              <w:b/>
            </w:rPr>
            <w:fldChar w:fldCharType="separate"/>
          </w:r>
          <w:r>
            <w:rPr>
              <w:rFonts w:ascii="宋体" w:hAnsi="宋体"/>
              <w:b/>
              <w:szCs w:val="28"/>
              <w:highlight w:val="none"/>
              <w:lang w:eastAsia="zh-CN"/>
            </w:rPr>
            <w:t>附件A：</w:t>
          </w:r>
          <w:r>
            <w:rPr>
              <w:rFonts w:hint="eastAsia" w:ascii="宋体" w:hAnsi="宋体"/>
              <w:b/>
              <w:szCs w:val="28"/>
              <w:highlight w:val="none"/>
              <w:lang w:eastAsia="zh-CN"/>
            </w:rPr>
            <w:t>经评审的最低投标价法</w:t>
          </w:r>
          <w:r>
            <w:rPr>
              <w:rFonts w:ascii="宋体" w:hAnsi="宋体"/>
              <w:b/>
              <w:szCs w:val="28"/>
              <w:highlight w:val="none"/>
              <w:lang w:eastAsia="zh-CN"/>
            </w:rPr>
            <w:t>否决投标情况一览表</w:t>
          </w:r>
          <w:r>
            <w:rPr>
              <w:b/>
            </w:rPr>
            <w:tab/>
          </w:r>
          <w:r>
            <w:rPr>
              <w:b/>
            </w:rPr>
            <w:fldChar w:fldCharType="begin"/>
          </w:r>
          <w:r>
            <w:rPr>
              <w:b/>
            </w:rPr>
            <w:instrText xml:space="preserve"> PAGEREF _Toc11925 \h </w:instrText>
          </w:r>
          <w:r>
            <w:rPr>
              <w:b/>
            </w:rPr>
            <w:fldChar w:fldCharType="separate"/>
          </w:r>
          <w:r>
            <w:rPr>
              <w:b/>
            </w:rPr>
            <w:t>34</w:t>
          </w:r>
          <w:r>
            <w:rPr>
              <w:b/>
            </w:rPr>
            <w:fldChar w:fldCharType="end"/>
          </w:r>
          <w:r>
            <w:rPr>
              <w:b/>
            </w:rPr>
            <w:fldChar w:fldCharType="end"/>
          </w:r>
        </w:p>
        <w:p w14:paraId="35A2164D">
          <w:pPr>
            <w:pStyle w:val="315"/>
            <w:tabs>
              <w:tab w:val="right" w:leader="dot" w:pos="9070"/>
            </w:tabs>
            <w:rPr>
              <w:b/>
            </w:rPr>
          </w:pPr>
          <w:r>
            <w:rPr>
              <w:b/>
            </w:rPr>
            <w:fldChar w:fldCharType="begin"/>
          </w:r>
          <w:r>
            <w:rPr>
              <w:b/>
            </w:rPr>
            <w:instrText xml:space="preserve"> HYPERLINK \l _Toc27285 </w:instrText>
          </w:r>
          <w:r>
            <w:rPr>
              <w:b/>
            </w:rPr>
            <w:fldChar w:fldCharType="separate"/>
          </w:r>
          <w:r>
            <w:rPr>
              <w:rFonts w:hint="eastAsia" w:ascii="宋体" w:hAnsi="宋体"/>
              <w:b/>
              <w:kern w:val="0"/>
              <w:highlight w:val="none"/>
            </w:rPr>
            <w:t>第四章  合同条款及格式</w:t>
          </w:r>
          <w:r>
            <w:rPr>
              <w:b/>
            </w:rPr>
            <w:tab/>
          </w:r>
          <w:r>
            <w:rPr>
              <w:b/>
            </w:rPr>
            <w:fldChar w:fldCharType="begin"/>
          </w:r>
          <w:r>
            <w:rPr>
              <w:b/>
            </w:rPr>
            <w:instrText xml:space="preserve"> PAGEREF _Toc27285 \h </w:instrText>
          </w:r>
          <w:r>
            <w:rPr>
              <w:b/>
            </w:rPr>
            <w:fldChar w:fldCharType="separate"/>
          </w:r>
          <w:r>
            <w:rPr>
              <w:b/>
            </w:rPr>
            <w:t>37</w:t>
          </w:r>
          <w:r>
            <w:rPr>
              <w:b/>
            </w:rPr>
            <w:fldChar w:fldCharType="end"/>
          </w:r>
          <w:r>
            <w:rPr>
              <w:b/>
            </w:rPr>
            <w:fldChar w:fldCharType="end"/>
          </w:r>
        </w:p>
        <w:p w14:paraId="4592EFC2">
          <w:pPr>
            <w:pStyle w:val="315"/>
            <w:tabs>
              <w:tab w:val="right" w:leader="dot" w:pos="9070"/>
            </w:tabs>
            <w:rPr>
              <w:b/>
            </w:rPr>
          </w:pPr>
          <w:r>
            <w:rPr>
              <w:b/>
            </w:rPr>
            <w:fldChar w:fldCharType="begin"/>
          </w:r>
          <w:r>
            <w:rPr>
              <w:b/>
            </w:rPr>
            <w:instrText xml:space="preserve"> HYPERLINK \l _Toc20094 </w:instrText>
          </w:r>
          <w:r>
            <w:rPr>
              <w:b/>
            </w:rPr>
            <w:fldChar w:fldCharType="separate"/>
          </w:r>
          <w:r>
            <w:rPr>
              <w:rFonts w:hint="eastAsia" w:ascii="宋体" w:hAnsi="宋体"/>
              <w:b/>
              <w:highlight w:val="none"/>
            </w:rPr>
            <w:t>第五章  工程量清单</w:t>
          </w:r>
          <w:r>
            <w:rPr>
              <w:b/>
            </w:rPr>
            <w:tab/>
          </w:r>
          <w:r>
            <w:rPr>
              <w:b/>
            </w:rPr>
            <w:fldChar w:fldCharType="begin"/>
          </w:r>
          <w:r>
            <w:rPr>
              <w:b/>
            </w:rPr>
            <w:instrText xml:space="preserve"> PAGEREF _Toc20094 \h </w:instrText>
          </w:r>
          <w:r>
            <w:rPr>
              <w:b/>
            </w:rPr>
            <w:fldChar w:fldCharType="separate"/>
          </w:r>
          <w:r>
            <w:rPr>
              <w:b/>
            </w:rPr>
            <w:t>38</w:t>
          </w:r>
          <w:r>
            <w:rPr>
              <w:b/>
            </w:rPr>
            <w:fldChar w:fldCharType="end"/>
          </w:r>
          <w:r>
            <w:rPr>
              <w:b/>
            </w:rPr>
            <w:fldChar w:fldCharType="end"/>
          </w:r>
        </w:p>
        <w:p w14:paraId="216CF541">
          <w:pPr>
            <w:pStyle w:val="315"/>
            <w:tabs>
              <w:tab w:val="right" w:leader="dot" w:pos="9070"/>
            </w:tabs>
            <w:rPr>
              <w:b/>
            </w:rPr>
          </w:pPr>
          <w:r>
            <w:rPr>
              <w:b/>
            </w:rPr>
            <w:fldChar w:fldCharType="begin"/>
          </w:r>
          <w:r>
            <w:rPr>
              <w:b/>
            </w:rPr>
            <w:instrText xml:space="preserve"> HYPERLINK \l _Toc15479 </w:instrText>
          </w:r>
          <w:r>
            <w:rPr>
              <w:b/>
            </w:rPr>
            <w:fldChar w:fldCharType="separate"/>
          </w:r>
          <w:r>
            <w:rPr>
              <w:rFonts w:hint="eastAsia" w:ascii="宋体" w:hAnsi="宋体"/>
              <w:b/>
              <w:highlight w:val="none"/>
            </w:rPr>
            <w:t>第六章  图纸</w:t>
          </w:r>
          <w:r>
            <w:rPr>
              <w:rFonts w:hint="eastAsia" w:ascii="宋体" w:hAnsi="宋体"/>
              <w:b/>
              <w:highlight w:val="none"/>
              <w:lang w:eastAsia="zh-CN"/>
            </w:rPr>
            <w:t>（</w:t>
          </w:r>
          <w:r>
            <w:rPr>
              <w:rFonts w:hint="eastAsia" w:ascii="宋体" w:hAnsi="宋体"/>
              <w:b/>
              <w:highlight w:val="none"/>
              <w:lang w:val="en-US" w:eastAsia="zh-CN"/>
            </w:rPr>
            <w:t>如有</w:t>
          </w:r>
          <w:r>
            <w:rPr>
              <w:rFonts w:hint="eastAsia" w:ascii="宋体" w:hAnsi="宋体"/>
              <w:b/>
              <w:highlight w:val="none"/>
              <w:lang w:eastAsia="zh-CN"/>
            </w:rPr>
            <w:t>）</w:t>
          </w:r>
          <w:r>
            <w:rPr>
              <w:b/>
            </w:rPr>
            <w:tab/>
          </w:r>
          <w:r>
            <w:rPr>
              <w:b/>
            </w:rPr>
            <w:fldChar w:fldCharType="begin"/>
          </w:r>
          <w:r>
            <w:rPr>
              <w:b/>
            </w:rPr>
            <w:instrText xml:space="preserve"> PAGEREF _Toc15479 \h </w:instrText>
          </w:r>
          <w:r>
            <w:rPr>
              <w:b/>
            </w:rPr>
            <w:fldChar w:fldCharType="separate"/>
          </w:r>
          <w:r>
            <w:rPr>
              <w:b/>
            </w:rPr>
            <w:t>39</w:t>
          </w:r>
          <w:r>
            <w:rPr>
              <w:b/>
            </w:rPr>
            <w:fldChar w:fldCharType="end"/>
          </w:r>
          <w:r>
            <w:rPr>
              <w:b/>
            </w:rPr>
            <w:fldChar w:fldCharType="end"/>
          </w:r>
        </w:p>
        <w:p w14:paraId="663165D5">
          <w:pPr>
            <w:pStyle w:val="315"/>
            <w:tabs>
              <w:tab w:val="right" w:leader="dot" w:pos="9070"/>
            </w:tabs>
            <w:rPr>
              <w:b/>
            </w:rPr>
          </w:pPr>
          <w:r>
            <w:rPr>
              <w:b/>
            </w:rPr>
            <w:fldChar w:fldCharType="begin"/>
          </w:r>
          <w:r>
            <w:rPr>
              <w:b/>
            </w:rPr>
            <w:instrText xml:space="preserve"> HYPERLINK \l _Toc16673 </w:instrText>
          </w:r>
          <w:r>
            <w:rPr>
              <w:b/>
            </w:rPr>
            <w:fldChar w:fldCharType="separate"/>
          </w:r>
          <w:r>
            <w:rPr>
              <w:rFonts w:ascii="宋体" w:hAnsi="宋体"/>
              <w:b/>
              <w:highlight w:val="none"/>
            </w:rPr>
            <w:t>第七章</w:t>
          </w:r>
          <w:r>
            <w:rPr>
              <w:rFonts w:hint="eastAsia" w:ascii="宋体" w:hAnsi="宋体"/>
              <w:b/>
              <w:highlight w:val="none"/>
            </w:rPr>
            <w:t xml:space="preserve">  </w:t>
          </w:r>
          <w:r>
            <w:rPr>
              <w:rFonts w:ascii="宋体" w:hAnsi="宋体"/>
              <w:b/>
              <w:highlight w:val="none"/>
            </w:rPr>
            <w:t>技术标准和要求</w:t>
          </w:r>
          <w:r>
            <w:rPr>
              <w:b/>
            </w:rPr>
            <w:tab/>
          </w:r>
          <w:r>
            <w:rPr>
              <w:b/>
            </w:rPr>
            <w:fldChar w:fldCharType="begin"/>
          </w:r>
          <w:r>
            <w:rPr>
              <w:b/>
            </w:rPr>
            <w:instrText xml:space="preserve"> PAGEREF _Toc16673 \h </w:instrText>
          </w:r>
          <w:r>
            <w:rPr>
              <w:b/>
            </w:rPr>
            <w:fldChar w:fldCharType="separate"/>
          </w:r>
          <w:r>
            <w:rPr>
              <w:b/>
            </w:rPr>
            <w:t>40</w:t>
          </w:r>
          <w:r>
            <w:rPr>
              <w:b/>
            </w:rPr>
            <w:fldChar w:fldCharType="end"/>
          </w:r>
          <w:r>
            <w:rPr>
              <w:b/>
            </w:rPr>
            <w:fldChar w:fldCharType="end"/>
          </w:r>
        </w:p>
        <w:p w14:paraId="1B906C1C">
          <w:pPr>
            <w:pStyle w:val="316"/>
            <w:tabs>
              <w:tab w:val="right" w:leader="dot" w:pos="9070"/>
            </w:tabs>
          </w:pPr>
          <w:r>
            <w:fldChar w:fldCharType="begin"/>
          </w:r>
          <w:r>
            <w:instrText xml:space="preserve"> HYPERLINK \l _Toc13391 </w:instrText>
          </w:r>
          <w:r>
            <w:fldChar w:fldCharType="separate"/>
          </w:r>
          <w:r>
            <w:rPr>
              <w:rFonts w:hint="eastAsia" w:ascii="宋体" w:hAnsi="宋体"/>
              <w:szCs w:val="21"/>
            </w:rPr>
            <w:t>一、900万高清环保人脸卡口人脸抓拍摄像机</w:t>
          </w:r>
          <w:r>
            <w:tab/>
          </w:r>
          <w:r>
            <w:fldChar w:fldCharType="begin"/>
          </w:r>
          <w:r>
            <w:instrText xml:space="preserve"> PAGEREF _Toc13391 \h </w:instrText>
          </w:r>
          <w:r>
            <w:fldChar w:fldCharType="separate"/>
          </w:r>
          <w:r>
            <w:t>40</w:t>
          </w:r>
          <w:r>
            <w:fldChar w:fldCharType="end"/>
          </w:r>
          <w:r>
            <w:fldChar w:fldCharType="end"/>
          </w:r>
        </w:p>
        <w:p w14:paraId="3B705915">
          <w:pPr>
            <w:pStyle w:val="316"/>
            <w:tabs>
              <w:tab w:val="right" w:leader="dot" w:pos="9070"/>
            </w:tabs>
          </w:pPr>
          <w:r>
            <w:fldChar w:fldCharType="begin"/>
          </w:r>
          <w:r>
            <w:instrText xml:space="preserve"> HYPERLINK \l _Toc20593 </w:instrText>
          </w:r>
          <w:r>
            <w:fldChar w:fldCharType="separate"/>
          </w:r>
          <w:r>
            <w:rPr>
              <w:rFonts w:hint="eastAsia" w:ascii="宋体" w:hAnsi="宋体"/>
              <w:szCs w:val="21"/>
            </w:rPr>
            <w:t>二、智能交通终端管理设备</w:t>
          </w:r>
          <w:r>
            <w:tab/>
          </w:r>
          <w:r>
            <w:fldChar w:fldCharType="begin"/>
          </w:r>
          <w:r>
            <w:instrText xml:space="preserve"> PAGEREF _Toc20593 \h </w:instrText>
          </w:r>
          <w:r>
            <w:fldChar w:fldCharType="separate"/>
          </w:r>
          <w:r>
            <w:t>40</w:t>
          </w:r>
          <w:r>
            <w:fldChar w:fldCharType="end"/>
          </w:r>
          <w:r>
            <w:fldChar w:fldCharType="end"/>
          </w:r>
        </w:p>
        <w:p w14:paraId="0E28C479">
          <w:pPr>
            <w:pStyle w:val="315"/>
            <w:tabs>
              <w:tab w:val="right" w:leader="dot" w:pos="9070"/>
            </w:tabs>
            <w:rPr>
              <w:b/>
            </w:rPr>
          </w:pPr>
          <w:r>
            <w:rPr>
              <w:b/>
            </w:rPr>
            <w:fldChar w:fldCharType="begin"/>
          </w:r>
          <w:r>
            <w:rPr>
              <w:b/>
            </w:rPr>
            <w:instrText xml:space="preserve"> HYPERLINK \l _Toc28539 </w:instrText>
          </w:r>
          <w:r>
            <w:rPr>
              <w:b/>
            </w:rPr>
            <w:fldChar w:fldCharType="separate"/>
          </w:r>
          <w:r>
            <w:rPr>
              <w:rFonts w:hint="eastAsia" w:ascii="宋体" w:hAnsi="宋体"/>
              <w:b/>
              <w:highlight w:val="none"/>
            </w:rPr>
            <w:t xml:space="preserve">第八章  </w:t>
          </w:r>
          <w:r>
            <w:rPr>
              <w:rFonts w:hint="eastAsia" w:ascii="宋体" w:hAnsi="宋体"/>
              <w:b/>
              <w:highlight w:val="none"/>
              <w:lang w:eastAsia="zh-CN"/>
            </w:rPr>
            <w:t>竞选文件</w:t>
          </w:r>
          <w:r>
            <w:rPr>
              <w:rFonts w:hint="eastAsia" w:ascii="宋体" w:hAnsi="宋体"/>
              <w:b/>
              <w:highlight w:val="none"/>
            </w:rPr>
            <w:t>格式</w:t>
          </w:r>
          <w:r>
            <w:rPr>
              <w:b/>
            </w:rPr>
            <w:tab/>
          </w:r>
          <w:r>
            <w:rPr>
              <w:b/>
            </w:rPr>
            <w:fldChar w:fldCharType="begin"/>
          </w:r>
          <w:r>
            <w:rPr>
              <w:b/>
            </w:rPr>
            <w:instrText xml:space="preserve"> PAGEREF _Toc28539 \h </w:instrText>
          </w:r>
          <w:r>
            <w:rPr>
              <w:b/>
            </w:rPr>
            <w:fldChar w:fldCharType="separate"/>
          </w:r>
          <w:r>
            <w:rPr>
              <w:b/>
            </w:rPr>
            <w:t>42</w:t>
          </w:r>
          <w:r>
            <w:rPr>
              <w:b/>
            </w:rPr>
            <w:fldChar w:fldCharType="end"/>
          </w:r>
          <w:r>
            <w:rPr>
              <w:b/>
            </w:rPr>
            <w:fldChar w:fldCharType="end"/>
          </w:r>
        </w:p>
        <w:p w14:paraId="1CA360AE">
          <w:pPr>
            <w:pStyle w:val="316"/>
            <w:tabs>
              <w:tab w:val="right" w:leader="dot" w:pos="9070"/>
            </w:tabs>
          </w:pPr>
          <w:r>
            <w:fldChar w:fldCharType="begin"/>
          </w:r>
          <w:r>
            <w:instrText xml:space="preserve"> HYPERLINK \l _Toc31419 </w:instrText>
          </w:r>
          <w:r>
            <w:fldChar w:fldCharType="separate"/>
          </w:r>
          <w:r>
            <w:rPr>
              <w:rFonts w:hint="eastAsia" w:ascii="宋体" w:hAnsi="宋体"/>
              <w:highlight w:val="none"/>
              <w:lang w:val="en-US" w:eastAsia="zh-CN"/>
            </w:rPr>
            <w:t>一</w:t>
          </w:r>
          <w:r>
            <w:rPr>
              <w:rFonts w:ascii="宋体" w:hAnsi="宋体"/>
              <w:highlight w:val="none"/>
            </w:rPr>
            <w:t>、</w:t>
          </w:r>
          <w:r>
            <w:rPr>
              <w:rFonts w:hint="eastAsia" w:ascii="宋体" w:hAnsi="宋体"/>
              <w:highlight w:val="none"/>
              <w:lang w:eastAsia="zh-CN"/>
            </w:rPr>
            <w:t>竞选函</w:t>
          </w:r>
          <w:r>
            <w:rPr>
              <w:rFonts w:ascii="宋体" w:hAnsi="宋体"/>
              <w:highlight w:val="none"/>
            </w:rPr>
            <w:t>部分</w:t>
          </w:r>
          <w:r>
            <w:tab/>
          </w:r>
          <w:r>
            <w:fldChar w:fldCharType="begin"/>
          </w:r>
          <w:r>
            <w:instrText xml:space="preserve"> PAGEREF _Toc31419 \h </w:instrText>
          </w:r>
          <w:r>
            <w:fldChar w:fldCharType="separate"/>
          </w:r>
          <w:r>
            <w:t>42</w:t>
          </w:r>
          <w:r>
            <w:fldChar w:fldCharType="end"/>
          </w:r>
          <w:r>
            <w:fldChar w:fldCharType="end"/>
          </w:r>
        </w:p>
        <w:p w14:paraId="0FB8C2D5">
          <w:pPr>
            <w:pStyle w:val="316"/>
            <w:tabs>
              <w:tab w:val="right" w:leader="dot" w:pos="9070"/>
            </w:tabs>
          </w:pPr>
          <w:r>
            <w:fldChar w:fldCharType="begin"/>
          </w:r>
          <w:r>
            <w:instrText xml:space="preserve"> HYPERLINK \l _Toc6098 </w:instrText>
          </w:r>
          <w:r>
            <w:fldChar w:fldCharType="separate"/>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经济</w:t>
          </w:r>
          <w:r>
            <w:rPr>
              <w:rFonts w:ascii="宋体" w:hAnsi="宋体"/>
              <w:highlight w:val="none"/>
            </w:rPr>
            <w:t>部分</w:t>
          </w:r>
          <w:r>
            <w:tab/>
          </w:r>
          <w:r>
            <w:fldChar w:fldCharType="begin"/>
          </w:r>
          <w:r>
            <w:instrText xml:space="preserve"> PAGEREF _Toc6098 \h </w:instrText>
          </w:r>
          <w:r>
            <w:fldChar w:fldCharType="separate"/>
          </w:r>
          <w:r>
            <w:t>42</w:t>
          </w:r>
          <w:r>
            <w:fldChar w:fldCharType="end"/>
          </w:r>
          <w:r>
            <w:fldChar w:fldCharType="end"/>
          </w:r>
        </w:p>
        <w:p w14:paraId="2F731CAB">
          <w:pPr>
            <w:pStyle w:val="316"/>
            <w:tabs>
              <w:tab w:val="right" w:leader="dot" w:pos="9070"/>
            </w:tabs>
          </w:pPr>
          <w:r>
            <w:fldChar w:fldCharType="begin"/>
          </w:r>
          <w:r>
            <w:instrText xml:space="preserve"> HYPERLINK \l _Toc23604 </w:instrText>
          </w:r>
          <w:r>
            <w:fldChar w:fldCharType="separate"/>
          </w:r>
          <w:r>
            <w:rPr>
              <w:rFonts w:hint="eastAsia" w:ascii="宋体" w:hAnsi="宋体"/>
              <w:highlight w:val="none"/>
              <w:lang w:val="en-US" w:eastAsia="zh-CN"/>
            </w:rPr>
            <w:t>三</w:t>
          </w:r>
          <w:r>
            <w:rPr>
              <w:rFonts w:ascii="宋体" w:hAnsi="宋体"/>
              <w:highlight w:val="none"/>
            </w:rPr>
            <w:t>、</w:t>
          </w:r>
          <w:r>
            <w:rPr>
              <w:rFonts w:hint="eastAsia" w:ascii="宋体" w:hAnsi="宋体"/>
              <w:highlight w:val="none"/>
            </w:rPr>
            <w:t>资格审查部分</w:t>
          </w:r>
          <w:r>
            <w:tab/>
          </w:r>
          <w:r>
            <w:fldChar w:fldCharType="begin"/>
          </w:r>
          <w:r>
            <w:instrText xml:space="preserve"> PAGEREF _Toc23604 \h </w:instrText>
          </w:r>
          <w:r>
            <w:fldChar w:fldCharType="separate"/>
          </w:r>
          <w:r>
            <w:t>42</w:t>
          </w:r>
          <w:r>
            <w:fldChar w:fldCharType="end"/>
          </w:r>
          <w:r>
            <w:fldChar w:fldCharType="end"/>
          </w:r>
        </w:p>
        <w:p w14:paraId="317F4411">
          <w:pPr>
            <w:pStyle w:val="316"/>
            <w:tabs>
              <w:tab w:val="right" w:leader="dot" w:pos="9070"/>
            </w:tabs>
          </w:pPr>
          <w:r>
            <w:fldChar w:fldCharType="begin"/>
          </w:r>
          <w:r>
            <w:instrText xml:space="preserve"> HYPERLINK \l _Toc29578 </w:instrText>
          </w:r>
          <w:r>
            <w:fldChar w:fldCharType="separate"/>
          </w:r>
          <w:r>
            <w:rPr>
              <w:rFonts w:hint="eastAsia" w:ascii="宋体" w:hAnsi="宋体"/>
              <w:bCs w:val="0"/>
              <w:szCs w:val="44"/>
              <w:highlight w:val="none"/>
              <w:lang w:val="en-US" w:eastAsia="zh-CN"/>
            </w:rPr>
            <w:t>一</w:t>
          </w:r>
          <w:r>
            <w:rPr>
              <w:rFonts w:hint="eastAsia" w:ascii="宋体" w:hAnsi="宋体"/>
              <w:bCs w:val="0"/>
              <w:szCs w:val="44"/>
              <w:highlight w:val="none"/>
            </w:rPr>
            <w:t>、</w:t>
          </w:r>
          <w:r>
            <w:rPr>
              <w:rFonts w:hint="eastAsia" w:ascii="宋体" w:hAnsi="宋体"/>
              <w:bCs w:val="0"/>
              <w:szCs w:val="44"/>
              <w:highlight w:val="none"/>
              <w:lang w:eastAsia="zh-CN"/>
            </w:rPr>
            <w:t>竞选函</w:t>
          </w:r>
          <w:r>
            <w:rPr>
              <w:rFonts w:hint="eastAsia" w:ascii="宋体" w:hAnsi="宋体"/>
              <w:bCs w:val="0"/>
              <w:szCs w:val="44"/>
              <w:highlight w:val="none"/>
            </w:rPr>
            <w:t>部分</w:t>
          </w:r>
          <w:r>
            <w:tab/>
          </w:r>
          <w:r>
            <w:fldChar w:fldCharType="begin"/>
          </w:r>
          <w:r>
            <w:instrText xml:space="preserve"> PAGEREF _Toc29578 \h </w:instrText>
          </w:r>
          <w:r>
            <w:fldChar w:fldCharType="separate"/>
          </w:r>
          <w:r>
            <w:t>43</w:t>
          </w:r>
          <w:r>
            <w:fldChar w:fldCharType="end"/>
          </w:r>
          <w:r>
            <w:fldChar w:fldCharType="end"/>
          </w:r>
        </w:p>
        <w:p w14:paraId="7DCF23C3">
          <w:pPr>
            <w:pStyle w:val="316"/>
            <w:tabs>
              <w:tab w:val="right" w:leader="dot" w:pos="9070"/>
            </w:tabs>
          </w:pPr>
          <w:r>
            <w:fldChar w:fldCharType="begin"/>
          </w:r>
          <w:r>
            <w:instrText xml:space="preserve"> HYPERLINK \l _Toc6601 </w:instrText>
          </w:r>
          <w:r>
            <w:fldChar w:fldCharType="separate"/>
          </w:r>
          <w:r>
            <w:rPr>
              <w:rFonts w:hint="eastAsia" w:ascii="宋体" w:hAnsi="宋体"/>
              <w:bCs w:val="0"/>
              <w:szCs w:val="44"/>
              <w:highlight w:val="none"/>
              <w:lang w:val="en-US" w:eastAsia="zh-CN"/>
            </w:rPr>
            <w:t>二</w:t>
          </w:r>
          <w:r>
            <w:rPr>
              <w:rFonts w:hint="eastAsia" w:ascii="宋体" w:hAnsi="宋体"/>
              <w:bCs w:val="0"/>
              <w:szCs w:val="44"/>
              <w:highlight w:val="none"/>
            </w:rPr>
            <w:t>、经济部分</w:t>
          </w:r>
          <w:r>
            <w:tab/>
          </w:r>
          <w:r>
            <w:fldChar w:fldCharType="begin"/>
          </w:r>
          <w:r>
            <w:instrText xml:space="preserve"> PAGEREF _Toc6601 \h </w:instrText>
          </w:r>
          <w:r>
            <w:fldChar w:fldCharType="separate"/>
          </w:r>
          <w:r>
            <w:t>50</w:t>
          </w:r>
          <w:r>
            <w:fldChar w:fldCharType="end"/>
          </w:r>
          <w:r>
            <w:fldChar w:fldCharType="end"/>
          </w:r>
        </w:p>
        <w:p w14:paraId="1FADCD30">
          <w:pPr>
            <w:pStyle w:val="316"/>
            <w:tabs>
              <w:tab w:val="right" w:leader="dot" w:pos="9070"/>
            </w:tabs>
          </w:pPr>
          <w:r>
            <w:fldChar w:fldCharType="begin"/>
          </w:r>
          <w:r>
            <w:instrText xml:space="preserve"> HYPERLINK \l _Toc21820 </w:instrText>
          </w:r>
          <w:r>
            <w:fldChar w:fldCharType="separate"/>
          </w:r>
          <w:r>
            <w:rPr>
              <w:rFonts w:hint="eastAsia" w:ascii="宋体" w:hAnsi="宋体"/>
              <w:bCs w:val="0"/>
              <w:szCs w:val="44"/>
              <w:highlight w:val="none"/>
              <w:lang w:val="en-US" w:eastAsia="zh-CN"/>
            </w:rPr>
            <w:t>三</w:t>
          </w:r>
          <w:r>
            <w:rPr>
              <w:rFonts w:hint="eastAsia" w:ascii="宋体" w:hAnsi="宋体"/>
              <w:bCs w:val="0"/>
              <w:szCs w:val="44"/>
              <w:highlight w:val="none"/>
            </w:rPr>
            <w:t>、资格审查部分</w:t>
          </w:r>
          <w:r>
            <w:tab/>
          </w:r>
          <w:r>
            <w:fldChar w:fldCharType="begin"/>
          </w:r>
          <w:r>
            <w:instrText xml:space="preserve"> PAGEREF _Toc21820 \h </w:instrText>
          </w:r>
          <w:r>
            <w:fldChar w:fldCharType="separate"/>
          </w:r>
          <w:r>
            <w:t>53</w:t>
          </w:r>
          <w:r>
            <w:fldChar w:fldCharType="end"/>
          </w:r>
          <w:r>
            <w:fldChar w:fldCharType="end"/>
          </w:r>
        </w:p>
        <w:p w14:paraId="1B43263A">
          <w:r>
            <w:rPr>
              <w:b/>
            </w:rPr>
            <w:fldChar w:fldCharType="end"/>
          </w:r>
        </w:p>
      </w:sdtContent>
    </w:sdt>
    <w:p w14:paraId="4BDAA38D">
      <w:pPr>
        <w:pStyle w:val="2"/>
        <w:spacing w:line="360" w:lineRule="auto"/>
        <w:jc w:val="center"/>
        <w:rPr>
          <w:rFonts w:ascii="宋体" w:hAnsi="宋体"/>
          <w:snapToGrid w:val="0"/>
          <w:kern w:val="0"/>
          <w:highlight w:val="none"/>
        </w:rPr>
      </w:pPr>
      <w:bookmarkStart w:id="10" w:name="_Toc30385"/>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bookmarkEnd w:id="10"/>
    </w:p>
    <w:p w14:paraId="2B143B4E">
      <w:pPr>
        <w:pStyle w:val="3"/>
        <w:spacing w:before="100" w:after="100" w:line="460" w:lineRule="exact"/>
        <w:jc w:val="center"/>
        <w:rPr>
          <w:rFonts w:hint="eastAsia" w:ascii="宋体" w:hAnsi="宋体"/>
          <w:snapToGrid w:val="0"/>
          <w:color w:val="auto"/>
          <w:sz w:val="28"/>
          <w:szCs w:val="28"/>
          <w:highlight w:val="none"/>
        </w:rPr>
      </w:pPr>
      <w:bookmarkStart w:id="11" w:name="_Toc13510"/>
      <w:bookmarkStart w:id="12" w:name="_Toc277082536"/>
      <w:bookmarkStart w:id="13" w:name="_Toc200359427"/>
      <w:bookmarkStart w:id="14" w:name="_Toc200359238"/>
      <w:bookmarkStart w:id="15" w:name="_Toc27491"/>
      <w:bookmarkStart w:id="16" w:name="_Toc430530416"/>
      <w:bookmarkStart w:id="17" w:name="_Toc287620667"/>
      <w:bookmarkStart w:id="18" w:name="_Toc287607728"/>
      <w:bookmarkStart w:id="19" w:name="_Toc26523"/>
      <w:bookmarkStart w:id="20" w:name="_Toc224103299"/>
      <w:bookmarkStart w:id="21" w:name="_Toc509218692"/>
      <w:r>
        <w:rPr>
          <w:rFonts w:hint="eastAsia" w:ascii="宋体" w:hAnsi="宋体"/>
          <w:snapToGrid w:val="0"/>
          <w:color w:val="auto"/>
          <w:sz w:val="28"/>
          <w:szCs w:val="28"/>
          <w:highlight w:val="none"/>
        </w:rPr>
        <w:t>开成路、横六路道路交安提升及绿化补栽工程</w:t>
      </w:r>
      <w:bookmarkEnd w:id="11"/>
    </w:p>
    <w:p w14:paraId="4596B189">
      <w:pPr>
        <w:pStyle w:val="3"/>
        <w:spacing w:before="100" w:after="100" w:line="460" w:lineRule="exact"/>
        <w:jc w:val="both"/>
        <w:rPr>
          <w:rFonts w:ascii="宋体" w:hAnsi="宋体"/>
          <w:snapToGrid w:val="0"/>
          <w:color w:val="auto"/>
          <w:sz w:val="28"/>
          <w:szCs w:val="28"/>
          <w:highlight w:val="none"/>
        </w:rPr>
      </w:pPr>
      <w:bookmarkStart w:id="22" w:name="_Toc223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2"/>
      <w:bookmarkEnd w:id="13"/>
      <w:bookmarkEnd w:id="14"/>
      <w:bookmarkEnd w:id="15"/>
      <w:bookmarkEnd w:id="16"/>
      <w:bookmarkEnd w:id="17"/>
      <w:bookmarkEnd w:id="18"/>
      <w:bookmarkEnd w:id="19"/>
      <w:bookmarkEnd w:id="20"/>
      <w:bookmarkEnd w:id="21"/>
      <w:bookmarkEnd w:id="22"/>
    </w:p>
    <w:p w14:paraId="4E281100">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开成路、横六路道路交安提升及绿化补栽工程</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第二次</w:t>
      </w:r>
      <w:r>
        <w:rPr>
          <w:rFonts w:hint="eastAsia" w:ascii="宋体" w:hAnsi="宋体"/>
          <w:snapToGrid w:val="0"/>
          <w:color w:val="auto"/>
          <w:kern w:val="0"/>
          <w:szCs w:val="21"/>
          <w:highlight w:val="none"/>
          <w:u w:val="single"/>
          <w:lang w:eastAsia="zh-CN"/>
        </w:rPr>
        <w:t>）</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hint="eastAsia" w:ascii="宋体" w:hAnsi="宋体" w:cs="宋体"/>
          <w:spacing w:val="-4"/>
          <w:sz w:val="21"/>
          <w:szCs w:val="21"/>
          <w:u w:val="single" w:color="auto"/>
          <w:lang w:val="en-US" w:eastAsia="zh-CN"/>
        </w:rPr>
        <w:t>重庆经开区开发建设有限公司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val="en-US" w:eastAsia="zh-CN"/>
        </w:rPr>
        <w:t>重庆经开区开发建设有限公司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21A5BD16">
      <w:pPr>
        <w:pStyle w:val="3"/>
        <w:spacing w:before="100" w:after="100" w:line="460" w:lineRule="exact"/>
        <w:rPr>
          <w:rFonts w:ascii="宋体" w:hAnsi="宋体"/>
          <w:snapToGrid w:val="0"/>
          <w:color w:val="auto"/>
          <w:sz w:val="28"/>
          <w:szCs w:val="28"/>
          <w:highlight w:val="none"/>
        </w:rPr>
      </w:pPr>
      <w:bookmarkStart w:id="23" w:name="_Toc287620668"/>
      <w:bookmarkStart w:id="24" w:name="_Toc287607729"/>
      <w:bookmarkStart w:id="25" w:name="_Toc200359428"/>
      <w:bookmarkStart w:id="26" w:name="_Toc430530417"/>
      <w:bookmarkStart w:id="27" w:name="_Toc509218693"/>
      <w:bookmarkStart w:id="28" w:name="_Toc200359239"/>
      <w:bookmarkStart w:id="29" w:name="_Toc224103300"/>
      <w:bookmarkStart w:id="30" w:name="_Toc16344"/>
      <w:bookmarkStart w:id="31" w:name="_Toc22556"/>
      <w:bookmarkStart w:id="32" w:name="_Toc16930"/>
      <w:bookmarkStart w:id="33" w:name="_Toc27708253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3"/>
      <w:bookmarkEnd w:id="24"/>
      <w:bookmarkEnd w:id="25"/>
      <w:bookmarkEnd w:id="26"/>
      <w:bookmarkEnd w:id="27"/>
      <w:bookmarkEnd w:id="28"/>
      <w:bookmarkEnd w:id="29"/>
      <w:bookmarkEnd w:id="30"/>
      <w:bookmarkEnd w:id="31"/>
      <w:bookmarkEnd w:id="32"/>
      <w:bookmarkEnd w:id="33"/>
    </w:p>
    <w:p w14:paraId="4E42ADF3">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2.1 建设地点：</w:t>
      </w:r>
      <w:r>
        <w:rPr>
          <w:rFonts w:hint="eastAsia" w:ascii="宋体" w:hAnsi="宋体"/>
          <w:snapToGrid w:val="0"/>
          <w:color w:val="auto"/>
          <w:kern w:val="0"/>
          <w:szCs w:val="21"/>
          <w:highlight w:val="none"/>
          <w:u w:val="single"/>
          <w:lang w:val="en-US" w:eastAsia="zh-CN"/>
        </w:rPr>
        <w:t>经开区开成路、横六路</w:t>
      </w:r>
    </w:p>
    <w:p w14:paraId="5E863CE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2.2 项目概况与建设规模：</w:t>
      </w:r>
    </w:p>
    <w:p w14:paraId="3F695CFE">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lang w:val="en-US" w:eastAsia="zh-CN"/>
        </w:rPr>
        <w:t>开成路北段长约3.9公里（扣除斑竹林立交段），道路主体工程及交安工程于2018年底陆续完工，道路绿化及附属工程于2019年7月开工、2020年10月完工验收。百源大道（横六路东段）长约0.8公里，道路绿化及附属工程（电力沟等）于2019年5月完工、2021年5月质保期到期。</w:t>
      </w:r>
    </w:p>
    <w:p w14:paraId="532A7814">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eastAsia="宋体"/>
          <w:i w:val="0"/>
          <w:iCs w:val="0"/>
          <w:caps w:val="0"/>
          <w:color w:val="auto"/>
          <w:spacing w:val="0"/>
          <w:sz w:val="21"/>
          <w:szCs w:val="21"/>
          <w:lang w:eastAsia="zh-CN"/>
        </w:rPr>
      </w:pPr>
      <w:r>
        <w:rPr>
          <w:rFonts w:hint="eastAsia" w:ascii="宋体" w:hAnsi="宋体"/>
          <w:snapToGrid w:val="0"/>
          <w:color w:val="auto"/>
          <w:kern w:val="0"/>
          <w:szCs w:val="21"/>
          <w:highlight w:val="none"/>
          <w:u w:val="single"/>
          <w:lang w:val="en-US" w:eastAsia="zh-CN"/>
        </w:rPr>
        <w:t>随着广阳湾智创生态城建设发展提速，道路通行量陡增，基本的交安设施已不能满足现状通行要求，需要重新整改及补充完善。</w:t>
      </w:r>
    </w:p>
    <w:p w14:paraId="3D65DF4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246万</w:t>
      </w:r>
      <w:r>
        <w:rPr>
          <w:rFonts w:hint="eastAsia" w:ascii="宋体" w:hAnsi="宋体"/>
          <w:snapToGrid w:val="0"/>
          <w:color w:val="auto"/>
          <w:kern w:val="0"/>
          <w:szCs w:val="21"/>
          <w:highlight w:val="none"/>
          <w:u w:val="single"/>
        </w:rPr>
        <w:t>元</w:t>
      </w:r>
    </w:p>
    <w:p w14:paraId="6379308C">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u w:val="non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val="en-US" w:eastAsia="zh-CN"/>
        </w:rPr>
        <w:t xml:space="preserve">交安提升及绿化补栽工程等相关工程内容。交安提升包含交通标志、标线、突起路标、隔离墩、轮廓标、防撞护栏、信号灯、电子警察、不避让行人处理单元、违停抓拍、全景监控、照明工程、箱变等。绿化补栽包含香樟 、小叶榕 、帚桃 、天竺桂等 </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p w14:paraId="1DF19D3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90日历天（从中标通知书发出之日起算）。</w:t>
      </w:r>
    </w:p>
    <w:p w14:paraId="0FE42CAD">
      <w:pPr>
        <w:tabs>
          <w:tab w:val="left" w:pos="3840"/>
          <w:tab w:val="left" w:pos="5300"/>
        </w:tabs>
        <w:autoSpaceDE w:val="0"/>
        <w:autoSpaceDN w:val="0"/>
        <w:adjustRightInd w:val="0"/>
        <w:snapToGrid w:val="0"/>
        <w:spacing w:line="460" w:lineRule="exact"/>
        <w:ind w:firstLine="840" w:firstLineChars="4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 xml:space="preserve">2年 </w:t>
      </w:r>
    </w:p>
    <w:p w14:paraId="6CA65C1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14:paraId="3A35F26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14:paraId="466FBD41">
      <w:pPr>
        <w:pStyle w:val="3"/>
        <w:spacing w:before="100" w:after="100" w:line="460" w:lineRule="exact"/>
        <w:rPr>
          <w:rFonts w:ascii="宋体" w:hAnsi="宋体"/>
          <w:snapToGrid w:val="0"/>
          <w:sz w:val="28"/>
          <w:szCs w:val="28"/>
          <w:highlight w:val="none"/>
        </w:rPr>
      </w:pPr>
      <w:bookmarkStart w:id="34" w:name="_Toc430530418"/>
      <w:bookmarkStart w:id="35" w:name="_Toc5702"/>
      <w:bookmarkStart w:id="36" w:name="_Toc287620669"/>
      <w:bookmarkStart w:id="37" w:name="_Toc5240"/>
      <w:bookmarkStart w:id="38" w:name="_Toc224103301"/>
      <w:bookmarkStart w:id="39" w:name="_Toc287607730"/>
      <w:bookmarkStart w:id="40" w:name="_Toc19513"/>
      <w:bookmarkStart w:id="41" w:name="_Toc509218694"/>
      <w:bookmarkStart w:id="42" w:name="_Toc200359429"/>
      <w:bookmarkStart w:id="43" w:name="_Toc200359240"/>
      <w:bookmarkStart w:id="44" w:name="_Toc277082538"/>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竞选人</w:t>
      </w:r>
      <w:r>
        <w:rPr>
          <w:rFonts w:ascii="宋体" w:hAnsi="宋体"/>
          <w:snapToGrid w:val="0"/>
          <w:sz w:val="28"/>
          <w:szCs w:val="28"/>
          <w:highlight w:val="none"/>
        </w:rPr>
        <w:t>资格要求</w:t>
      </w:r>
      <w:bookmarkEnd w:id="34"/>
      <w:bookmarkEnd w:id="35"/>
      <w:bookmarkEnd w:id="36"/>
      <w:bookmarkEnd w:id="37"/>
      <w:bookmarkEnd w:id="38"/>
      <w:bookmarkEnd w:id="39"/>
      <w:bookmarkEnd w:id="40"/>
      <w:bookmarkEnd w:id="41"/>
      <w:bookmarkEnd w:id="42"/>
      <w:bookmarkEnd w:id="43"/>
      <w:bookmarkEnd w:id="44"/>
    </w:p>
    <w:p w14:paraId="3534701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lang w:eastAsia="zh-CN"/>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14:paraId="05A92EFF">
      <w:pPr>
        <w:spacing w:line="360" w:lineRule="auto"/>
        <w:ind w:firstLine="315" w:firstLineChars="150"/>
        <w:rPr>
          <w:rFonts w:hint="eastAsia" w:ascii="宋体" w:hAnsi="宋体"/>
          <w:strike w:val="0"/>
          <w:dstrike w:val="0"/>
          <w:color w:val="auto"/>
          <w:szCs w:val="21"/>
          <w:highlight w:val="none"/>
          <w:u w:val="single"/>
        </w:rPr>
      </w:pPr>
      <w:r>
        <w:rPr>
          <w:rFonts w:hint="eastAsia" w:ascii="宋体" w:hAnsi="宋体"/>
          <w:snapToGrid w:val="0"/>
          <w:kern w:val="0"/>
          <w:szCs w:val="21"/>
          <w:highlight w:val="none"/>
        </w:rPr>
        <w:t>3.1.1 本次招标要求</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具备的资质条件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具</w:t>
      </w:r>
      <w:r>
        <w:rPr>
          <w:rFonts w:hint="eastAsia" w:ascii="宋体" w:hAnsi="宋体"/>
          <w:snapToGrid w:val="0"/>
          <w:color w:val="auto"/>
          <w:kern w:val="0"/>
          <w:szCs w:val="21"/>
          <w:highlight w:val="none"/>
          <w:u w:val="single"/>
        </w:rPr>
        <w:t>备建设行政主管部门颁发的</w:t>
      </w:r>
      <w:r>
        <w:rPr>
          <w:rFonts w:hint="eastAsia" w:ascii="宋体" w:hAnsi="宋体"/>
          <w:snapToGrid w:val="0"/>
          <w:color w:val="auto"/>
          <w:kern w:val="0"/>
          <w:szCs w:val="21"/>
          <w:highlight w:val="none"/>
          <w:u w:val="single"/>
          <w:lang w:val="en-US" w:eastAsia="zh-CN"/>
        </w:rPr>
        <w:t>市政公用工程</w:t>
      </w:r>
      <w:r>
        <w:rPr>
          <w:rFonts w:hint="eastAsia" w:ascii="宋体" w:hAnsi="宋体"/>
          <w:snapToGrid w:val="0"/>
          <w:color w:val="auto"/>
          <w:kern w:val="0"/>
          <w:szCs w:val="21"/>
          <w:highlight w:val="none"/>
          <w:u w:val="single"/>
        </w:rPr>
        <w:t>施工总承包三级及以上资质</w:t>
      </w:r>
      <w:r>
        <w:rPr>
          <w:rFonts w:hint="eastAsia" w:ascii="宋体" w:hAnsi="宋体"/>
          <w:strike w:val="0"/>
          <w:dstrike w:val="0"/>
          <w:color w:val="auto"/>
          <w:szCs w:val="21"/>
          <w:highlight w:val="none"/>
          <w:u w:val="single"/>
        </w:rPr>
        <w:t>。</w:t>
      </w:r>
    </w:p>
    <w:p w14:paraId="4742F86E">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还应在人员、设备、资金等方面具有相应的施工能力，详见招标文件第二章</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须知前附表第1.4.1项内容。</w:t>
      </w:r>
    </w:p>
    <w:p w14:paraId="0063A7E6">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 xml:space="preserve">□接受 </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不接受</w:t>
      </w:r>
      <w:r>
        <w:rPr>
          <w:rFonts w:ascii="宋体" w:hAnsi="宋体"/>
          <w:snapToGrid w:val="0"/>
          <w:kern w:val="0"/>
          <w:szCs w:val="21"/>
          <w:highlight w:val="none"/>
        </w:rPr>
        <w:t>联合体投标。联合体投标的，应满足下列要求：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p>
    <w:p w14:paraId="2409D378">
      <w:pPr>
        <w:pStyle w:val="3"/>
        <w:spacing w:before="100" w:after="100" w:line="460" w:lineRule="exact"/>
        <w:rPr>
          <w:rFonts w:ascii="宋体" w:hAnsi="宋体"/>
          <w:snapToGrid w:val="0"/>
          <w:sz w:val="28"/>
          <w:szCs w:val="28"/>
          <w:highlight w:val="none"/>
        </w:rPr>
      </w:pPr>
      <w:bookmarkStart w:id="45" w:name="_Toc277082539"/>
      <w:bookmarkStart w:id="46" w:name="_Toc30806"/>
      <w:bookmarkStart w:id="47" w:name="_Toc287607731"/>
      <w:bookmarkStart w:id="48" w:name="_Toc430530419"/>
      <w:bookmarkStart w:id="49" w:name="_Toc13751"/>
      <w:bookmarkStart w:id="50" w:name="_Toc287620670"/>
      <w:bookmarkStart w:id="51" w:name="_Toc200359430"/>
      <w:bookmarkStart w:id="52" w:name="_Toc200359241"/>
      <w:bookmarkStart w:id="53" w:name="_Toc509218695"/>
      <w:bookmarkStart w:id="54" w:name="_Toc224103302"/>
      <w:bookmarkStart w:id="55" w:name="_Toc10508"/>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比选</w:t>
      </w:r>
      <w:r>
        <w:rPr>
          <w:rFonts w:ascii="宋体" w:hAnsi="宋体"/>
          <w:snapToGrid w:val="0"/>
          <w:sz w:val="28"/>
          <w:szCs w:val="28"/>
          <w:highlight w:val="none"/>
        </w:rPr>
        <w:t>文件的获取</w:t>
      </w:r>
      <w:bookmarkEnd w:id="45"/>
      <w:bookmarkEnd w:id="46"/>
      <w:bookmarkEnd w:id="47"/>
      <w:bookmarkEnd w:id="48"/>
      <w:bookmarkEnd w:id="49"/>
      <w:bookmarkEnd w:id="50"/>
      <w:bookmarkEnd w:id="51"/>
      <w:bookmarkEnd w:id="52"/>
      <w:bookmarkEnd w:id="53"/>
      <w:bookmarkEnd w:id="54"/>
      <w:bookmarkEnd w:id="55"/>
    </w:p>
    <w:p w14:paraId="1D090925">
      <w:pPr>
        <w:widowControl/>
        <w:spacing w:line="360" w:lineRule="auto"/>
        <w:ind w:firstLine="420" w:firstLineChars="200"/>
        <w:rPr>
          <w:rFonts w:cs="宋体" w:asciiTheme="minorEastAsia" w:hAnsiTheme="minorEastAsia" w:eastAsiaTheme="minorEastAsia"/>
          <w:kern w:val="0"/>
          <w:sz w:val="21"/>
          <w:szCs w:val="21"/>
        </w:rPr>
      </w:pPr>
      <w:bookmarkStart w:id="56" w:name="_Toc287607732"/>
      <w:bookmarkStart w:id="57" w:name="_Toc430530420"/>
      <w:bookmarkStart w:id="58" w:name="_Toc200359431"/>
      <w:bookmarkStart w:id="59" w:name="_Toc509218696"/>
      <w:bookmarkStart w:id="60" w:name="_Toc28449"/>
      <w:bookmarkStart w:id="61" w:name="_Toc287620671"/>
      <w:bookmarkStart w:id="62" w:name="_Toc277082540"/>
      <w:bookmarkStart w:id="63" w:name="_Toc224103303"/>
      <w:bookmarkStart w:id="64" w:name="_Toc200359242"/>
      <w:bookmarkStart w:id="65" w:name="_Toc3893"/>
      <w:r>
        <w:rPr>
          <w:rFonts w:hint="eastAsia" w:cs="宋体" w:asciiTheme="minorEastAsia" w:hAnsiTheme="minorEastAsia" w:eastAsiaTheme="minorEastAsia"/>
          <w:kern w:val="0"/>
          <w:sz w:val="21"/>
          <w:szCs w:val="21"/>
        </w:rPr>
        <w:t>4.1 凡有意参加投标者，请于公告发布之日起至至投标截止时间前，</w:t>
      </w:r>
      <w:r>
        <w:rPr>
          <w:rFonts w:hint="eastAsia" w:cs="宋体" w:asciiTheme="minorEastAsia" w:hAnsiTheme="minorEastAsia" w:eastAsiaTheme="minorEastAsia"/>
          <w:color w:val="auto"/>
          <w:kern w:val="0"/>
          <w:sz w:val="21"/>
          <w:szCs w:val="21"/>
        </w:rPr>
        <w:t xml:space="preserve">均可在行采家 (https://www.gec123.com/) </w:t>
      </w:r>
      <w:r>
        <w:rPr>
          <w:rFonts w:hint="eastAsia" w:cs="宋体" w:asciiTheme="minorEastAsia" w:hAnsiTheme="minorEastAsia" w:eastAsiaTheme="minorEastAsia"/>
          <w:color w:val="auto"/>
          <w:kern w:val="0"/>
          <w:sz w:val="21"/>
          <w:szCs w:val="21"/>
          <w:lang w:val="en-US" w:eastAsia="zh-CN"/>
        </w:rPr>
        <w:t>和</w:t>
      </w:r>
      <w:r>
        <w:rPr>
          <w:rFonts w:hint="eastAsia" w:cs="宋体" w:asciiTheme="minorEastAsia" w:hAnsiTheme="minorEastAsia" w:eastAsiaTheme="minorEastAsia"/>
          <w:color w:val="auto"/>
          <w:kern w:val="0"/>
          <w:sz w:val="21"/>
          <w:szCs w:val="21"/>
        </w:rPr>
        <w:t>重庆经开区投资集团官网（http://www.cetzig.com/）上下载本项目竞争性比选文件、答疑、补遗等开标</w:t>
      </w:r>
      <w:r>
        <w:rPr>
          <w:rFonts w:hint="eastAsia" w:cs="宋体" w:asciiTheme="minorEastAsia" w:hAnsiTheme="minorEastAsia" w:eastAsiaTheme="minorEastAsia"/>
          <w:kern w:val="0"/>
          <w:sz w:val="21"/>
          <w:szCs w:val="21"/>
        </w:rPr>
        <w:t>前公布的所有相关资料。在公告期间，各竞标人应随时关注网上发布的竞争性比选文件答疑、补遗、澄清等文件内容，不管竞标人下载与否都视为潜在投标人全部知晓有关招投标过程和全部内容。</w:t>
      </w:r>
    </w:p>
    <w:p w14:paraId="48CBB00F">
      <w:pPr>
        <w:pStyle w:val="3"/>
        <w:spacing w:before="100" w:after="100" w:line="460" w:lineRule="exact"/>
        <w:rPr>
          <w:rFonts w:ascii="宋体" w:hAnsi="宋体"/>
          <w:snapToGrid w:val="0"/>
          <w:sz w:val="28"/>
          <w:szCs w:val="28"/>
          <w:highlight w:val="none"/>
        </w:rPr>
      </w:pPr>
      <w:bookmarkStart w:id="66" w:name="_Toc22624"/>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竞选文件</w:t>
      </w:r>
      <w:r>
        <w:rPr>
          <w:rFonts w:ascii="宋体" w:hAnsi="宋体"/>
          <w:snapToGrid w:val="0"/>
          <w:sz w:val="28"/>
          <w:szCs w:val="28"/>
          <w:highlight w:val="none"/>
        </w:rPr>
        <w:t>的递交</w:t>
      </w:r>
      <w:bookmarkEnd w:id="56"/>
      <w:bookmarkEnd w:id="57"/>
      <w:bookmarkEnd w:id="58"/>
      <w:bookmarkEnd w:id="59"/>
      <w:bookmarkEnd w:id="60"/>
      <w:bookmarkEnd w:id="61"/>
      <w:bookmarkEnd w:id="62"/>
      <w:bookmarkEnd w:id="63"/>
      <w:bookmarkEnd w:id="64"/>
      <w:bookmarkEnd w:id="65"/>
      <w:bookmarkEnd w:id="66"/>
    </w:p>
    <w:p w14:paraId="737D7602">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6</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28</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分，地点为</w:t>
      </w:r>
      <w:r>
        <w:rPr>
          <w:rFonts w:hint="eastAsia" w:ascii="宋体" w:hAnsi="宋体"/>
          <w:snapToGrid w:val="0"/>
          <w:color w:val="auto"/>
          <w:kern w:val="0"/>
          <w:szCs w:val="21"/>
          <w:highlight w:val="none"/>
          <w:u w:val="single"/>
        </w:rPr>
        <w:t xml:space="preserve"> </w:t>
      </w:r>
      <w:bookmarkStart w:id="488" w:name="_GoBack"/>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15楼接待室</w:t>
      </w:r>
      <w:bookmarkEnd w:id="488"/>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15A03BB3">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14:paraId="0461860A">
      <w:pPr>
        <w:pStyle w:val="3"/>
        <w:spacing w:before="100" w:after="100" w:line="460" w:lineRule="exact"/>
        <w:rPr>
          <w:rFonts w:ascii="宋体" w:hAnsi="宋体"/>
          <w:snapToGrid w:val="0"/>
          <w:sz w:val="28"/>
          <w:szCs w:val="28"/>
          <w:highlight w:val="none"/>
        </w:rPr>
      </w:pPr>
      <w:bookmarkStart w:id="67" w:name="_Toc277082541"/>
      <w:bookmarkStart w:id="68" w:name="_Toc287607733"/>
      <w:bookmarkStart w:id="69" w:name="_Toc430530421"/>
      <w:bookmarkStart w:id="70" w:name="_Toc200359432"/>
      <w:bookmarkStart w:id="71" w:name="_Toc131"/>
      <w:bookmarkStart w:id="72" w:name="_Toc224103304"/>
      <w:bookmarkStart w:id="73" w:name="_Toc8166"/>
      <w:bookmarkStart w:id="74" w:name="_Toc509218697"/>
      <w:bookmarkStart w:id="75" w:name="_Toc19071"/>
      <w:bookmarkStart w:id="76" w:name="_Toc287620672"/>
      <w:bookmarkStart w:id="77" w:name="_Toc200359243"/>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7"/>
      <w:bookmarkEnd w:id="68"/>
      <w:bookmarkEnd w:id="69"/>
      <w:bookmarkEnd w:id="70"/>
      <w:bookmarkEnd w:id="71"/>
      <w:bookmarkEnd w:id="72"/>
      <w:bookmarkEnd w:id="73"/>
      <w:bookmarkEnd w:id="74"/>
      <w:bookmarkEnd w:id="75"/>
      <w:bookmarkEnd w:id="76"/>
      <w:bookmarkEnd w:id="77"/>
    </w:p>
    <w:p w14:paraId="7CFD9B34">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 w:val="21"/>
          <w:szCs w:val="21"/>
        </w:rPr>
        <w:t>本次比选公告在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重庆经开区投资集团官网（http://www.cetzig.com/）上发布。</w:t>
      </w:r>
    </w:p>
    <w:p w14:paraId="3195426E">
      <w:pPr>
        <w:pStyle w:val="3"/>
        <w:spacing w:before="100" w:after="100" w:line="460" w:lineRule="exact"/>
        <w:rPr>
          <w:rFonts w:ascii="宋体" w:hAnsi="宋体"/>
          <w:snapToGrid w:val="0"/>
          <w:sz w:val="28"/>
          <w:szCs w:val="28"/>
          <w:highlight w:val="none"/>
        </w:rPr>
      </w:pPr>
      <w:bookmarkStart w:id="78" w:name="_Toc31352"/>
      <w:bookmarkStart w:id="79" w:name="_Toc14240"/>
      <w:bookmarkStart w:id="80" w:name="_Toc769"/>
      <w:bookmarkStart w:id="81" w:name="_Toc277082542"/>
      <w:bookmarkStart w:id="82" w:name="_Toc287620673"/>
      <w:bookmarkStart w:id="83" w:name="_Toc287607734"/>
      <w:bookmarkStart w:id="84" w:name="_Toc24195"/>
      <w:bookmarkStart w:id="85" w:name="_Toc430530422"/>
      <w:bookmarkStart w:id="86" w:name="_Toc224103305"/>
      <w:bookmarkStart w:id="87" w:name="_Toc509218698"/>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78"/>
      <w:bookmarkEnd w:id="79"/>
      <w:bookmarkStart w:id="88" w:name="_Toc589"/>
      <w:r>
        <w:rPr>
          <w:rFonts w:ascii="宋体" w:hAnsi="宋体"/>
          <w:snapToGrid w:val="0"/>
          <w:sz w:val="28"/>
          <w:szCs w:val="28"/>
          <w:highlight w:val="none"/>
        </w:rPr>
        <w:t>联系方式</w:t>
      </w:r>
      <w:bookmarkEnd w:id="80"/>
      <w:bookmarkEnd w:id="81"/>
      <w:bookmarkEnd w:id="82"/>
      <w:bookmarkEnd w:id="83"/>
      <w:bookmarkEnd w:id="84"/>
      <w:bookmarkEnd w:id="85"/>
      <w:bookmarkEnd w:id="86"/>
      <w:bookmarkEnd w:id="87"/>
      <w:bookmarkEnd w:id="88"/>
    </w:p>
    <w:p w14:paraId="359B83E3">
      <w:pPr>
        <w:spacing w:line="360" w:lineRule="auto"/>
        <w:ind w:firstLine="420" w:firstLineChars="200"/>
        <w:rPr>
          <w:rFonts w:hint="default" w:cs="宋体" w:asciiTheme="minorEastAsia" w:hAnsiTheme="minorEastAsia" w:eastAsiaTheme="minorEastAsia"/>
          <w:kern w:val="0"/>
          <w:sz w:val="21"/>
          <w:szCs w:val="21"/>
          <w:lang w:val="en-US" w:eastAsia="zh-CN"/>
        </w:rPr>
      </w:pPr>
      <w:bookmarkStart w:id="89" w:name="_Toc430530432"/>
      <w:bookmarkStart w:id="90" w:name="_Toc32148"/>
      <w:bookmarkStart w:id="91" w:name="_Toc224103315"/>
      <w:bookmarkStart w:id="92" w:name="_Toc287607744"/>
      <w:bookmarkStart w:id="93" w:name="_Toc287620683"/>
      <w:r>
        <w:rPr>
          <w:rFonts w:hint="eastAsia" w:cs="宋体" w:asciiTheme="minorEastAsia" w:hAnsiTheme="minorEastAsia" w:eastAsiaTheme="minorEastAsia"/>
          <w:kern w:val="0"/>
          <w:sz w:val="21"/>
          <w:szCs w:val="21"/>
        </w:rPr>
        <w:t>比选人：</w:t>
      </w:r>
      <w:r>
        <w:rPr>
          <w:rFonts w:hint="eastAsia" w:cs="宋体" w:asciiTheme="minorEastAsia" w:hAnsiTheme="minorEastAsia" w:eastAsiaTheme="minorEastAsia"/>
          <w:kern w:val="0"/>
          <w:sz w:val="21"/>
          <w:szCs w:val="21"/>
          <w:lang w:val="en-US" w:eastAsia="zh-CN"/>
        </w:rPr>
        <w:t>重庆经开区开发建设有限公司</w:t>
      </w:r>
    </w:p>
    <w:p w14:paraId="1B452D15">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联系人： </w:t>
      </w:r>
      <w:r>
        <w:rPr>
          <w:rFonts w:hint="eastAsia" w:ascii="宋体" w:hAnsi="宋体" w:cs="宋体"/>
          <w:kern w:val="0"/>
          <w:sz w:val="21"/>
          <w:szCs w:val="21"/>
        </w:rPr>
        <w:t>张老师</w:t>
      </w:r>
    </w:p>
    <w:p w14:paraId="391447F2">
      <w:pPr>
        <w:spacing w:line="360" w:lineRule="auto"/>
        <w:ind w:firstLine="420" w:firstLineChars="2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rPr>
        <w:t>电  话：</w:t>
      </w:r>
      <w:r>
        <w:rPr>
          <w:rFonts w:hint="eastAsia" w:ascii="宋体" w:hAnsi="宋体" w:cs="宋体"/>
          <w:kern w:val="0"/>
          <w:sz w:val="21"/>
          <w:szCs w:val="21"/>
        </w:rPr>
        <w:t>13883283726</w:t>
      </w:r>
    </w:p>
    <w:p w14:paraId="6EAD53D0">
      <w:pPr>
        <w:spacing w:line="360" w:lineRule="auto"/>
        <w:ind w:firstLine="420" w:firstLineChars="200"/>
        <w:rPr>
          <w:rFonts w:hint="eastAsia" w:ascii="宋体" w:hAnsi="宋体" w:cs="宋体"/>
          <w:sz w:val="21"/>
          <w:szCs w:val="21"/>
          <w:lang w:bidi="en-US"/>
        </w:rPr>
      </w:pPr>
      <w:r>
        <w:rPr>
          <w:rFonts w:hint="eastAsia" w:cs="宋体" w:asciiTheme="minorEastAsia" w:hAnsiTheme="minorEastAsia" w:eastAsiaTheme="minorEastAsia"/>
          <w:kern w:val="0"/>
          <w:sz w:val="21"/>
          <w:szCs w:val="21"/>
        </w:rPr>
        <w:t>地  址：</w:t>
      </w:r>
      <w:r>
        <w:rPr>
          <w:rFonts w:hint="eastAsia" w:ascii="宋体" w:hAnsi="宋体" w:cs="宋体"/>
          <w:sz w:val="21"/>
          <w:szCs w:val="21"/>
          <w:lang w:bidi="en-US"/>
        </w:rPr>
        <w:t>重庆市南岸区茶园江桥路一号附1号</w:t>
      </w:r>
    </w:p>
    <w:p w14:paraId="59F60E8E">
      <w:pPr>
        <w:pStyle w:val="17"/>
        <w:rPr>
          <w:rFonts w:ascii="宋体" w:hAnsi="宋体"/>
          <w:snapToGrid w:val="0"/>
          <w:color w:val="auto"/>
          <w:kern w:val="0"/>
          <w:szCs w:val="21"/>
          <w:highlight w:val="none"/>
          <w:u w:val="single"/>
        </w:rPr>
      </w:pPr>
      <w:r>
        <w:rPr>
          <w:rFonts w:hint="eastAsia"/>
          <w:lang w:val="en-US" w:eastAsia="zh-CN"/>
        </w:rPr>
        <w:t xml:space="preserve">    邮  箱：50417679@qq.com</w:t>
      </w:r>
    </w:p>
    <w:p w14:paraId="6E335F14">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75363291">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6</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20</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3338C18D">
      <w:pPr>
        <w:pStyle w:val="2"/>
        <w:spacing w:before="0" w:after="0" w:line="200" w:lineRule="exact"/>
        <w:jc w:val="center"/>
        <w:outlineLvl w:val="9"/>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655D8651">
      <w:pPr>
        <w:pStyle w:val="2"/>
        <w:spacing w:line="360" w:lineRule="auto"/>
        <w:jc w:val="center"/>
        <w:rPr>
          <w:rFonts w:ascii="宋体" w:hAnsi="宋体"/>
          <w:bCs w:val="0"/>
          <w:snapToGrid w:val="0"/>
          <w:kern w:val="0"/>
          <w:highlight w:val="none"/>
        </w:rPr>
      </w:pPr>
      <w:bookmarkStart w:id="94" w:name="_Toc29623"/>
      <w:bookmarkStart w:id="95" w:name="_Toc5447"/>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bookmarkEnd w:id="89"/>
      <w:bookmarkEnd w:id="90"/>
      <w:bookmarkEnd w:id="91"/>
      <w:bookmarkEnd w:id="92"/>
      <w:bookmarkEnd w:id="93"/>
      <w:bookmarkEnd w:id="94"/>
      <w:bookmarkEnd w:id="95"/>
      <w:bookmarkStart w:id="96" w:name="_Toc287607745"/>
      <w:bookmarkStart w:id="97" w:name="_Toc430530433"/>
      <w:bookmarkStart w:id="98" w:name="_Toc277082551"/>
      <w:bookmarkStart w:id="99" w:name="_Toc287620684"/>
      <w:bookmarkStart w:id="100" w:name="_Toc224103316"/>
    </w:p>
    <w:p w14:paraId="24DE4C5B">
      <w:pPr>
        <w:pStyle w:val="3"/>
        <w:spacing w:before="100" w:after="100" w:line="360" w:lineRule="auto"/>
        <w:rPr>
          <w:rFonts w:ascii="宋体" w:hAnsi="宋体"/>
          <w:highlight w:val="none"/>
        </w:rPr>
      </w:pPr>
      <w:bookmarkStart w:id="101" w:name="_Toc20275"/>
      <w:bookmarkStart w:id="102" w:name="_Toc509218708"/>
      <w:bookmarkStart w:id="103" w:name="_Toc8005"/>
      <w:bookmarkStart w:id="104" w:name="_Toc31303"/>
      <w:r>
        <w:rPr>
          <w:rFonts w:hint="eastAsia" w:ascii="宋体" w:hAnsi="宋体"/>
          <w:highlight w:val="none"/>
          <w:lang w:eastAsia="zh-CN"/>
        </w:rPr>
        <w:t>竞选人</w:t>
      </w:r>
      <w:r>
        <w:rPr>
          <w:rFonts w:hint="eastAsia" w:ascii="宋体" w:hAnsi="宋体"/>
          <w:highlight w:val="none"/>
        </w:rPr>
        <w:t>须知前附表</w:t>
      </w:r>
      <w:bookmarkEnd w:id="96"/>
      <w:bookmarkEnd w:id="97"/>
      <w:bookmarkEnd w:id="98"/>
      <w:bookmarkEnd w:id="99"/>
      <w:bookmarkEnd w:id="100"/>
      <w:bookmarkEnd w:id="101"/>
      <w:bookmarkEnd w:id="102"/>
      <w:bookmarkEnd w:id="103"/>
      <w:bookmarkEnd w:id="104"/>
    </w:p>
    <w:p w14:paraId="7D6EEB81">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lang w:eastAsia="zh-CN"/>
        </w:rPr>
        <w:t>竞选人</w:t>
      </w:r>
      <w:r>
        <w:rPr>
          <w:rFonts w:ascii="宋体" w:hAnsi="宋体"/>
          <w:szCs w:val="21"/>
          <w:highlight w:val="none"/>
        </w:rPr>
        <w:t>须知前附表与正文不一致的地方，以</w:t>
      </w:r>
      <w:r>
        <w:rPr>
          <w:rFonts w:hint="eastAsia" w:ascii="宋体" w:hAnsi="宋体"/>
          <w:szCs w:val="21"/>
          <w:highlight w:val="none"/>
          <w:lang w:eastAsia="zh-CN"/>
        </w:rPr>
        <w:t>竞选人</w:t>
      </w:r>
      <w:r>
        <w:rPr>
          <w:rFonts w:ascii="宋体" w:hAnsi="宋体"/>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38211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2BC1399C">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14:paraId="72227D32">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14:paraId="4E722777">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14:paraId="0EAC2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A05CC7">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14:paraId="387DD3BF">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比选人</w:t>
            </w:r>
          </w:p>
        </w:tc>
        <w:tc>
          <w:tcPr>
            <w:tcW w:w="6490" w:type="dxa"/>
            <w:vAlign w:val="center"/>
          </w:tcPr>
          <w:p w14:paraId="3C2EAE2E">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称</w:t>
            </w:r>
            <w:r>
              <w:rPr>
                <w:rFonts w:hint="eastAsia" w:ascii="宋体" w:hAnsi="宋体" w:eastAsia="宋体" w:cs="宋体"/>
                <w:color w:val="auto"/>
                <w:szCs w:val="21"/>
                <w:highlight w:val="none"/>
              </w:rPr>
              <w:t>：</w:t>
            </w:r>
            <w:r>
              <w:rPr>
                <w:rFonts w:hint="eastAsia" w:cs="宋体" w:asciiTheme="minorEastAsia" w:hAnsiTheme="minorEastAsia" w:eastAsiaTheme="minorEastAsia"/>
                <w:kern w:val="0"/>
                <w:sz w:val="21"/>
                <w:szCs w:val="21"/>
                <w:lang w:val="en-US" w:eastAsia="zh-CN"/>
              </w:rPr>
              <w:t>重庆经开区开发建设有限公司</w:t>
            </w:r>
          </w:p>
          <w:p w14:paraId="55DEFBA6">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址：重庆市南岸区江桥路一号附1号</w:t>
            </w:r>
          </w:p>
          <w:p w14:paraId="0D5D488F">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val="en-US" w:eastAsia="zh-CN"/>
              </w:rPr>
              <w:t>张</w:t>
            </w:r>
            <w:r>
              <w:rPr>
                <w:rFonts w:hint="eastAsia" w:ascii="宋体" w:hAnsi="宋体" w:eastAsia="宋体" w:cs="宋体"/>
                <w:color w:val="auto"/>
                <w:szCs w:val="21"/>
                <w:highlight w:val="none"/>
              </w:rPr>
              <w:t xml:space="preserve">老师 </w:t>
            </w:r>
          </w:p>
          <w:p w14:paraId="71A6B610">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话 ：</w:t>
            </w:r>
            <w:r>
              <w:rPr>
                <w:rFonts w:hint="eastAsia" w:ascii="宋体" w:hAnsi="宋体" w:cs="宋体"/>
                <w:color w:val="auto"/>
                <w:szCs w:val="21"/>
                <w:highlight w:val="none"/>
                <w:lang w:val="en-US" w:eastAsia="zh-CN"/>
              </w:rPr>
              <w:t>13883283726</w:t>
            </w:r>
            <w:r>
              <w:rPr>
                <w:rFonts w:hint="eastAsia" w:ascii="宋体" w:hAnsi="宋体" w:eastAsia="宋体" w:cs="宋体"/>
                <w:color w:val="auto"/>
                <w:szCs w:val="21"/>
                <w:highlight w:val="none"/>
              </w:rPr>
              <w:t xml:space="preserve"> </w:t>
            </w:r>
          </w:p>
          <w:p w14:paraId="40E80BB8">
            <w:pPr>
              <w:pStyle w:val="17"/>
            </w:pPr>
            <w:r>
              <w:rPr>
                <w:rFonts w:hint="eastAsia"/>
                <w:lang w:val="en-US" w:eastAsia="zh-CN"/>
              </w:rPr>
              <w:t xml:space="preserve">  邮  箱：50417679@qq.com</w:t>
            </w:r>
          </w:p>
        </w:tc>
      </w:tr>
      <w:tr w14:paraId="119F9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1AAA97">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14:paraId="3928F19E">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14:paraId="0C6ADEDE">
            <w:pPr>
              <w:snapToGrid w:val="0"/>
              <w:spacing w:line="400" w:lineRule="exact"/>
              <w:ind w:firstLine="210" w:firstLineChars="100"/>
              <w:jc w:val="left"/>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开成路、横六路道路交安提升及绿化补栽工程</w:t>
            </w:r>
          </w:p>
        </w:tc>
      </w:tr>
      <w:tr w14:paraId="7EF6B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A862ED">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14:paraId="7BF45F13">
            <w:pPr>
              <w:snapToGrid w:val="0"/>
              <w:spacing w:line="400" w:lineRule="exact"/>
              <w:jc w:val="center"/>
              <w:rPr>
                <w:rFonts w:ascii="宋体" w:hAnsi="宋体"/>
                <w:kern w:val="0"/>
                <w:szCs w:val="21"/>
                <w:highlight w:val="none"/>
              </w:rPr>
            </w:pPr>
            <w:r>
              <w:rPr>
                <w:rFonts w:ascii="宋体" w:hAnsi="宋体"/>
                <w:kern w:val="0"/>
                <w:szCs w:val="21"/>
                <w:highlight w:val="none"/>
              </w:rPr>
              <w:t>建设地点</w:t>
            </w:r>
          </w:p>
        </w:tc>
        <w:tc>
          <w:tcPr>
            <w:tcW w:w="6490" w:type="dxa"/>
            <w:vAlign w:val="center"/>
          </w:tcPr>
          <w:p w14:paraId="4772FF4D">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rPr>
              <w:t>经开区开成路、横六路</w:t>
            </w:r>
          </w:p>
        </w:tc>
      </w:tr>
      <w:tr w14:paraId="2CE32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307186">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14:paraId="0C979021">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490" w:type="dxa"/>
            <w:vAlign w:val="center"/>
          </w:tcPr>
          <w:p w14:paraId="1DE40CC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lang w:val="en-US" w:eastAsia="zh-CN"/>
              </w:rPr>
              <w:t>开成路北段长约3.9公里（扣除斑竹林立交段），道路主体工程及交安工程于2018年底陆续完工，道路绿化及附属工程于2019年7月开工、2020年10月完工验收。百源大道（横六路东段）长约0.8公里，道路绿化及附属工程（电力沟等）于2019年5月完工、2021年5月质保期到期。</w:t>
            </w:r>
          </w:p>
          <w:p w14:paraId="33E8A0B1">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i/>
                <w:snapToGrid w:val="0"/>
                <w:color w:val="auto"/>
                <w:kern w:val="0"/>
                <w:szCs w:val="21"/>
                <w:highlight w:val="none"/>
                <w:lang w:val="en-US"/>
              </w:rPr>
            </w:pPr>
            <w:r>
              <w:rPr>
                <w:rFonts w:hint="eastAsia" w:ascii="宋体" w:hAnsi="宋体"/>
                <w:snapToGrid w:val="0"/>
                <w:color w:val="auto"/>
                <w:kern w:val="0"/>
                <w:szCs w:val="21"/>
                <w:highlight w:val="none"/>
                <w:u w:val="single"/>
                <w:lang w:val="en-US" w:eastAsia="zh-CN"/>
              </w:rPr>
              <w:t>随着广阳湾智创生态城建设发展提速，道路通行量陡增，基本的交安设施已不能满足现状通行要求，需要重新整改及补充完善。</w:t>
            </w:r>
          </w:p>
        </w:tc>
      </w:tr>
      <w:tr w14:paraId="76383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514F5B">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14:paraId="0EB0F034">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14:paraId="2600ECE6">
            <w:pPr>
              <w:snapToGrid w:val="0"/>
              <w:spacing w:line="400" w:lineRule="exact"/>
              <w:ind w:firstLine="210" w:firstLineChars="1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14:paraId="3EA0D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1B9DDB">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14:paraId="321B19F2">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14:paraId="73E32997">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100%</w:t>
            </w:r>
          </w:p>
        </w:tc>
      </w:tr>
      <w:tr w14:paraId="46FDB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56FD7B">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14:paraId="0201308C">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14:paraId="2993714A">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已落实</w:t>
            </w:r>
          </w:p>
        </w:tc>
      </w:tr>
      <w:tr w14:paraId="538B6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FDADF5">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14:paraId="4BE19B66">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比选</w:t>
            </w:r>
            <w:r>
              <w:rPr>
                <w:rFonts w:ascii="宋体" w:hAnsi="宋体"/>
                <w:kern w:val="0"/>
                <w:szCs w:val="21"/>
                <w:highlight w:val="none"/>
              </w:rPr>
              <w:t>范围</w:t>
            </w:r>
          </w:p>
        </w:tc>
        <w:tc>
          <w:tcPr>
            <w:tcW w:w="6490" w:type="dxa"/>
            <w:vAlign w:val="center"/>
          </w:tcPr>
          <w:p w14:paraId="57CC4431">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i/>
                <w:color w:val="auto"/>
                <w:szCs w:val="21"/>
                <w:highlight w:val="none"/>
              </w:rPr>
            </w:pPr>
            <w:r>
              <w:rPr>
                <w:rFonts w:hint="eastAsia" w:ascii="宋体" w:hAnsi="宋体"/>
                <w:snapToGrid w:val="0"/>
                <w:color w:val="auto"/>
                <w:kern w:val="0"/>
                <w:szCs w:val="21"/>
                <w:highlight w:val="none"/>
                <w:u w:val="single"/>
                <w:lang w:val="en-US" w:eastAsia="zh-CN"/>
              </w:rPr>
              <w:t xml:space="preserve">交安提升及绿化补栽工程等相关工程内容。交安提升包含交通标志、标线、突起路标、隔离墩、轮廓标、防撞护栏、信号灯、电子警察、不避让行人处理单元、违停抓拍、全景监控、照明工程、箱变等。绿化补栽包含香樟 、小叶榕 、帚桃 、天竺桂等 </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tc>
      </w:tr>
      <w:tr w14:paraId="2D45C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EAC2D6">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14:paraId="7A955106">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p w14:paraId="0BCBDBBD">
            <w:pPr>
              <w:snapToGrid w:val="0"/>
              <w:spacing w:line="400" w:lineRule="exact"/>
              <w:jc w:val="center"/>
              <w:rPr>
                <w:rFonts w:ascii="宋体" w:hAnsi="宋体"/>
                <w:kern w:val="0"/>
                <w:szCs w:val="21"/>
                <w:highlight w:val="none"/>
              </w:rPr>
            </w:pPr>
            <w:r>
              <w:rPr>
                <w:rFonts w:hint="eastAsia" w:ascii="宋体" w:hAnsi="宋体"/>
                <w:kern w:val="0"/>
                <w:szCs w:val="21"/>
                <w:highlight w:val="none"/>
              </w:rPr>
              <w:t>缺陷责任期</w:t>
            </w:r>
          </w:p>
        </w:tc>
        <w:tc>
          <w:tcPr>
            <w:tcW w:w="6490" w:type="dxa"/>
            <w:vAlign w:val="center"/>
          </w:tcPr>
          <w:p w14:paraId="437F828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u w:val="single"/>
                <w:lang w:val="en-US" w:eastAsia="zh-CN"/>
              </w:rPr>
              <w:t>90日历天（从中标通知书发出之日起算）。</w:t>
            </w:r>
          </w:p>
          <w:p w14:paraId="409262AF">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highlight w:val="none"/>
              </w:rPr>
            </w:pPr>
            <w:r>
              <w:rPr>
                <w:rFonts w:hint="eastAsia" w:ascii="宋体" w:hAnsi="宋体"/>
                <w:snapToGrid w:val="0"/>
                <w:color w:val="auto"/>
                <w:kern w:val="0"/>
                <w:szCs w:val="21"/>
              </w:rPr>
              <w:t>缺陷责任期要求：</w:t>
            </w:r>
            <w:r>
              <w:rPr>
                <w:rFonts w:hint="eastAsia" w:ascii="宋体" w:hAnsi="宋体"/>
                <w:snapToGrid w:val="0"/>
                <w:color w:val="auto"/>
                <w:kern w:val="0"/>
                <w:szCs w:val="21"/>
                <w:u w:val="single"/>
                <w:lang w:val="en-US" w:eastAsia="zh-CN"/>
              </w:rPr>
              <w:t xml:space="preserve">2年 </w:t>
            </w:r>
          </w:p>
        </w:tc>
      </w:tr>
      <w:tr w14:paraId="6B8CB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5C8751">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14:paraId="08B59D4F">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14:paraId="13745E92">
            <w:pPr>
              <w:snapToGrid w:val="0"/>
              <w:spacing w:line="400" w:lineRule="exact"/>
              <w:ind w:firstLine="420" w:firstLineChars="200"/>
              <w:rPr>
                <w:rFonts w:ascii="宋体" w:hAnsi="宋体"/>
                <w:szCs w:val="21"/>
                <w:highlight w:val="none"/>
              </w:rPr>
            </w:pPr>
            <w:r>
              <w:rPr>
                <w:rFonts w:hint="eastAsia" w:ascii="宋体" w:hAnsi="宋体"/>
                <w:szCs w:val="21"/>
                <w:highlight w:val="none"/>
              </w:rPr>
              <w:t>符合强制性质量标准，</w:t>
            </w:r>
            <w:r>
              <w:rPr>
                <w:rFonts w:hint="eastAsia" w:ascii="宋体" w:hAnsi="宋体"/>
                <w:szCs w:val="21"/>
                <w:highlight w:val="none"/>
                <w:u w:val="single"/>
              </w:rPr>
              <w:t>符合</w:t>
            </w:r>
            <w:r>
              <w:rPr>
                <w:rFonts w:ascii="宋体" w:hAnsi="宋体"/>
                <w:szCs w:val="21"/>
                <w:highlight w:val="none"/>
                <w:u w:val="single"/>
              </w:rPr>
              <w:t>国家和重庆市现行有关施工质量验收规范要求，并达到合格标准</w:t>
            </w:r>
            <w:r>
              <w:rPr>
                <w:rFonts w:ascii="宋体" w:hAnsi="宋体"/>
                <w:szCs w:val="21"/>
                <w:highlight w:val="none"/>
              </w:rPr>
              <w:t>。</w:t>
            </w:r>
          </w:p>
        </w:tc>
      </w:tr>
      <w:tr w14:paraId="5BBA2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35" w:type="dxa"/>
            <w:vAlign w:val="center"/>
          </w:tcPr>
          <w:p w14:paraId="5E3892F7">
            <w:pPr>
              <w:snapToGrid w:val="0"/>
              <w:spacing w:line="400" w:lineRule="exact"/>
              <w:jc w:val="center"/>
              <w:rPr>
                <w:rFonts w:ascii="宋体" w:hAnsi="宋体"/>
                <w:kern w:val="0"/>
                <w:szCs w:val="21"/>
                <w:highlight w:val="none"/>
              </w:rPr>
            </w:pPr>
          </w:p>
          <w:p w14:paraId="607D1A2C">
            <w:pPr>
              <w:snapToGrid w:val="0"/>
              <w:spacing w:line="400" w:lineRule="exact"/>
              <w:jc w:val="center"/>
              <w:rPr>
                <w:rFonts w:ascii="宋体" w:hAnsi="宋体"/>
                <w:kern w:val="0"/>
                <w:szCs w:val="21"/>
                <w:highlight w:val="none"/>
              </w:rPr>
            </w:pPr>
          </w:p>
          <w:p w14:paraId="296FAFB9">
            <w:pPr>
              <w:snapToGrid w:val="0"/>
              <w:spacing w:line="400" w:lineRule="exact"/>
              <w:jc w:val="center"/>
              <w:rPr>
                <w:rFonts w:ascii="宋体" w:hAnsi="宋体"/>
                <w:kern w:val="0"/>
                <w:szCs w:val="21"/>
                <w:highlight w:val="none"/>
              </w:rPr>
            </w:pPr>
          </w:p>
          <w:p w14:paraId="094689B3">
            <w:pPr>
              <w:snapToGrid w:val="0"/>
              <w:spacing w:line="400" w:lineRule="exact"/>
              <w:jc w:val="center"/>
              <w:rPr>
                <w:rFonts w:ascii="宋体" w:hAnsi="宋体"/>
                <w:kern w:val="0"/>
                <w:szCs w:val="21"/>
                <w:highlight w:val="none"/>
              </w:rPr>
            </w:pPr>
          </w:p>
          <w:p w14:paraId="66664CED">
            <w:pPr>
              <w:snapToGrid w:val="0"/>
              <w:spacing w:line="400" w:lineRule="exact"/>
              <w:jc w:val="center"/>
              <w:rPr>
                <w:rFonts w:ascii="宋体" w:hAnsi="宋体"/>
                <w:kern w:val="0"/>
                <w:szCs w:val="21"/>
                <w:highlight w:val="none"/>
              </w:rPr>
            </w:pPr>
          </w:p>
          <w:p w14:paraId="6157C854">
            <w:pPr>
              <w:snapToGrid w:val="0"/>
              <w:spacing w:line="400" w:lineRule="exact"/>
              <w:jc w:val="center"/>
              <w:rPr>
                <w:rFonts w:ascii="宋体" w:hAnsi="宋体"/>
                <w:kern w:val="0"/>
                <w:szCs w:val="21"/>
                <w:highlight w:val="none"/>
              </w:rPr>
            </w:pPr>
          </w:p>
          <w:p w14:paraId="5A5F1CEA">
            <w:pPr>
              <w:snapToGrid w:val="0"/>
              <w:spacing w:line="400" w:lineRule="exact"/>
              <w:jc w:val="center"/>
              <w:rPr>
                <w:rFonts w:ascii="宋体" w:hAnsi="宋体"/>
                <w:kern w:val="0"/>
                <w:szCs w:val="21"/>
                <w:highlight w:val="none"/>
              </w:rPr>
            </w:pPr>
          </w:p>
          <w:p w14:paraId="716C3AD4">
            <w:pPr>
              <w:snapToGrid w:val="0"/>
              <w:spacing w:line="400" w:lineRule="exact"/>
              <w:jc w:val="center"/>
              <w:rPr>
                <w:rFonts w:ascii="宋体" w:hAnsi="宋体"/>
                <w:kern w:val="0"/>
                <w:szCs w:val="21"/>
                <w:highlight w:val="none"/>
              </w:rPr>
            </w:pPr>
          </w:p>
          <w:p w14:paraId="0F7594EA">
            <w:pPr>
              <w:snapToGrid w:val="0"/>
              <w:spacing w:line="400" w:lineRule="exact"/>
              <w:jc w:val="center"/>
              <w:rPr>
                <w:rFonts w:ascii="宋体" w:hAnsi="宋体"/>
                <w:kern w:val="0"/>
                <w:szCs w:val="21"/>
                <w:highlight w:val="none"/>
              </w:rPr>
            </w:pPr>
          </w:p>
          <w:p w14:paraId="422C7C77">
            <w:pPr>
              <w:snapToGrid w:val="0"/>
              <w:spacing w:line="400" w:lineRule="exact"/>
              <w:jc w:val="center"/>
              <w:rPr>
                <w:rFonts w:ascii="宋体" w:hAnsi="宋体"/>
                <w:kern w:val="0"/>
                <w:szCs w:val="21"/>
                <w:highlight w:val="none"/>
              </w:rPr>
            </w:pPr>
          </w:p>
          <w:p w14:paraId="6E1C2281">
            <w:pPr>
              <w:snapToGrid w:val="0"/>
              <w:spacing w:line="400" w:lineRule="exact"/>
              <w:jc w:val="center"/>
              <w:rPr>
                <w:rFonts w:ascii="宋体" w:hAnsi="宋体"/>
                <w:kern w:val="0"/>
                <w:szCs w:val="21"/>
                <w:highlight w:val="none"/>
              </w:rPr>
            </w:pPr>
          </w:p>
          <w:p w14:paraId="5E1A5726">
            <w:pPr>
              <w:snapToGrid w:val="0"/>
              <w:spacing w:line="400" w:lineRule="exact"/>
              <w:jc w:val="center"/>
              <w:rPr>
                <w:rFonts w:ascii="宋体" w:hAnsi="宋体"/>
                <w:kern w:val="0"/>
                <w:szCs w:val="21"/>
                <w:highlight w:val="none"/>
              </w:rPr>
            </w:pPr>
          </w:p>
          <w:p w14:paraId="7A8D6092">
            <w:pPr>
              <w:snapToGrid w:val="0"/>
              <w:spacing w:line="400" w:lineRule="exact"/>
              <w:jc w:val="center"/>
              <w:rPr>
                <w:rFonts w:ascii="宋体" w:hAnsi="宋体"/>
                <w:kern w:val="0"/>
                <w:szCs w:val="21"/>
                <w:highlight w:val="none"/>
              </w:rPr>
            </w:pPr>
          </w:p>
          <w:p w14:paraId="6AEABA6E">
            <w:pPr>
              <w:snapToGrid w:val="0"/>
              <w:spacing w:line="400" w:lineRule="exact"/>
              <w:jc w:val="center"/>
              <w:rPr>
                <w:rFonts w:ascii="宋体" w:hAnsi="宋体"/>
                <w:kern w:val="0"/>
                <w:szCs w:val="21"/>
                <w:highlight w:val="none"/>
              </w:rPr>
            </w:pPr>
          </w:p>
          <w:p w14:paraId="19401C2E">
            <w:pPr>
              <w:snapToGrid w:val="0"/>
              <w:spacing w:line="400" w:lineRule="exact"/>
              <w:jc w:val="center"/>
              <w:rPr>
                <w:rFonts w:ascii="宋体" w:hAnsi="宋体"/>
                <w:kern w:val="0"/>
                <w:szCs w:val="21"/>
                <w:highlight w:val="none"/>
              </w:rPr>
            </w:pPr>
          </w:p>
          <w:p w14:paraId="13CDC1C8">
            <w:pPr>
              <w:snapToGrid w:val="0"/>
              <w:spacing w:line="400" w:lineRule="exact"/>
              <w:jc w:val="center"/>
              <w:rPr>
                <w:rFonts w:ascii="宋体" w:hAnsi="宋体"/>
                <w:kern w:val="0"/>
                <w:szCs w:val="21"/>
                <w:highlight w:val="none"/>
              </w:rPr>
            </w:pPr>
          </w:p>
          <w:p w14:paraId="75E86DA9">
            <w:pPr>
              <w:snapToGrid w:val="0"/>
              <w:spacing w:line="400" w:lineRule="exact"/>
              <w:jc w:val="center"/>
              <w:rPr>
                <w:rFonts w:ascii="宋体" w:hAnsi="宋体"/>
                <w:kern w:val="0"/>
                <w:szCs w:val="21"/>
                <w:highlight w:val="none"/>
              </w:rPr>
            </w:pPr>
          </w:p>
          <w:p w14:paraId="262EE776">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59D77546">
            <w:pPr>
              <w:snapToGrid w:val="0"/>
              <w:spacing w:line="400" w:lineRule="exact"/>
              <w:jc w:val="center"/>
              <w:rPr>
                <w:rFonts w:ascii="宋体" w:hAnsi="宋体"/>
                <w:kern w:val="0"/>
                <w:szCs w:val="21"/>
                <w:highlight w:val="none"/>
              </w:rPr>
            </w:pPr>
          </w:p>
          <w:p w14:paraId="3012AF51">
            <w:pPr>
              <w:snapToGrid w:val="0"/>
              <w:spacing w:line="400" w:lineRule="exact"/>
              <w:jc w:val="center"/>
              <w:rPr>
                <w:rFonts w:ascii="宋体" w:hAnsi="宋体"/>
                <w:kern w:val="0"/>
                <w:szCs w:val="21"/>
                <w:highlight w:val="none"/>
              </w:rPr>
            </w:pPr>
          </w:p>
          <w:p w14:paraId="499502F8">
            <w:pPr>
              <w:snapToGrid w:val="0"/>
              <w:spacing w:line="400" w:lineRule="exact"/>
              <w:jc w:val="center"/>
              <w:rPr>
                <w:rFonts w:ascii="宋体" w:hAnsi="宋体"/>
                <w:kern w:val="0"/>
                <w:szCs w:val="21"/>
                <w:highlight w:val="none"/>
              </w:rPr>
            </w:pPr>
          </w:p>
          <w:p w14:paraId="7B35AF94">
            <w:pPr>
              <w:snapToGrid w:val="0"/>
              <w:spacing w:line="400" w:lineRule="exact"/>
              <w:jc w:val="center"/>
              <w:rPr>
                <w:rFonts w:ascii="宋体" w:hAnsi="宋体"/>
                <w:kern w:val="0"/>
                <w:szCs w:val="21"/>
                <w:highlight w:val="none"/>
              </w:rPr>
            </w:pPr>
          </w:p>
          <w:p w14:paraId="56B51623">
            <w:pPr>
              <w:snapToGrid w:val="0"/>
              <w:spacing w:line="400" w:lineRule="exact"/>
              <w:jc w:val="center"/>
              <w:rPr>
                <w:rFonts w:ascii="宋体" w:hAnsi="宋体"/>
                <w:kern w:val="0"/>
                <w:szCs w:val="21"/>
                <w:highlight w:val="none"/>
              </w:rPr>
            </w:pPr>
          </w:p>
          <w:p w14:paraId="42358E5D">
            <w:pPr>
              <w:snapToGrid w:val="0"/>
              <w:spacing w:line="400" w:lineRule="exact"/>
              <w:jc w:val="center"/>
              <w:rPr>
                <w:rFonts w:ascii="宋体" w:hAnsi="宋体"/>
                <w:kern w:val="0"/>
                <w:szCs w:val="21"/>
                <w:highlight w:val="none"/>
              </w:rPr>
            </w:pPr>
          </w:p>
          <w:p w14:paraId="7A165C77">
            <w:pPr>
              <w:snapToGrid w:val="0"/>
              <w:spacing w:line="400" w:lineRule="exact"/>
              <w:jc w:val="center"/>
              <w:rPr>
                <w:rFonts w:ascii="宋体" w:hAnsi="宋体"/>
                <w:kern w:val="0"/>
                <w:szCs w:val="21"/>
                <w:highlight w:val="none"/>
              </w:rPr>
            </w:pPr>
          </w:p>
          <w:p w14:paraId="499B3CAB">
            <w:pPr>
              <w:snapToGrid w:val="0"/>
              <w:spacing w:line="400" w:lineRule="exact"/>
              <w:jc w:val="center"/>
              <w:rPr>
                <w:rFonts w:ascii="宋体" w:hAnsi="宋体"/>
                <w:kern w:val="0"/>
                <w:szCs w:val="21"/>
                <w:highlight w:val="none"/>
              </w:rPr>
            </w:pPr>
          </w:p>
          <w:p w14:paraId="761ADD68">
            <w:pPr>
              <w:snapToGrid w:val="0"/>
              <w:spacing w:line="400" w:lineRule="exact"/>
              <w:jc w:val="center"/>
              <w:rPr>
                <w:rFonts w:ascii="宋体" w:hAnsi="宋体"/>
                <w:kern w:val="0"/>
                <w:szCs w:val="21"/>
                <w:highlight w:val="none"/>
              </w:rPr>
            </w:pPr>
          </w:p>
          <w:p w14:paraId="16C66087">
            <w:pPr>
              <w:snapToGrid w:val="0"/>
              <w:spacing w:line="400" w:lineRule="exact"/>
              <w:jc w:val="center"/>
              <w:rPr>
                <w:rFonts w:ascii="宋体" w:hAnsi="宋体"/>
                <w:kern w:val="0"/>
                <w:szCs w:val="21"/>
                <w:highlight w:val="none"/>
              </w:rPr>
            </w:pPr>
          </w:p>
          <w:p w14:paraId="2B9DA8E9">
            <w:pPr>
              <w:snapToGrid w:val="0"/>
              <w:spacing w:line="400" w:lineRule="exact"/>
              <w:jc w:val="center"/>
              <w:rPr>
                <w:rFonts w:ascii="宋体" w:hAnsi="宋体"/>
                <w:kern w:val="0"/>
                <w:szCs w:val="21"/>
                <w:highlight w:val="none"/>
              </w:rPr>
            </w:pPr>
          </w:p>
          <w:p w14:paraId="00B2988E">
            <w:pPr>
              <w:snapToGrid w:val="0"/>
              <w:spacing w:line="400" w:lineRule="exact"/>
              <w:jc w:val="center"/>
              <w:rPr>
                <w:rFonts w:ascii="宋体" w:hAnsi="宋体"/>
                <w:kern w:val="0"/>
                <w:szCs w:val="21"/>
                <w:highlight w:val="none"/>
              </w:rPr>
            </w:pPr>
          </w:p>
          <w:p w14:paraId="7996AF97">
            <w:pPr>
              <w:snapToGrid w:val="0"/>
              <w:spacing w:line="400" w:lineRule="exact"/>
              <w:jc w:val="center"/>
              <w:rPr>
                <w:rFonts w:ascii="宋体" w:hAnsi="宋体"/>
                <w:kern w:val="0"/>
                <w:szCs w:val="21"/>
                <w:highlight w:val="none"/>
              </w:rPr>
            </w:pPr>
          </w:p>
          <w:p w14:paraId="28EF653E">
            <w:pPr>
              <w:snapToGrid w:val="0"/>
              <w:spacing w:line="400" w:lineRule="exact"/>
              <w:jc w:val="center"/>
              <w:rPr>
                <w:rFonts w:ascii="宋体" w:hAnsi="宋体"/>
                <w:kern w:val="0"/>
                <w:szCs w:val="21"/>
                <w:highlight w:val="none"/>
              </w:rPr>
            </w:pPr>
          </w:p>
          <w:p w14:paraId="40046B04">
            <w:pPr>
              <w:snapToGrid w:val="0"/>
              <w:spacing w:line="400" w:lineRule="exact"/>
              <w:jc w:val="center"/>
              <w:rPr>
                <w:rFonts w:ascii="宋体" w:hAnsi="宋体"/>
                <w:kern w:val="0"/>
                <w:szCs w:val="21"/>
                <w:highlight w:val="none"/>
              </w:rPr>
            </w:pPr>
          </w:p>
          <w:p w14:paraId="6CA2B68B">
            <w:pPr>
              <w:snapToGrid w:val="0"/>
              <w:spacing w:line="400" w:lineRule="exact"/>
              <w:jc w:val="center"/>
              <w:rPr>
                <w:rFonts w:ascii="宋体" w:hAnsi="宋体"/>
                <w:kern w:val="0"/>
                <w:szCs w:val="21"/>
                <w:highlight w:val="none"/>
              </w:rPr>
            </w:pPr>
          </w:p>
          <w:p w14:paraId="2C380097">
            <w:pPr>
              <w:snapToGrid w:val="0"/>
              <w:spacing w:line="400" w:lineRule="exact"/>
              <w:jc w:val="center"/>
              <w:rPr>
                <w:rFonts w:ascii="宋体" w:hAnsi="宋体"/>
                <w:kern w:val="0"/>
                <w:szCs w:val="21"/>
                <w:highlight w:val="none"/>
              </w:rPr>
            </w:pPr>
          </w:p>
          <w:p w14:paraId="65F16CD2">
            <w:pPr>
              <w:snapToGrid w:val="0"/>
              <w:spacing w:line="400" w:lineRule="exact"/>
              <w:jc w:val="center"/>
              <w:rPr>
                <w:rFonts w:ascii="宋体" w:hAnsi="宋体"/>
                <w:kern w:val="0"/>
                <w:szCs w:val="21"/>
                <w:highlight w:val="none"/>
              </w:rPr>
            </w:pPr>
          </w:p>
          <w:p w14:paraId="5B4FFD9E">
            <w:pPr>
              <w:snapToGrid w:val="0"/>
              <w:spacing w:line="400" w:lineRule="exact"/>
              <w:jc w:val="center"/>
              <w:rPr>
                <w:rFonts w:ascii="宋体" w:hAnsi="宋体"/>
                <w:kern w:val="0"/>
                <w:szCs w:val="21"/>
                <w:highlight w:val="none"/>
              </w:rPr>
            </w:pPr>
          </w:p>
          <w:p w14:paraId="65679C25">
            <w:pPr>
              <w:snapToGrid w:val="0"/>
              <w:spacing w:line="400" w:lineRule="exact"/>
              <w:jc w:val="center"/>
              <w:rPr>
                <w:rFonts w:ascii="宋体" w:hAnsi="宋体"/>
                <w:kern w:val="0"/>
                <w:szCs w:val="21"/>
                <w:highlight w:val="none"/>
              </w:rPr>
            </w:pPr>
          </w:p>
          <w:p w14:paraId="782E34D2">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6DA37A22">
            <w:pPr>
              <w:snapToGrid w:val="0"/>
              <w:spacing w:line="400" w:lineRule="exact"/>
              <w:jc w:val="center"/>
              <w:rPr>
                <w:rFonts w:ascii="宋体" w:hAnsi="宋体"/>
                <w:kern w:val="0"/>
                <w:szCs w:val="21"/>
                <w:highlight w:val="none"/>
              </w:rPr>
            </w:pPr>
          </w:p>
          <w:p w14:paraId="5D8F84AD">
            <w:pPr>
              <w:snapToGrid w:val="0"/>
              <w:spacing w:line="400" w:lineRule="exact"/>
              <w:jc w:val="center"/>
              <w:rPr>
                <w:rFonts w:ascii="宋体" w:hAnsi="宋体"/>
                <w:kern w:val="0"/>
                <w:szCs w:val="21"/>
                <w:highlight w:val="none"/>
              </w:rPr>
            </w:pPr>
          </w:p>
          <w:p w14:paraId="6EF44A9B">
            <w:pPr>
              <w:snapToGrid w:val="0"/>
              <w:spacing w:line="400" w:lineRule="exact"/>
              <w:jc w:val="center"/>
              <w:rPr>
                <w:rFonts w:ascii="宋体" w:hAnsi="宋体"/>
                <w:kern w:val="0"/>
                <w:szCs w:val="21"/>
                <w:highlight w:val="none"/>
              </w:rPr>
            </w:pPr>
          </w:p>
          <w:p w14:paraId="2E6D66F0">
            <w:pPr>
              <w:snapToGrid w:val="0"/>
              <w:spacing w:line="400" w:lineRule="exact"/>
              <w:jc w:val="center"/>
              <w:rPr>
                <w:rFonts w:ascii="宋体" w:hAnsi="宋体"/>
                <w:kern w:val="0"/>
                <w:szCs w:val="21"/>
                <w:highlight w:val="none"/>
              </w:rPr>
            </w:pPr>
          </w:p>
          <w:p w14:paraId="47B3927F">
            <w:pPr>
              <w:snapToGrid w:val="0"/>
              <w:spacing w:line="400" w:lineRule="exact"/>
              <w:jc w:val="center"/>
              <w:rPr>
                <w:rFonts w:ascii="宋体" w:hAnsi="宋体"/>
                <w:kern w:val="0"/>
                <w:szCs w:val="21"/>
                <w:highlight w:val="none"/>
              </w:rPr>
            </w:pPr>
          </w:p>
          <w:p w14:paraId="4E72C197">
            <w:pPr>
              <w:snapToGrid w:val="0"/>
              <w:spacing w:line="400" w:lineRule="exact"/>
              <w:jc w:val="center"/>
              <w:rPr>
                <w:rFonts w:ascii="宋体" w:hAnsi="宋体"/>
                <w:kern w:val="0"/>
                <w:szCs w:val="21"/>
                <w:highlight w:val="none"/>
              </w:rPr>
            </w:pPr>
          </w:p>
          <w:p w14:paraId="4390BB07">
            <w:pPr>
              <w:snapToGrid w:val="0"/>
              <w:spacing w:line="400" w:lineRule="exact"/>
              <w:jc w:val="center"/>
              <w:rPr>
                <w:rFonts w:ascii="宋体" w:hAnsi="宋体"/>
                <w:kern w:val="0"/>
                <w:szCs w:val="21"/>
                <w:highlight w:val="none"/>
              </w:rPr>
            </w:pPr>
          </w:p>
          <w:p w14:paraId="3E25552D">
            <w:pPr>
              <w:snapToGrid w:val="0"/>
              <w:spacing w:line="400" w:lineRule="exact"/>
              <w:jc w:val="center"/>
              <w:rPr>
                <w:rFonts w:ascii="宋体" w:hAnsi="宋体"/>
                <w:kern w:val="0"/>
                <w:szCs w:val="21"/>
                <w:highlight w:val="none"/>
              </w:rPr>
            </w:pPr>
          </w:p>
          <w:p w14:paraId="38114EDF">
            <w:pPr>
              <w:snapToGrid w:val="0"/>
              <w:spacing w:line="400" w:lineRule="exact"/>
              <w:jc w:val="center"/>
              <w:rPr>
                <w:rFonts w:ascii="宋体" w:hAnsi="宋体"/>
                <w:kern w:val="0"/>
                <w:szCs w:val="21"/>
                <w:highlight w:val="none"/>
              </w:rPr>
            </w:pPr>
          </w:p>
          <w:p w14:paraId="7559D5D6">
            <w:pPr>
              <w:snapToGrid w:val="0"/>
              <w:spacing w:line="400" w:lineRule="exact"/>
              <w:jc w:val="both"/>
              <w:rPr>
                <w:rFonts w:ascii="宋体" w:hAnsi="宋体"/>
                <w:kern w:val="0"/>
                <w:szCs w:val="21"/>
                <w:highlight w:val="none"/>
              </w:rPr>
            </w:pPr>
          </w:p>
        </w:tc>
        <w:tc>
          <w:tcPr>
            <w:tcW w:w="1644" w:type="dxa"/>
            <w:vAlign w:val="center"/>
          </w:tcPr>
          <w:p w14:paraId="0DDF9930">
            <w:pPr>
              <w:snapToGrid w:val="0"/>
              <w:spacing w:line="400" w:lineRule="exact"/>
              <w:jc w:val="center"/>
              <w:rPr>
                <w:rFonts w:ascii="宋体" w:hAnsi="宋体"/>
                <w:kern w:val="0"/>
                <w:szCs w:val="21"/>
                <w:highlight w:val="none"/>
              </w:rPr>
            </w:pPr>
          </w:p>
          <w:p w14:paraId="4E0ED293">
            <w:pPr>
              <w:snapToGrid w:val="0"/>
              <w:spacing w:line="400" w:lineRule="exact"/>
              <w:jc w:val="center"/>
              <w:rPr>
                <w:rFonts w:ascii="宋体" w:hAnsi="宋体"/>
                <w:kern w:val="0"/>
                <w:szCs w:val="21"/>
                <w:highlight w:val="none"/>
              </w:rPr>
            </w:pPr>
          </w:p>
          <w:p w14:paraId="71EF84E0">
            <w:pPr>
              <w:snapToGrid w:val="0"/>
              <w:spacing w:line="400" w:lineRule="exact"/>
              <w:jc w:val="center"/>
              <w:rPr>
                <w:rFonts w:ascii="宋体" w:hAnsi="宋体"/>
                <w:kern w:val="0"/>
                <w:szCs w:val="21"/>
                <w:highlight w:val="none"/>
              </w:rPr>
            </w:pPr>
          </w:p>
          <w:p w14:paraId="37EAF832">
            <w:pPr>
              <w:snapToGrid w:val="0"/>
              <w:spacing w:line="400" w:lineRule="exact"/>
              <w:jc w:val="center"/>
              <w:rPr>
                <w:rFonts w:ascii="宋体" w:hAnsi="宋体"/>
                <w:kern w:val="0"/>
                <w:szCs w:val="21"/>
                <w:highlight w:val="none"/>
              </w:rPr>
            </w:pPr>
          </w:p>
          <w:p w14:paraId="1123C5FA">
            <w:pPr>
              <w:snapToGrid w:val="0"/>
              <w:spacing w:line="400" w:lineRule="exact"/>
              <w:jc w:val="center"/>
              <w:rPr>
                <w:rFonts w:ascii="宋体" w:hAnsi="宋体"/>
                <w:kern w:val="0"/>
                <w:szCs w:val="21"/>
                <w:highlight w:val="none"/>
              </w:rPr>
            </w:pPr>
          </w:p>
          <w:p w14:paraId="619626AA">
            <w:pPr>
              <w:snapToGrid w:val="0"/>
              <w:spacing w:line="400" w:lineRule="exact"/>
              <w:jc w:val="center"/>
              <w:rPr>
                <w:rFonts w:ascii="宋体" w:hAnsi="宋体"/>
                <w:kern w:val="0"/>
                <w:szCs w:val="21"/>
                <w:highlight w:val="none"/>
              </w:rPr>
            </w:pPr>
          </w:p>
          <w:p w14:paraId="18DAF3FA">
            <w:pPr>
              <w:snapToGrid w:val="0"/>
              <w:spacing w:line="400" w:lineRule="exact"/>
              <w:jc w:val="center"/>
              <w:rPr>
                <w:rFonts w:ascii="宋体" w:hAnsi="宋体"/>
                <w:kern w:val="0"/>
                <w:szCs w:val="21"/>
                <w:highlight w:val="none"/>
              </w:rPr>
            </w:pPr>
          </w:p>
          <w:p w14:paraId="3D386381">
            <w:pPr>
              <w:snapToGrid w:val="0"/>
              <w:spacing w:line="400" w:lineRule="exact"/>
              <w:jc w:val="center"/>
              <w:rPr>
                <w:rFonts w:ascii="宋体" w:hAnsi="宋体"/>
                <w:kern w:val="0"/>
                <w:szCs w:val="21"/>
                <w:highlight w:val="none"/>
              </w:rPr>
            </w:pPr>
          </w:p>
          <w:p w14:paraId="6B941C8B">
            <w:pPr>
              <w:snapToGrid w:val="0"/>
              <w:spacing w:line="400" w:lineRule="exact"/>
              <w:jc w:val="center"/>
              <w:rPr>
                <w:rFonts w:ascii="宋体" w:hAnsi="宋体"/>
                <w:kern w:val="0"/>
                <w:szCs w:val="21"/>
                <w:highlight w:val="none"/>
              </w:rPr>
            </w:pPr>
          </w:p>
          <w:p w14:paraId="26CEB743">
            <w:pPr>
              <w:snapToGrid w:val="0"/>
              <w:spacing w:line="400" w:lineRule="exact"/>
              <w:jc w:val="center"/>
              <w:rPr>
                <w:rFonts w:ascii="宋体" w:hAnsi="宋体"/>
                <w:kern w:val="0"/>
                <w:szCs w:val="21"/>
                <w:highlight w:val="none"/>
              </w:rPr>
            </w:pPr>
          </w:p>
          <w:p w14:paraId="7B5ED37C">
            <w:pPr>
              <w:snapToGrid w:val="0"/>
              <w:spacing w:line="400" w:lineRule="exact"/>
              <w:jc w:val="center"/>
              <w:rPr>
                <w:rFonts w:ascii="宋体" w:hAnsi="宋体"/>
                <w:kern w:val="0"/>
                <w:szCs w:val="21"/>
                <w:highlight w:val="none"/>
              </w:rPr>
            </w:pPr>
          </w:p>
          <w:p w14:paraId="0A660BA7">
            <w:pPr>
              <w:snapToGrid w:val="0"/>
              <w:spacing w:line="400" w:lineRule="exact"/>
              <w:jc w:val="center"/>
              <w:rPr>
                <w:rFonts w:ascii="宋体" w:hAnsi="宋体"/>
                <w:kern w:val="0"/>
                <w:szCs w:val="21"/>
                <w:highlight w:val="none"/>
              </w:rPr>
            </w:pPr>
          </w:p>
          <w:p w14:paraId="7FD72F21">
            <w:pPr>
              <w:snapToGrid w:val="0"/>
              <w:spacing w:line="400" w:lineRule="exact"/>
              <w:jc w:val="center"/>
              <w:rPr>
                <w:rFonts w:ascii="宋体" w:hAnsi="宋体"/>
                <w:kern w:val="0"/>
                <w:szCs w:val="21"/>
                <w:highlight w:val="none"/>
              </w:rPr>
            </w:pPr>
          </w:p>
          <w:p w14:paraId="12EEB3E6">
            <w:pPr>
              <w:snapToGrid w:val="0"/>
              <w:spacing w:line="400" w:lineRule="exact"/>
              <w:jc w:val="center"/>
              <w:rPr>
                <w:rFonts w:ascii="宋体" w:hAnsi="宋体"/>
                <w:kern w:val="0"/>
                <w:szCs w:val="21"/>
                <w:highlight w:val="none"/>
              </w:rPr>
            </w:pPr>
          </w:p>
          <w:p w14:paraId="04A45D26">
            <w:pPr>
              <w:snapToGrid w:val="0"/>
              <w:spacing w:line="400" w:lineRule="exact"/>
              <w:jc w:val="center"/>
              <w:rPr>
                <w:rFonts w:ascii="宋体" w:hAnsi="宋体"/>
                <w:kern w:val="0"/>
                <w:szCs w:val="21"/>
                <w:highlight w:val="none"/>
              </w:rPr>
            </w:pPr>
          </w:p>
          <w:p w14:paraId="70CF0F8F">
            <w:pPr>
              <w:snapToGrid w:val="0"/>
              <w:spacing w:line="400" w:lineRule="exact"/>
              <w:jc w:val="center"/>
              <w:rPr>
                <w:rFonts w:ascii="宋体" w:hAnsi="宋体"/>
                <w:kern w:val="0"/>
                <w:szCs w:val="21"/>
                <w:highlight w:val="none"/>
              </w:rPr>
            </w:pPr>
          </w:p>
          <w:p w14:paraId="43AA79BB">
            <w:pPr>
              <w:snapToGrid w:val="0"/>
              <w:spacing w:line="400" w:lineRule="exact"/>
              <w:jc w:val="center"/>
              <w:rPr>
                <w:rFonts w:ascii="宋体" w:hAnsi="宋体"/>
                <w:kern w:val="0"/>
                <w:szCs w:val="21"/>
                <w:highlight w:val="none"/>
              </w:rPr>
            </w:pPr>
          </w:p>
          <w:p w14:paraId="05F23713">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14:paraId="12A475D9">
            <w:pPr>
              <w:snapToGrid w:val="0"/>
              <w:spacing w:line="400" w:lineRule="exact"/>
              <w:jc w:val="center"/>
              <w:rPr>
                <w:rFonts w:ascii="宋体" w:hAnsi="宋体"/>
                <w:kern w:val="0"/>
                <w:szCs w:val="21"/>
                <w:highlight w:val="none"/>
              </w:rPr>
            </w:pPr>
          </w:p>
          <w:p w14:paraId="45083919">
            <w:pPr>
              <w:snapToGrid w:val="0"/>
              <w:spacing w:line="400" w:lineRule="exact"/>
              <w:jc w:val="center"/>
              <w:rPr>
                <w:rFonts w:ascii="宋体" w:hAnsi="宋体"/>
                <w:kern w:val="0"/>
                <w:szCs w:val="21"/>
                <w:highlight w:val="none"/>
              </w:rPr>
            </w:pPr>
          </w:p>
          <w:p w14:paraId="19ED02EE">
            <w:pPr>
              <w:snapToGrid w:val="0"/>
              <w:spacing w:line="400" w:lineRule="exact"/>
              <w:jc w:val="center"/>
              <w:rPr>
                <w:rFonts w:ascii="宋体" w:hAnsi="宋体"/>
                <w:kern w:val="0"/>
                <w:szCs w:val="21"/>
                <w:highlight w:val="none"/>
              </w:rPr>
            </w:pPr>
          </w:p>
          <w:p w14:paraId="590EAE60">
            <w:pPr>
              <w:snapToGrid w:val="0"/>
              <w:spacing w:line="400" w:lineRule="exact"/>
              <w:jc w:val="center"/>
              <w:rPr>
                <w:rFonts w:ascii="宋体" w:hAnsi="宋体"/>
                <w:kern w:val="0"/>
                <w:szCs w:val="21"/>
                <w:highlight w:val="none"/>
              </w:rPr>
            </w:pPr>
          </w:p>
          <w:p w14:paraId="5DA955C4">
            <w:pPr>
              <w:snapToGrid w:val="0"/>
              <w:spacing w:line="400" w:lineRule="exact"/>
              <w:jc w:val="center"/>
              <w:rPr>
                <w:rFonts w:ascii="宋体" w:hAnsi="宋体"/>
                <w:kern w:val="0"/>
                <w:szCs w:val="21"/>
                <w:highlight w:val="none"/>
              </w:rPr>
            </w:pPr>
          </w:p>
          <w:p w14:paraId="2198C72B">
            <w:pPr>
              <w:snapToGrid w:val="0"/>
              <w:spacing w:line="400" w:lineRule="exact"/>
              <w:jc w:val="center"/>
              <w:rPr>
                <w:rFonts w:ascii="宋体" w:hAnsi="宋体"/>
                <w:kern w:val="0"/>
                <w:szCs w:val="21"/>
                <w:highlight w:val="none"/>
              </w:rPr>
            </w:pPr>
          </w:p>
          <w:p w14:paraId="23EEF792">
            <w:pPr>
              <w:snapToGrid w:val="0"/>
              <w:spacing w:line="400" w:lineRule="exact"/>
              <w:jc w:val="center"/>
              <w:rPr>
                <w:rFonts w:ascii="宋体" w:hAnsi="宋体"/>
                <w:kern w:val="0"/>
                <w:szCs w:val="21"/>
                <w:highlight w:val="none"/>
              </w:rPr>
            </w:pPr>
          </w:p>
          <w:p w14:paraId="1648B8D0">
            <w:pPr>
              <w:snapToGrid w:val="0"/>
              <w:spacing w:line="400" w:lineRule="exact"/>
              <w:jc w:val="center"/>
              <w:rPr>
                <w:rFonts w:ascii="宋体" w:hAnsi="宋体"/>
                <w:kern w:val="0"/>
                <w:szCs w:val="21"/>
                <w:highlight w:val="none"/>
              </w:rPr>
            </w:pPr>
          </w:p>
          <w:p w14:paraId="2CE3650B">
            <w:pPr>
              <w:snapToGrid w:val="0"/>
              <w:spacing w:line="400" w:lineRule="exact"/>
              <w:jc w:val="center"/>
              <w:rPr>
                <w:rFonts w:ascii="宋体" w:hAnsi="宋体"/>
                <w:kern w:val="0"/>
                <w:szCs w:val="21"/>
                <w:highlight w:val="none"/>
              </w:rPr>
            </w:pPr>
          </w:p>
          <w:p w14:paraId="68D4E850">
            <w:pPr>
              <w:snapToGrid w:val="0"/>
              <w:spacing w:line="400" w:lineRule="exact"/>
              <w:jc w:val="center"/>
              <w:rPr>
                <w:rFonts w:ascii="宋体" w:hAnsi="宋体"/>
                <w:kern w:val="0"/>
                <w:szCs w:val="21"/>
                <w:highlight w:val="none"/>
              </w:rPr>
            </w:pPr>
          </w:p>
          <w:p w14:paraId="589226DF">
            <w:pPr>
              <w:snapToGrid w:val="0"/>
              <w:spacing w:line="400" w:lineRule="exact"/>
              <w:jc w:val="center"/>
              <w:rPr>
                <w:rFonts w:ascii="宋体" w:hAnsi="宋体"/>
                <w:kern w:val="0"/>
                <w:szCs w:val="21"/>
                <w:highlight w:val="none"/>
              </w:rPr>
            </w:pPr>
          </w:p>
          <w:p w14:paraId="7D9C3D9A">
            <w:pPr>
              <w:snapToGrid w:val="0"/>
              <w:spacing w:line="400" w:lineRule="exact"/>
              <w:jc w:val="center"/>
              <w:rPr>
                <w:rFonts w:ascii="宋体" w:hAnsi="宋体"/>
                <w:kern w:val="0"/>
                <w:szCs w:val="21"/>
                <w:highlight w:val="none"/>
              </w:rPr>
            </w:pPr>
          </w:p>
          <w:p w14:paraId="70280286">
            <w:pPr>
              <w:snapToGrid w:val="0"/>
              <w:spacing w:line="400" w:lineRule="exact"/>
              <w:jc w:val="center"/>
              <w:rPr>
                <w:rFonts w:ascii="宋体" w:hAnsi="宋体"/>
                <w:kern w:val="0"/>
                <w:szCs w:val="21"/>
                <w:highlight w:val="none"/>
              </w:rPr>
            </w:pPr>
          </w:p>
          <w:p w14:paraId="42D84B4E">
            <w:pPr>
              <w:snapToGrid w:val="0"/>
              <w:spacing w:line="400" w:lineRule="exact"/>
              <w:jc w:val="center"/>
              <w:rPr>
                <w:rFonts w:ascii="宋体" w:hAnsi="宋体"/>
                <w:kern w:val="0"/>
                <w:szCs w:val="21"/>
                <w:highlight w:val="none"/>
              </w:rPr>
            </w:pPr>
          </w:p>
          <w:p w14:paraId="31E98D79">
            <w:pPr>
              <w:snapToGrid w:val="0"/>
              <w:spacing w:line="400" w:lineRule="exact"/>
              <w:jc w:val="center"/>
              <w:rPr>
                <w:rFonts w:ascii="宋体" w:hAnsi="宋体"/>
                <w:kern w:val="0"/>
                <w:szCs w:val="21"/>
                <w:highlight w:val="none"/>
              </w:rPr>
            </w:pPr>
          </w:p>
          <w:p w14:paraId="1E7881C6">
            <w:pPr>
              <w:snapToGrid w:val="0"/>
              <w:spacing w:line="400" w:lineRule="exact"/>
              <w:jc w:val="center"/>
              <w:rPr>
                <w:rFonts w:ascii="宋体" w:hAnsi="宋体"/>
                <w:kern w:val="0"/>
                <w:szCs w:val="21"/>
                <w:highlight w:val="none"/>
              </w:rPr>
            </w:pPr>
          </w:p>
          <w:p w14:paraId="0FB1B74B">
            <w:pPr>
              <w:snapToGrid w:val="0"/>
              <w:spacing w:line="400" w:lineRule="exact"/>
              <w:jc w:val="center"/>
              <w:rPr>
                <w:rFonts w:ascii="宋体" w:hAnsi="宋体"/>
                <w:kern w:val="0"/>
                <w:szCs w:val="21"/>
                <w:highlight w:val="none"/>
              </w:rPr>
            </w:pPr>
          </w:p>
          <w:p w14:paraId="49533501">
            <w:pPr>
              <w:snapToGrid w:val="0"/>
              <w:spacing w:line="400" w:lineRule="exact"/>
              <w:jc w:val="center"/>
              <w:rPr>
                <w:rFonts w:ascii="宋体" w:hAnsi="宋体"/>
                <w:kern w:val="0"/>
                <w:szCs w:val="21"/>
                <w:highlight w:val="none"/>
              </w:rPr>
            </w:pPr>
          </w:p>
          <w:p w14:paraId="2C2CC13F">
            <w:pPr>
              <w:snapToGrid w:val="0"/>
              <w:spacing w:line="400" w:lineRule="exact"/>
              <w:jc w:val="center"/>
              <w:rPr>
                <w:rFonts w:ascii="宋体" w:hAnsi="宋体"/>
                <w:kern w:val="0"/>
                <w:szCs w:val="21"/>
                <w:highlight w:val="none"/>
              </w:rPr>
            </w:pPr>
          </w:p>
          <w:p w14:paraId="38615130">
            <w:pPr>
              <w:snapToGrid w:val="0"/>
              <w:spacing w:line="400" w:lineRule="exact"/>
              <w:jc w:val="center"/>
              <w:rPr>
                <w:rFonts w:ascii="宋体" w:hAnsi="宋体"/>
                <w:kern w:val="0"/>
                <w:szCs w:val="21"/>
                <w:highlight w:val="none"/>
              </w:rPr>
            </w:pPr>
          </w:p>
          <w:p w14:paraId="4EB05F64">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14:paraId="6EF206D3">
            <w:pPr>
              <w:snapToGrid w:val="0"/>
              <w:spacing w:line="400" w:lineRule="exact"/>
              <w:jc w:val="center"/>
              <w:rPr>
                <w:rFonts w:ascii="宋体" w:hAnsi="宋体"/>
                <w:kern w:val="0"/>
                <w:szCs w:val="21"/>
                <w:highlight w:val="none"/>
              </w:rPr>
            </w:pPr>
          </w:p>
          <w:p w14:paraId="563D4E1C">
            <w:pPr>
              <w:snapToGrid w:val="0"/>
              <w:spacing w:line="400" w:lineRule="exact"/>
              <w:jc w:val="both"/>
              <w:rPr>
                <w:rFonts w:ascii="宋体" w:hAnsi="宋体"/>
                <w:kern w:val="0"/>
                <w:szCs w:val="21"/>
                <w:highlight w:val="none"/>
              </w:rPr>
            </w:pPr>
          </w:p>
        </w:tc>
        <w:tc>
          <w:tcPr>
            <w:tcW w:w="6490" w:type="dxa"/>
            <w:vAlign w:val="center"/>
          </w:tcPr>
          <w:p w14:paraId="25D5C4A6">
            <w:pPr>
              <w:autoSpaceDE w:val="0"/>
              <w:autoSpaceDN w:val="0"/>
              <w:adjustRightInd w:val="0"/>
              <w:snapToGrid w:val="0"/>
              <w:spacing w:line="400" w:lineRule="exact"/>
              <w:rPr>
                <w:rFonts w:ascii="宋体" w:hAnsi="宋体"/>
                <w:szCs w:val="21"/>
                <w:highlight w:val="none"/>
              </w:rPr>
            </w:pPr>
            <w:bookmarkStart w:id="105" w:name="OLE_LINK1"/>
            <w:r>
              <w:rPr>
                <w:rFonts w:ascii="宋体" w:hAnsi="宋体"/>
                <w:szCs w:val="21"/>
                <w:highlight w:val="none"/>
              </w:rPr>
              <w:t>本工程施工招标实行资格后审，</w:t>
            </w:r>
            <w:r>
              <w:rPr>
                <w:rFonts w:hint="eastAsia" w:ascii="宋体" w:hAnsi="宋体"/>
                <w:szCs w:val="21"/>
                <w:highlight w:val="none"/>
                <w:lang w:eastAsia="zh-CN"/>
              </w:rPr>
              <w:t>竞选人</w:t>
            </w:r>
            <w:r>
              <w:rPr>
                <w:rFonts w:ascii="宋体" w:hAnsi="宋体"/>
                <w:szCs w:val="21"/>
                <w:highlight w:val="none"/>
              </w:rPr>
              <w:t>应</w:t>
            </w:r>
            <w:bookmarkStart w:id="106" w:name="一是"/>
            <w:bookmarkEnd w:id="106"/>
            <w:r>
              <w:rPr>
                <w:rFonts w:ascii="宋体" w:hAnsi="宋体"/>
                <w:szCs w:val="21"/>
                <w:highlight w:val="none"/>
              </w:rPr>
              <w:t>具备以下资格条件：</w:t>
            </w:r>
          </w:p>
          <w:bookmarkEnd w:id="105"/>
          <w:p w14:paraId="03DC5545">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1.资质条件、营业执照及安全生产条件</w:t>
            </w:r>
          </w:p>
          <w:p w14:paraId="5612B5C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lang w:val="en-US" w:eastAsia="zh-CN"/>
              </w:rPr>
              <w:t>市政公用工程</w:t>
            </w:r>
            <w:r>
              <w:rPr>
                <w:rFonts w:hint="eastAsia" w:ascii="宋体" w:hAnsi="宋体"/>
                <w:color w:val="auto"/>
                <w:szCs w:val="21"/>
                <w:highlight w:val="none"/>
              </w:rPr>
              <w:t>施工总承包三级及以上资质</w:t>
            </w:r>
            <w:r>
              <w:rPr>
                <w:rFonts w:ascii="宋体" w:hAnsi="宋体" w:eastAsia="宋体" w:cs="宋体"/>
                <w:sz w:val="21"/>
                <w:szCs w:val="21"/>
              </w:rPr>
              <w:t>。</w:t>
            </w:r>
          </w:p>
          <w:p w14:paraId="267C4713">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(投标人须在投标文件资格审查部分提供有效的带二维码标识的资质证书复印件)。</w:t>
            </w:r>
          </w:p>
          <w:p w14:paraId="553B4001">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）具备有效的营业执照。</w:t>
            </w:r>
          </w:p>
          <w:p w14:paraId="7B4076EB">
            <w:pPr>
              <w:spacing w:line="360" w:lineRule="auto"/>
              <w:ind w:firstLine="316"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(投标人须在投标文件资格审查部分提供有效的带二维码标识的营业执照复印件)。</w:t>
            </w:r>
          </w:p>
          <w:p w14:paraId="6C355072">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（3）具备建设行政主管部门颁发的有效的安全生产许可证，企业主要负责人、拟担任该项目项目经理具备相应的由建设行政主管部门颁发的有效的安全生产考核合格证书。</w:t>
            </w:r>
          </w:p>
          <w:p w14:paraId="085EB26C">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(投标人须在投标文件资格审查部分提供有效的安全生产许可证及安全生产考核合格证书复印件)</w:t>
            </w:r>
          </w:p>
          <w:p w14:paraId="28CEA7E1">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.投标截止日投标资格情况</w:t>
            </w:r>
          </w:p>
          <w:p w14:paraId="70683389">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投标人自行承诺（格式自拟）不得存在下列情形之一：</w:t>
            </w:r>
          </w:p>
          <w:p w14:paraId="12C4A542">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（1）被最高人民法院在“信用中国”网站（www.creditchina.gov.cn）列入失信被执行人名单；</w:t>
            </w:r>
          </w:p>
          <w:p w14:paraId="0FA1F446">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（2）被列入《重庆市工程建设领域招标投标信用管理暂行办法》规定的重点关注名单且记分达到12分；</w:t>
            </w:r>
          </w:p>
          <w:p w14:paraId="397C6BB1">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（3）被列入《重庆市工程建设领域招标投标信用管理暂行办法》规定的黑名单；</w:t>
            </w:r>
          </w:p>
          <w:p w14:paraId="00AC7BA9">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（4）被国家、重庆市（含市或任意区县）有关行政部门处以暂停投标资格行政处罚，且在处罚期限内；</w:t>
            </w:r>
          </w:p>
          <w:p w14:paraId="4C0016D3">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（5）被重庆市住房和城乡建设主管部门暂停在渝承揽新业务。</w:t>
            </w:r>
          </w:p>
          <w:p w14:paraId="5A135DC8">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.项目经理资格要求</w:t>
            </w:r>
          </w:p>
          <w:p w14:paraId="1C4FF498">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拟派的项目经理必须已在投标人本单位注册并应具有</w:t>
            </w:r>
            <w:r>
              <w:rPr>
                <w:rFonts w:hint="eastAsia" w:eastAsiaTheme="minorEastAsia"/>
                <w:color w:val="auto"/>
                <w:szCs w:val="21"/>
                <w:highlight w:val="none"/>
                <w:u w:val="single"/>
                <w:lang w:val="en-US" w:eastAsia="zh-CN"/>
              </w:rPr>
              <w:t>市政公用工程</w:t>
            </w:r>
            <w:r>
              <w:rPr>
                <w:rFonts w:hint="eastAsia"/>
                <w:color w:val="auto"/>
                <w:szCs w:val="21"/>
                <w:highlight w:val="none"/>
                <w:u w:val="single"/>
              </w:rPr>
              <w:t xml:space="preserve">工程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val="en-US" w:eastAsia="zh-CN"/>
              </w:rPr>
              <w:t>二</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Theme="minorEastAsia" w:hAnsiTheme="minorEastAsia" w:eastAsiaTheme="minorEastAsia" w:cstheme="minorEastAsia"/>
                <w:sz w:val="21"/>
                <w:szCs w:val="21"/>
              </w:rPr>
              <w:t>，应为投标人本单位人员，</w:t>
            </w:r>
            <w:r>
              <w:rPr>
                <w:rFonts w:hint="eastAsia" w:asciiTheme="minorEastAsia" w:hAnsiTheme="minorEastAsia" w:eastAsiaTheme="minorEastAsia" w:cstheme="minorEastAsia"/>
                <w:b/>
                <w:bCs/>
                <w:sz w:val="21"/>
                <w:szCs w:val="21"/>
              </w:rPr>
              <w:t>并做出项目经理到岗履职的承诺</w:t>
            </w:r>
            <w:r>
              <w:rPr>
                <w:rFonts w:hint="eastAsia" w:asciiTheme="minorEastAsia" w:hAnsiTheme="minorEastAsia" w:eastAsiaTheme="minorEastAsia" w:cstheme="minorEastAsia"/>
                <w:sz w:val="21"/>
                <w:szCs w:val="21"/>
              </w:rPr>
              <w:t>（自行承诺拟派项目经理中选后只能在本项目任职，签订合同时拟派的项目经理必须与投标文件中的项目经理一致。不能按承诺到岗履约的，按合同相关条款处罚并上报行政主管部门，给比选人造成损失的，投标人依法承担违约赔偿责任）和未被禁标的承诺（自行承诺拟派项目经理未被我市住房和城乡建设主管部门暂停在渝承揽新业务，若被暂停且参加投标的投标将被否决，比选保证金不予退还，给比选人造成损失的，投标人依法承担违约赔偿责任），否则由评标委员会作否决投标处理。</w:t>
            </w:r>
          </w:p>
          <w:p w14:paraId="498C9096">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拟派项目经理中标后不得随意更换。</w:t>
            </w:r>
          </w:p>
          <w:p w14:paraId="188557BE">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同时，投标人须在投标文件资格审查部分提供拟派项目经理</w:t>
            </w:r>
            <w:r>
              <w:rPr>
                <w:rFonts w:hint="eastAsia" w:asciiTheme="minorEastAsia" w:hAnsiTheme="minorEastAsia" w:eastAsiaTheme="minorEastAsia" w:cstheme="minorEastAsia"/>
                <w:b/>
                <w:bCs/>
                <w:sz w:val="21"/>
                <w:szCs w:val="21"/>
                <w:lang w:val="en-US" w:eastAsia="zh-CN"/>
              </w:rPr>
              <w:t>注册证书</w:t>
            </w:r>
            <w:r>
              <w:rPr>
                <w:rFonts w:hint="eastAsia" w:asciiTheme="minorEastAsia" w:hAnsiTheme="minorEastAsia" w:eastAsiaTheme="minorEastAsia" w:cstheme="minorEastAsia"/>
                <w:b/>
                <w:bCs/>
                <w:sz w:val="21"/>
                <w:szCs w:val="21"/>
              </w:rPr>
              <w:t>、身份证、投标人本单位为其缴纳的养老保险证明材料复印件，拟派项目经理到岗履职和未被禁标的承诺原件。</w:t>
            </w:r>
          </w:p>
          <w:p w14:paraId="4BB9FC64">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.其他人员要求</w:t>
            </w:r>
          </w:p>
          <w:p w14:paraId="73AA57DB">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455F1CD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市政类</w:t>
            </w:r>
            <w:r>
              <w:rPr>
                <w:rFonts w:hint="eastAsia" w:ascii="宋体" w:hAnsi="宋体"/>
                <w:color w:val="auto"/>
                <w:szCs w:val="21"/>
                <w:highlight w:val="none"/>
                <w:u w:val="single"/>
                <w:lang w:val="en-US" w:eastAsia="zh-CN"/>
              </w:rPr>
              <w:t>中</w:t>
            </w:r>
            <w:r>
              <w:rPr>
                <w:rFonts w:ascii="宋体" w:hAnsi="宋体"/>
                <w:color w:val="auto"/>
                <w:szCs w:val="21"/>
                <w:highlight w:val="none"/>
                <w:u w:val="single"/>
              </w:rPr>
              <w:t>级及以上</w:t>
            </w:r>
            <w:r>
              <w:rPr>
                <w:rFonts w:ascii="宋体" w:hAnsi="宋体"/>
                <w:color w:val="auto"/>
                <w:szCs w:val="21"/>
                <w:highlight w:val="none"/>
              </w:rPr>
              <w:t>职称；</w:t>
            </w:r>
          </w:p>
          <w:p w14:paraId="064136B0">
            <w:pPr>
              <w:autoSpaceDE w:val="0"/>
              <w:autoSpaceDN w:val="0"/>
              <w:adjustRightInd w:val="0"/>
              <w:snapToGrid w:val="0"/>
              <w:spacing w:line="400" w:lineRule="exact"/>
              <w:ind w:firstLine="422" w:firstLineChars="200"/>
              <w:rPr>
                <w:rFonts w:hint="eastAsia" w:asciiTheme="minorEastAsia" w:hAnsiTheme="minorEastAsia" w:eastAsiaTheme="minorEastAsia" w:cstheme="minorEastAsia"/>
                <w:b/>
                <w:bCs/>
                <w:sz w:val="21"/>
                <w:szCs w:val="21"/>
              </w:rPr>
            </w:pPr>
            <w:r>
              <w:rPr>
                <w:rFonts w:hint="eastAsia" w:ascii="宋体" w:hAnsi="宋体"/>
                <w:b/>
                <w:bCs/>
                <w:color w:val="auto"/>
                <w:kern w:val="0"/>
                <w:szCs w:val="21"/>
                <w:highlight w:val="none"/>
              </w:rPr>
              <w:t>投标人须在投标文件资格审查部分提供拟派技术负责人身份证、职称证及投标人本单位为其缴纳的养老保险证明材料。</w:t>
            </w:r>
          </w:p>
          <w:p w14:paraId="0C76C3C8">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）主要管理人员：</w:t>
            </w:r>
          </w:p>
          <w:p w14:paraId="3E0CCCA7">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投标人依法承担违约赔偿责任。</w:t>
            </w:r>
            <w:r>
              <w:rPr>
                <w:rFonts w:hint="eastAsia" w:asciiTheme="minorEastAsia" w:hAnsiTheme="minorEastAsia" w:eastAsiaTheme="minorEastAsia" w:cstheme="minorEastAsia"/>
                <w:b/>
                <w:bCs/>
                <w:sz w:val="21"/>
                <w:szCs w:val="21"/>
              </w:rPr>
              <w:t>投标人须在投标文件中附承诺函（格式自拟）。</w:t>
            </w:r>
          </w:p>
          <w:p w14:paraId="072A88A5">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）委托代理人：</w:t>
            </w:r>
          </w:p>
          <w:p w14:paraId="410D41BB">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本项目委托代理人必须为投标人本单位职工。</w:t>
            </w:r>
            <w:r>
              <w:rPr>
                <w:rFonts w:hint="eastAsia" w:asciiTheme="minorEastAsia" w:hAnsiTheme="minorEastAsia" w:eastAsiaTheme="minorEastAsia" w:cstheme="minorEastAsia"/>
                <w:b/>
                <w:bCs/>
                <w:sz w:val="21"/>
                <w:szCs w:val="21"/>
              </w:rPr>
              <w:t>投标人须在投标文件资格审查部分提供投标人本单位为该委托代理人缴纳的养老保险证明复印件。否则，将由评标委员会作否决投标处理。</w:t>
            </w:r>
          </w:p>
          <w:p w14:paraId="63B4812C">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特别说明：</w:t>
            </w:r>
          </w:p>
          <w:p w14:paraId="54F8610B">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条，有一条不满足，则投标文件由评标委员会作否决投标处理。</w:t>
            </w:r>
            <w:r>
              <w:rPr>
                <w:rFonts w:hint="eastAsia" w:asciiTheme="minorEastAsia" w:hAnsiTheme="minorEastAsia" w:eastAsiaTheme="minorEastAsia" w:cstheme="minorEastAsia"/>
                <w:b/>
                <w:bCs/>
                <w:sz w:val="21"/>
                <w:szCs w:val="21"/>
              </w:rPr>
              <w:t>以上所有复印件加盖投标人鲜章，否则，将由评标委员会作否决投标处理。</w:t>
            </w:r>
          </w:p>
          <w:p w14:paraId="07F95DC2">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（2）比选人在比选有效期内均有权对投标人提供的以上资料进行核实，若发现资料存在虚假不实，按照相关法律法规处理，投标人承担因此造成的相关责任并赔偿相应损失。</w:t>
            </w:r>
          </w:p>
          <w:p w14:paraId="70D7275E">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（3）本比选文件中所要求的人员养老保险证明要求如下：</w:t>
            </w:r>
          </w:p>
          <w:p w14:paraId="39C09327">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①社会单位提供养老保险证明，事业单位提供养老保险证明或行政主管部门在编证明。</w:t>
            </w:r>
          </w:p>
          <w:p w14:paraId="570A00E3">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②投标文件中对养老保险的要求为：项目经理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委托代理人的养老保险证明期限为 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月至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月的连续养老保险。</w:t>
            </w:r>
          </w:p>
          <w:p w14:paraId="64154B60">
            <w:pPr>
              <w:spacing w:line="400" w:lineRule="exact"/>
              <w:ind w:firstLine="420" w:firstLineChars="200"/>
              <w:rPr>
                <w:rFonts w:ascii="宋体" w:hAnsi="宋体"/>
                <w:bCs/>
                <w:snapToGrid w:val="0"/>
                <w:kern w:val="0"/>
                <w:szCs w:val="21"/>
                <w:highlight w:val="none"/>
              </w:rPr>
            </w:pPr>
            <w:r>
              <w:rPr>
                <w:rFonts w:hint="eastAsia" w:asciiTheme="minorEastAsia" w:hAnsiTheme="minorEastAsia" w:eastAsiaTheme="minorEastAsia" w:cstheme="minorEastAsia"/>
                <w:sz w:val="21"/>
                <w:szCs w:val="21"/>
              </w:rPr>
              <w:t>养老保险证明必须加盖社保部门公章，提供养老保险参保证明（个人），含身份证号或社保号和参保基本情况、参保缴费明细（养老保险），否则由评标委员会作否决投标处理。</w:t>
            </w:r>
          </w:p>
        </w:tc>
      </w:tr>
      <w:tr w14:paraId="3EB48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53BCC5">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14:paraId="2A6ACEA6">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14:paraId="7A7B34B0">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不接受</w:t>
            </w:r>
          </w:p>
          <w:p w14:paraId="0978C686">
            <w:pPr>
              <w:snapToGrid w:val="0"/>
              <w:spacing w:after="15"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14:paraId="6CE96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72E364">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14:paraId="770849D4">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14:paraId="429F4E43">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不组织</w:t>
            </w:r>
          </w:p>
          <w:p w14:paraId="20DC25FE">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14:paraId="4A678000">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14:paraId="2294D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EA4245">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14:paraId="5356FD63">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14:paraId="1C13BE2E">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不召开</w:t>
            </w:r>
          </w:p>
          <w:p w14:paraId="4B0361C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14:paraId="3B9EC114">
            <w:pPr>
              <w:snapToGrid w:val="0"/>
              <w:spacing w:after="15"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14:paraId="0F824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219F24">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14:paraId="1A61CAF8">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14:paraId="3E18216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不允许</w:t>
            </w:r>
          </w:p>
          <w:p w14:paraId="2B70078A">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lang w:val="en-US" w:eastAsia="zh-CN"/>
              </w:rPr>
              <w:t>/</w:t>
            </w:r>
          </w:p>
          <w:p w14:paraId="0C45EC12">
            <w:pPr>
              <w:snapToGrid w:val="0"/>
              <w:spacing w:line="400" w:lineRule="exact"/>
              <w:ind w:firstLine="1260" w:firstLineChars="600"/>
              <w:rPr>
                <w:rFonts w:hint="eastAsia" w:ascii="宋体" w:hAnsi="宋体" w:eastAsia="宋体"/>
                <w:kern w:val="0"/>
                <w:szCs w:val="21"/>
                <w:highlight w:val="none"/>
                <w:lang w:val="en-US" w:eastAsia="zh-CN"/>
              </w:rPr>
            </w:pPr>
            <w:r>
              <w:rPr>
                <w:rFonts w:ascii="宋体" w:hAnsi="宋体"/>
                <w:kern w:val="0"/>
                <w:szCs w:val="21"/>
                <w:highlight w:val="none"/>
              </w:rPr>
              <w:t>分包金额要求：</w:t>
            </w:r>
            <w:r>
              <w:rPr>
                <w:rFonts w:hint="eastAsia" w:ascii="宋体" w:hAnsi="宋体"/>
                <w:kern w:val="0"/>
                <w:szCs w:val="21"/>
                <w:highlight w:val="none"/>
                <w:lang w:val="en-US" w:eastAsia="zh-CN"/>
              </w:rPr>
              <w:t>/</w:t>
            </w:r>
          </w:p>
          <w:p w14:paraId="3CE704D7">
            <w:pPr>
              <w:snapToGrid w:val="0"/>
              <w:spacing w:after="15" w:afterLines="5" w:line="400" w:lineRule="exact"/>
              <w:rPr>
                <w:rFonts w:hint="eastAsia" w:ascii="宋体" w:hAnsi="宋体" w:eastAsia="宋体"/>
                <w:kern w:val="0"/>
                <w:szCs w:val="21"/>
                <w:highlight w:val="none"/>
                <w:lang w:val="en-US" w:eastAsia="zh-CN"/>
              </w:rPr>
            </w:pPr>
            <w:r>
              <w:rPr>
                <w:rFonts w:ascii="宋体" w:hAnsi="宋体"/>
                <w:kern w:val="0"/>
                <w:szCs w:val="21"/>
                <w:highlight w:val="none"/>
              </w:rPr>
              <w:t>接受分包的第三人资质要求：</w:t>
            </w:r>
            <w:r>
              <w:rPr>
                <w:rFonts w:hint="eastAsia" w:ascii="宋体" w:hAnsi="宋体"/>
                <w:kern w:val="0"/>
                <w:szCs w:val="21"/>
                <w:highlight w:val="none"/>
                <w:lang w:val="en-US" w:eastAsia="zh-CN"/>
              </w:rPr>
              <w:t>/</w:t>
            </w:r>
          </w:p>
          <w:p w14:paraId="65018A88">
            <w:pPr>
              <w:snapToGrid w:val="0"/>
              <w:spacing w:after="15"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14:paraId="283CD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C68D8D">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14:paraId="0718EB99">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14:paraId="17F7A148">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14:paraId="711A3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E825A0">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14:paraId="38BA23D0">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14:paraId="29B6952A">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 w:val="21"/>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lang w:val="en-US" w:eastAsia="zh-CN"/>
              </w:rPr>
              <w:t>6</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26</w:t>
            </w:r>
            <w:r>
              <w:rPr>
                <w:rFonts w:hint="eastAsia" w:asciiTheme="minorEastAsia" w:hAnsiTheme="minorEastAsia" w:eastAsiaTheme="minorEastAsia" w:cstheme="minorEastAsia"/>
                <w:snapToGrid w:val="0"/>
                <w:kern w:val="0"/>
                <w:sz w:val="21"/>
                <w:szCs w:val="21"/>
              </w:rPr>
              <w:t>日 12:00  前发送至</w:t>
            </w:r>
            <w:r>
              <w:rPr>
                <w:rFonts w:hint="eastAsia" w:asciiTheme="minorEastAsia" w:hAnsiTheme="minorEastAsia" w:eastAsiaTheme="minorEastAsia" w:cstheme="minorEastAsia"/>
                <w:snapToGrid w:val="0"/>
                <w:kern w:val="0"/>
                <w:sz w:val="21"/>
                <w:szCs w:val="21"/>
                <w:lang w:val="en-US" w:eastAsia="zh-CN"/>
              </w:rPr>
              <w:t>比选人</w:t>
            </w:r>
            <w:r>
              <w:rPr>
                <w:rFonts w:hint="eastAsia" w:asciiTheme="minorEastAsia" w:hAnsiTheme="minorEastAsia" w:eastAsiaTheme="minorEastAsia" w:cstheme="minorEastAsia"/>
                <w:snapToGrid w:val="0"/>
                <w:kern w:val="0"/>
                <w:sz w:val="21"/>
                <w:szCs w:val="21"/>
              </w:rPr>
              <w:t>提供的邮箱。</w:t>
            </w:r>
          </w:p>
        </w:tc>
      </w:tr>
      <w:tr w14:paraId="4E4F5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DEEEB57">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14:paraId="6B8CBC39">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14:paraId="623681DC">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 w:val="21"/>
                <w:szCs w:val="21"/>
              </w:rPr>
              <w:t xml:space="preserve">在行采家(https://www.gec123.com/) </w:t>
            </w:r>
            <w:r>
              <w:rPr>
                <w:rFonts w:hint="eastAsia" w:cs="宋体" w:asciiTheme="minorEastAsia" w:hAnsiTheme="minorEastAsia" w:eastAsiaTheme="minorEastAsia"/>
                <w:kern w:val="0"/>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Theme="minorEastAsia" w:hAnsiTheme="minorEastAsia" w:eastAsiaTheme="minorEastAsia" w:cstheme="minorEastAsia"/>
                <w:snapToGrid w:val="0"/>
                <w:kern w:val="0"/>
                <w:sz w:val="21"/>
                <w:szCs w:val="21"/>
              </w:rPr>
              <w:t>发布澄清。</w:t>
            </w:r>
          </w:p>
        </w:tc>
      </w:tr>
      <w:tr w14:paraId="7901D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6FC4AC22">
            <w:pPr>
              <w:snapToGrid w:val="0"/>
              <w:spacing w:line="400" w:lineRule="exact"/>
              <w:jc w:val="center"/>
              <w:rPr>
                <w:rFonts w:ascii="宋体" w:hAnsi="宋体"/>
                <w:kern w:val="0"/>
                <w:szCs w:val="21"/>
                <w:highlight w:val="none"/>
              </w:rPr>
            </w:pPr>
          </w:p>
        </w:tc>
        <w:tc>
          <w:tcPr>
            <w:tcW w:w="1644" w:type="dxa"/>
            <w:vAlign w:val="center"/>
          </w:tcPr>
          <w:p w14:paraId="7FC4D50D">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14:paraId="34B1E3F9">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比选公告</w:t>
            </w:r>
            <w:r>
              <w:rPr>
                <w:rFonts w:hint="eastAsia" w:ascii="宋体" w:hAnsi="宋体"/>
                <w:szCs w:val="21"/>
                <w:highlight w:val="none"/>
              </w:rPr>
              <w:t>规定的投标截止时间。</w:t>
            </w:r>
          </w:p>
        </w:tc>
      </w:tr>
      <w:tr w14:paraId="1DE20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B87A24">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14:paraId="21E2D3D4">
            <w:pPr>
              <w:snapToGrid w:val="0"/>
              <w:spacing w:after="15" w:afterLines="5"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14:paraId="1B911BCE">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日的，须相应延后投标截止时间。</w:t>
            </w:r>
          </w:p>
        </w:tc>
      </w:tr>
      <w:tr w14:paraId="14C4A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18286D">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14:paraId="3CC3C989">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lang w:eastAsia="zh-CN"/>
              </w:rPr>
              <w:t>竞选文件</w:t>
            </w:r>
            <w:r>
              <w:rPr>
                <w:rFonts w:ascii="宋体" w:hAnsi="宋体"/>
                <w:kern w:val="0"/>
                <w:szCs w:val="21"/>
                <w:highlight w:val="none"/>
              </w:rPr>
              <w:t>的其他材料</w:t>
            </w:r>
          </w:p>
        </w:tc>
        <w:tc>
          <w:tcPr>
            <w:tcW w:w="6490" w:type="dxa"/>
            <w:vAlign w:val="center"/>
          </w:tcPr>
          <w:p w14:paraId="34EBC217">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的书面澄清、说明和补正（但不得改变</w:t>
            </w:r>
            <w:r>
              <w:rPr>
                <w:rFonts w:hint="eastAsia" w:ascii="宋体" w:hAnsi="宋体"/>
                <w:szCs w:val="21"/>
                <w:highlight w:val="none"/>
                <w:lang w:eastAsia="zh-CN"/>
              </w:rPr>
              <w:t>竞选文件</w:t>
            </w:r>
            <w:r>
              <w:rPr>
                <w:rFonts w:ascii="宋体" w:hAnsi="宋体"/>
                <w:szCs w:val="21"/>
                <w:highlight w:val="none"/>
              </w:rPr>
              <w:t>的实质性内容）</w:t>
            </w:r>
          </w:p>
        </w:tc>
      </w:tr>
      <w:tr w14:paraId="060DB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A0DBF1">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14:paraId="78EB2919">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14:paraId="150729C3">
            <w:pPr>
              <w:spacing w:line="360" w:lineRule="auto"/>
              <w:ind w:firstLine="420" w:firstLineChars="200"/>
              <w:rPr>
                <w:rFonts w:hint="default"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1.使用国有资金投资的建设工程发承包，必须采用工程量清单计价。工程量清单应采用综合单价计价。</w:t>
            </w:r>
            <w:r>
              <w:rPr>
                <w:rFonts w:hint="eastAsia" w:asciiTheme="minorEastAsia" w:hAnsiTheme="minorEastAsia" w:eastAsiaTheme="minorEastAsia" w:cstheme="minorEastAsia"/>
                <w:b/>
                <w:bCs/>
                <w:snapToGrid w:val="0"/>
                <w:kern w:val="0"/>
                <w:sz w:val="21"/>
                <w:szCs w:val="21"/>
                <w:lang w:val="en-US" w:eastAsia="zh-CN"/>
              </w:rPr>
              <w:t>工程量清单中列明全费用综合单价的清单项按全费用综合单价计价，全费用综合单价包含措施费、规费、利润、税金等其他费用。</w:t>
            </w:r>
          </w:p>
          <w:p w14:paraId="774B982C">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hint="eastAsia" w:asciiTheme="minorEastAsia" w:hAnsiTheme="minorEastAsia" w:eastAsiaTheme="minorEastAsia" w:cstheme="minorEastAsia"/>
                <w:snapToGrid w:val="0"/>
                <w:kern w:val="0"/>
                <w:sz w:val="21"/>
                <w:szCs w:val="21"/>
              </w:rPr>
              <w:footnoteReference w:id="0"/>
            </w:r>
            <w:r>
              <w:rPr>
                <w:rFonts w:hint="eastAsia" w:asciiTheme="minorEastAsia" w:hAnsiTheme="minorEastAsia" w:eastAsiaTheme="minorEastAsia" w:cstheme="minorEastAsia"/>
                <w:snapToGrid w:val="0"/>
                <w:kern w:val="0"/>
                <w:sz w:val="21"/>
                <w:szCs w:val="21"/>
              </w:rPr>
              <w:t>为依据。</w:t>
            </w:r>
          </w:p>
          <w:p w14:paraId="478E6156">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14:paraId="0CB85D2F">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4.投标函中的总报价必须与已标价工程量清单总报价一致。</w:t>
            </w:r>
          </w:p>
          <w:p w14:paraId="2FC384C0">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5.（1）在合同实施期间，单价和总价按专用合同条款第11条的规定可调整，投标人应填写比选文件第四卷第八章投标函附录中的价格指数和权重系数或确认基准日期前工程造价管理机构发布的信息价格。</w:t>
            </w:r>
          </w:p>
          <w:p w14:paraId="597EA6CD">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（2）增值税计税方法由比选人依据国家税法规定选择：一般计税法</w:t>
            </w:r>
          </w:p>
          <w:p w14:paraId="40D72A28">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6.如发现工程量清单中的数量与图纸中数量不一致，应于本须知2.2.1项中规定的时间前书面通知比选人核查，除非比选人以补遗书的形式予以更正，否则，应以工程量清单中列出的数量为准。</w:t>
            </w:r>
          </w:p>
          <w:p w14:paraId="29FDB4BF">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7.比选人在工程量清单中所列出的价格（包括</w:t>
            </w:r>
            <w:r>
              <w:rPr>
                <w:rFonts w:hint="eastAsia" w:asciiTheme="minorEastAsia" w:hAnsiTheme="minorEastAsia" w:eastAsiaTheme="minorEastAsia" w:cstheme="minorEastAsia"/>
                <w:snapToGrid w:val="0"/>
                <w:kern w:val="0"/>
                <w:sz w:val="21"/>
                <w:szCs w:val="21"/>
                <w:lang w:val="en-US" w:eastAsia="zh-CN"/>
              </w:rPr>
              <w:t>安全文明施工费、</w:t>
            </w:r>
            <w:r>
              <w:rPr>
                <w:rFonts w:hint="eastAsia" w:asciiTheme="minorEastAsia" w:hAnsiTheme="minorEastAsia" w:eastAsiaTheme="minorEastAsia" w:cstheme="minorEastAsia"/>
                <w:snapToGrid w:val="0"/>
                <w:kern w:val="0"/>
                <w:sz w:val="21"/>
                <w:szCs w:val="21"/>
              </w:rPr>
              <w:t>暂列金额、暂估价等），投标人不得修改。</w:t>
            </w:r>
          </w:p>
          <w:p w14:paraId="644B06B6">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8.本工程招标将设置投标总报价最高限价，投标总报价</w:t>
            </w:r>
            <w:r>
              <w:rPr>
                <w:rFonts w:hint="eastAsia" w:ascii="宋体" w:hAnsi="宋体"/>
                <w:b/>
                <w:bCs/>
                <w:color w:val="auto"/>
                <w:szCs w:val="21"/>
                <w:highlight w:val="none"/>
              </w:rPr>
              <w:t>最高限价为2461865.98元</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大写：贰佰肆拾陆万壹仟捌佰陆拾伍元玖角捌分</w:t>
            </w:r>
            <w:r>
              <w:rPr>
                <w:rFonts w:hint="eastAsia" w:ascii="宋体" w:hAnsi="宋体"/>
                <w:b/>
                <w:bCs/>
                <w:color w:val="auto"/>
                <w:szCs w:val="21"/>
                <w:highlight w:val="none"/>
                <w:lang w:eastAsia="zh-CN"/>
              </w:rPr>
              <w:t>）</w:t>
            </w:r>
            <w:r>
              <w:rPr>
                <w:rFonts w:hint="eastAsia" w:ascii="宋体" w:hAnsi="宋体"/>
                <w:color w:val="auto"/>
                <w:szCs w:val="21"/>
                <w:highlight w:val="none"/>
              </w:rPr>
              <w:t>，投标人的投标总报价不得超过其最高限价，否则由评标委员会作否决投标处理。</w:t>
            </w:r>
          </w:p>
          <w:p w14:paraId="2D35ECF4">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本工程招标将设置全部工程量清单综合单价最高限价，工程量清单综合单价最高限价随比选文件发布，投标人的每项工程量清单综合单价报价不得超过其对应清单综合单价最高限价。</w:t>
            </w:r>
          </w:p>
          <w:p w14:paraId="5196A5D1">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比选人</w:t>
            </w:r>
            <w:r>
              <w:rPr>
                <w:rFonts w:hint="eastAsia" w:ascii="宋体" w:hAnsi="宋体" w:cs="宋体"/>
                <w:szCs w:val="21"/>
                <w:highlight w:val="none"/>
              </w:rPr>
              <w:t>在合同签订前将对中标人已标价工程量清单进行清标。若发现中标人的工程量清单综合单价报价超过招标时给出的工程量清单综合单价最高限价的，在工程结算时</w:t>
            </w:r>
            <w:r>
              <w:rPr>
                <w:rFonts w:hint="eastAsia" w:ascii="宋体" w:hAnsi="宋体" w:cs="宋体"/>
                <w:szCs w:val="21"/>
                <w:highlight w:val="none"/>
                <w:lang w:eastAsia="zh-CN"/>
              </w:rPr>
              <w:t>比选人</w:t>
            </w:r>
            <w:r>
              <w:rPr>
                <w:rFonts w:hint="eastAsia" w:ascii="宋体" w:hAnsi="宋体" w:cs="宋体"/>
                <w:szCs w:val="21"/>
                <w:highlight w:val="none"/>
              </w:rPr>
              <w:t>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szCs w:val="21"/>
                <w:highlight w:val="none"/>
                <w:lang w:eastAsia="zh-CN"/>
              </w:rPr>
              <w:t>竞选人</w:t>
            </w:r>
            <w:r>
              <w:rPr>
                <w:rFonts w:hint="eastAsia" w:ascii="宋体" w:hAnsi="宋体" w:cs="宋体"/>
                <w:szCs w:val="21"/>
                <w:highlight w:val="none"/>
              </w:rPr>
              <w:t>须在</w:t>
            </w:r>
            <w:r>
              <w:rPr>
                <w:rFonts w:hint="eastAsia" w:ascii="宋体" w:hAnsi="宋体" w:cs="宋体"/>
                <w:szCs w:val="21"/>
                <w:highlight w:val="none"/>
                <w:lang w:eastAsia="zh-CN"/>
              </w:rPr>
              <w:t>竞选文件</w:t>
            </w:r>
            <w:r>
              <w:rPr>
                <w:rFonts w:hint="eastAsia" w:ascii="宋体" w:hAnsi="宋体" w:cs="宋体"/>
                <w:szCs w:val="21"/>
                <w:highlight w:val="none"/>
              </w:rPr>
              <w:t>资格审查部分提供承诺函，承诺函包括以下内容：</w:t>
            </w:r>
          </w:p>
          <w:p w14:paraId="18A2BCC0">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（1）符合第五章“工程量清单”给出的范围及数量。</w:t>
            </w:r>
          </w:p>
          <w:p w14:paraId="07A65530">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（2）招标文件中规定工程量清单不允许修改的内容不得修改。</w:t>
            </w:r>
          </w:p>
          <w:p w14:paraId="40093F27">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（3）每项工程量清单综合单价报价不得高于对应工程量清单综合单价最高限价。</w:t>
            </w:r>
          </w:p>
          <w:p w14:paraId="4D34425C">
            <w:pPr>
              <w:spacing w:after="0" w:line="400" w:lineRule="exact"/>
              <w:ind w:firstLine="420" w:firstLineChars="200"/>
              <w:rPr>
                <w:color w:val="auto"/>
                <w:highlight w:val="none"/>
              </w:rPr>
            </w:pPr>
            <w:r>
              <w:rPr>
                <w:color w:val="auto"/>
                <w:highlight w:val="none"/>
              </w:rPr>
              <w:t>9.安全文明施工费：</w:t>
            </w:r>
          </w:p>
          <w:p w14:paraId="25E9E0CC">
            <w:pPr>
              <w:snapToGrid w:val="0"/>
              <w:spacing w:after="0" w:line="400" w:lineRule="exact"/>
              <w:ind w:firstLine="420" w:firstLineChars="200"/>
              <w:rPr>
                <w:color w:val="auto"/>
                <w:highlight w:val="none"/>
              </w:rPr>
            </w:pPr>
            <w:r>
              <w:rPr>
                <w:color w:val="auto"/>
                <w:highlight w:val="none"/>
              </w:rPr>
              <w:t>9.1</w:t>
            </w:r>
            <w:r>
              <w:rPr>
                <w:rFonts w:hint="eastAsia"/>
                <w:color w:val="auto"/>
                <w:highlight w:val="none"/>
              </w:rPr>
              <w:t>根据《重庆城乡建设委员会关于印发</w:t>
            </w:r>
            <w:r>
              <w:rPr>
                <w:color w:val="auto"/>
                <w:highlight w:val="none"/>
              </w:rPr>
              <w:t>&lt;</w:t>
            </w:r>
            <w:r>
              <w:rPr>
                <w:rFonts w:hint="eastAsia"/>
                <w:color w:val="auto"/>
                <w:highlight w:val="none"/>
              </w:rPr>
              <w:t>重庆市建设工程安全文明施工费计取及使用管理规定</w:t>
            </w:r>
            <w:r>
              <w:rPr>
                <w:color w:val="auto"/>
                <w:highlight w:val="none"/>
              </w:rPr>
              <w:t>&gt;</w:t>
            </w:r>
            <w:r>
              <w:rPr>
                <w:rFonts w:hint="eastAsia"/>
                <w:color w:val="auto"/>
                <w:highlight w:val="none"/>
              </w:rPr>
              <w:t>的通知》（渝建发〔2014〕25号）规定，安全文明施工费由安全施工费、文明施工费、环境保护费及临时设施费组成。</w:t>
            </w:r>
          </w:p>
          <w:p w14:paraId="0467E922">
            <w:pPr>
              <w:spacing w:line="400" w:lineRule="exact"/>
              <w:ind w:firstLineChars="200"/>
              <w:rPr>
                <w:color w:val="auto"/>
                <w:highlight w:val="none"/>
              </w:rPr>
            </w:pPr>
            <w:r>
              <w:rPr>
                <w:color w:val="auto"/>
                <w:highlight w:val="none"/>
              </w:rPr>
              <w:t>9.2本工程安全文明施工费由</w:t>
            </w:r>
            <w:r>
              <w:rPr>
                <w:rFonts w:hint="eastAsia"/>
                <w:color w:val="auto"/>
                <w:highlight w:val="none"/>
                <w:lang w:eastAsia="zh-CN"/>
              </w:rPr>
              <w:t>比选人</w:t>
            </w:r>
            <w:r>
              <w:rPr>
                <w:color w:val="auto"/>
                <w:highlight w:val="none"/>
              </w:rPr>
              <w:t>根据《建设工程工程量清单计价规范》（GB50500-2013）、《重庆市建设工程工程量清单计价规则》（CQJJGZ-2013）、《</w:t>
            </w:r>
            <w:r>
              <w:rPr>
                <w:rFonts w:hint="eastAsia"/>
                <w:color w:val="auto"/>
                <w:highlight w:val="none"/>
              </w:rPr>
              <w:t>重庆市城乡建设委员会</w:t>
            </w:r>
            <w:r>
              <w:rPr>
                <w:color w:val="auto"/>
                <w:highlight w:val="none"/>
              </w:rPr>
              <w:t>关于印发&lt;重庆市建设工程安全文明施工费计取及使用管理规定&gt;的通知》（渝建发</w:t>
            </w:r>
            <w:r>
              <w:rPr>
                <w:rFonts w:hint="eastAsia"/>
                <w:color w:val="auto"/>
                <w:highlight w:val="none"/>
              </w:rPr>
              <w:t>〔</w:t>
            </w:r>
            <w:r>
              <w:rPr>
                <w:color w:val="auto"/>
                <w:highlight w:val="none"/>
              </w:rPr>
              <w:t>2014</w:t>
            </w:r>
            <w:r>
              <w:rPr>
                <w:rFonts w:hint="eastAsia"/>
                <w:color w:val="auto"/>
                <w:highlight w:val="none"/>
              </w:rPr>
              <w:t>〕</w:t>
            </w:r>
            <w:r>
              <w:rPr>
                <w:color w:val="auto"/>
                <w:highlight w:val="none"/>
              </w:rPr>
              <w:t>25号）</w:t>
            </w:r>
            <w:r>
              <w:rPr>
                <w:rFonts w:hint="eastAsia"/>
                <w:color w:val="auto"/>
                <w:highlight w:val="none"/>
              </w:rPr>
              <w:t>、《重庆市住房和城乡建设委员会关于调整建设施工现场形象品质提升安全文明施工费计取的通知》（渝建管〔2020〕97号）</w:t>
            </w:r>
            <w:r>
              <w:rPr>
                <w:color w:val="auto"/>
                <w:highlight w:val="none"/>
              </w:rPr>
              <w:t>、</w:t>
            </w:r>
            <w:r>
              <w:rPr>
                <w:rFonts w:hint="eastAsia"/>
                <w:color w:val="auto"/>
                <w:highlight w:val="none"/>
              </w:rPr>
              <w:t>《重庆市建设工程费用定额》（CQFYDE-2018）、《重庆市住房和城乡建设委员会关于适用增值税新税率调整建设工程计价依据的通知》（渝建〔2019〕143号）</w:t>
            </w:r>
            <w:r>
              <w:rPr>
                <w:color w:val="auto"/>
                <w:highlight w:val="none"/>
              </w:rPr>
              <w:t>的相关规定和费用标准单列计算，</w:t>
            </w:r>
            <w:r>
              <w:rPr>
                <w:b/>
                <w:bCs/>
                <w:color w:val="auto"/>
                <w:highlight w:val="none"/>
              </w:rPr>
              <w:t>安全文明施工费暂定金额</w:t>
            </w:r>
            <w:r>
              <w:rPr>
                <w:rFonts w:hint="eastAsia"/>
                <w:b/>
                <w:bCs/>
                <w:color w:val="auto"/>
                <w:highlight w:val="none"/>
                <w:lang w:val="en-US" w:eastAsia="zh-CN"/>
              </w:rPr>
              <w:t>为33873.65元</w:t>
            </w:r>
            <w:r>
              <w:rPr>
                <w:color w:val="auto"/>
                <w:highlight w:val="none"/>
              </w:rPr>
              <w:t>，与最高限价一起公布。《投标函》中的安全文明施工费</w:t>
            </w:r>
            <w:r>
              <w:rPr>
                <w:rFonts w:hint="eastAsia"/>
                <w:color w:val="auto"/>
                <w:highlight w:val="none"/>
                <w:lang w:val="en-US" w:eastAsia="zh-CN"/>
              </w:rPr>
              <w:t>金额或工程量清单中安全文明施工费的汇总金额未</w:t>
            </w:r>
            <w:r>
              <w:rPr>
                <w:color w:val="auto"/>
                <w:highlight w:val="none"/>
              </w:rPr>
              <w:t>按照</w:t>
            </w:r>
            <w:r>
              <w:rPr>
                <w:rFonts w:hint="eastAsia"/>
                <w:color w:val="auto"/>
                <w:highlight w:val="none"/>
                <w:lang w:eastAsia="zh-CN"/>
              </w:rPr>
              <w:t>比选人</w:t>
            </w:r>
            <w:r>
              <w:rPr>
                <w:color w:val="auto"/>
                <w:highlight w:val="none"/>
              </w:rPr>
              <w:t>给出的暂定金额填报</w:t>
            </w:r>
            <w:r>
              <w:rPr>
                <w:rFonts w:hint="eastAsia"/>
                <w:color w:val="auto"/>
                <w:highlight w:val="none"/>
                <w:lang w:val="en-US" w:eastAsia="zh-CN"/>
              </w:rPr>
              <w:t>的</w:t>
            </w:r>
            <w:r>
              <w:rPr>
                <w:color w:val="auto"/>
                <w:highlight w:val="none"/>
              </w:rPr>
              <w:t>，视为对招标文件不作实质性响应，其投标文件</w:t>
            </w:r>
            <w:r>
              <w:rPr>
                <w:rFonts w:hint="eastAsia"/>
                <w:color w:val="auto"/>
                <w:highlight w:val="none"/>
              </w:rPr>
              <w:t>由评标委员会</w:t>
            </w:r>
            <w:r>
              <w:rPr>
                <w:color w:val="auto"/>
                <w:highlight w:val="none"/>
              </w:rPr>
              <w:t>作否决投标处理。</w:t>
            </w:r>
            <w:r>
              <w:rPr>
                <w:rFonts w:hint="eastAsia"/>
                <w:color w:val="auto"/>
                <w:highlight w:val="none"/>
              </w:rPr>
              <w:t>注：采用全费用清单计价的项目，安全文明施工费仅针对《投标函》中的安全文明施工费进行评审。</w:t>
            </w:r>
          </w:p>
          <w:p w14:paraId="7BEECCFF">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58DFC59F">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11.本项目建筑安装材料价格风险按照《重庆市城乡建设委员会关于进一步加强建筑安装材料价格风险管控的指导意见》（渝建〔2018〕61号）执行。本项目主要材料及设备价格风险内容、范围及调整方法为：不调整。</w:t>
            </w:r>
          </w:p>
          <w:p w14:paraId="58B80FEF">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12.本项目所采用技术、工艺和产品等必须执行重庆市住房和城乡建设委员会关于发布《重庆市建设领域禁止、限制使用落后技术通告（2019年版）（渝建发〔2019〕25号）的规定。</w:t>
            </w:r>
          </w:p>
          <w:p w14:paraId="2B77820E">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13.本工程主体结构若需混凝土，则必须使用商品混凝土，不得自建搅拌站。</w:t>
            </w:r>
          </w:p>
          <w:p w14:paraId="37F722AD">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14. 报价原则：投标报价中应包含为实施和完成本项目所需的分部分项工程费（含人工费、材料费、施工机具使用费、企业管理费、利润、一般风险费和其他风险费）、措施项目费（含施工组织措施项目费、安全文明施工费和施工技术措施项目费）、其他项目费、规费、税金和其他风险费。</w:t>
            </w:r>
          </w:p>
          <w:p w14:paraId="3E6D114A">
            <w:r>
              <w:rPr>
                <w:rFonts w:hint="eastAsia" w:asciiTheme="minorEastAsia" w:hAnsiTheme="minorEastAsia" w:eastAsiaTheme="minorEastAsia" w:cstheme="minorEastAsia"/>
                <w:snapToGrid w:val="0"/>
                <w:kern w:val="0"/>
                <w:sz w:val="21"/>
                <w:szCs w:val="21"/>
              </w:rPr>
              <w:t>15、</w:t>
            </w:r>
            <w:r>
              <w:rPr>
                <w:rFonts w:hint="eastAsia" w:asciiTheme="minorEastAsia" w:hAnsiTheme="minorEastAsia" w:eastAsiaTheme="minorEastAsia" w:cstheme="minorEastAsia"/>
                <w:b/>
                <w:bCs/>
                <w:snapToGrid w:val="0"/>
                <w:kern w:val="0"/>
                <w:sz w:val="21"/>
                <w:szCs w:val="21"/>
              </w:rPr>
              <w:t>本项目无论因设计变更或施工工艺变化等任何因素而引起实际施工技术措施费的变化，均按投标时施工技术措施项目费的报价作为结算价。</w:t>
            </w:r>
          </w:p>
        </w:tc>
      </w:tr>
      <w:tr w14:paraId="3C2DE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60EA26">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14:paraId="2F2500F8">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14:paraId="174580E1">
            <w:pPr>
              <w:snapToGrid w:val="0"/>
              <w:spacing w:line="400" w:lineRule="exact"/>
              <w:ind w:firstLine="420" w:firstLineChars="200"/>
              <w:rPr>
                <w:rFonts w:ascii="宋体" w:hAns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90</w:t>
            </w:r>
            <w:r>
              <w:rPr>
                <w:rFonts w:ascii="宋体" w:hAnsi="宋体"/>
                <w:szCs w:val="21"/>
                <w:highlight w:val="none"/>
                <w:u w:val="single"/>
              </w:rPr>
              <w:t xml:space="preserve"> </w:t>
            </w:r>
            <w:r>
              <w:rPr>
                <w:rFonts w:ascii="宋体" w:hAnsi="宋体"/>
                <w:szCs w:val="21"/>
                <w:highlight w:val="none"/>
              </w:rPr>
              <w:t>日历天（从提交</w:t>
            </w:r>
            <w:r>
              <w:rPr>
                <w:rFonts w:hint="eastAsia" w:ascii="宋体" w:hAnsi="宋体"/>
                <w:szCs w:val="21"/>
                <w:highlight w:val="none"/>
                <w:lang w:eastAsia="zh-CN"/>
              </w:rPr>
              <w:t>竞选文件</w:t>
            </w:r>
            <w:r>
              <w:rPr>
                <w:rFonts w:ascii="宋体" w:hAnsi="宋体"/>
                <w:szCs w:val="21"/>
                <w:highlight w:val="none"/>
              </w:rPr>
              <w:t>截止日起计算）</w:t>
            </w:r>
          </w:p>
        </w:tc>
      </w:tr>
      <w:tr w14:paraId="3EF08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9979CD">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14:paraId="32CBA3F8">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14:paraId="56DF2107">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14:paraId="2E736100">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14:paraId="163E1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EFDF6A">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14:paraId="6DE34892">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lang w:eastAsia="zh-CN"/>
              </w:rPr>
              <w:t>竞选文件</w:t>
            </w:r>
            <w:r>
              <w:rPr>
                <w:rFonts w:hint="eastAsia" w:ascii="宋体" w:hAnsi="宋体"/>
                <w:kern w:val="0"/>
                <w:szCs w:val="21"/>
                <w:highlight w:val="none"/>
              </w:rPr>
              <w:t>格式要求</w:t>
            </w:r>
          </w:p>
        </w:tc>
        <w:tc>
          <w:tcPr>
            <w:tcW w:w="6490" w:type="dxa"/>
            <w:vAlign w:val="center"/>
          </w:tcPr>
          <w:p w14:paraId="511AA3F6">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时不得对第八章“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14:paraId="6FFF2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A1EBAD">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14:paraId="1F50D3EB">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14:paraId="066EA193">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竞选文件</w:t>
            </w:r>
            <w:r>
              <w:rPr>
                <w:rFonts w:hint="eastAsia" w:ascii="宋体" w:hAnsi="宋体"/>
                <w:szCs w:val="21"/>
                <w:highlight w:val="none"/>
              </w:rPr>
              <w:t>应用不褪色的材料书写或打印，并由</w:t>
            </w:r>
            <w:r>
              <w:rPr>
                <w:rFonts w:hint="eastAsia" w:ascii="宋体" w:hAnsi="宋体"/>
                <w:szCs w:val="21"/>
                <w:highlight w:val="none"/>
                <w:lang w:eastAsia="zh-CN"/>
              </w:rPr>
              <w:t>竞选人</w:t>
            </w:r>
            <w:r>
              <w:rPr>
                <w:rFonts w:hint="eastAsia" w:ascii="宋体" w:hAnsi="宋体"/>
                <w:szCs w:val="21"/>
                <w:highlight w:val="none"/>
              </w:rPr>
              <w:t>的法定代表人或其委托代理人在招标文件规定的位置按招标文件要求签名或盖章、盖单位法人章。委托代理人签名的，</w:t>
            </w:r>
            <w:r>
              <w:rPr>
                <w:rFonts w:hint="eastAsia" w:ascii="宋体" w:hAnsi="宋体"/>
                <w:szCs w:val="21"/>
                <w:highlight w:val="none"/>
                <w:lang w:eastAsia="zh-CN"/>
              </w:rPr>
              <w:t>竞选文件</w:t>
            </w:r>
            <w:r>
              <w:rPr>
                <w:rFonts w:hint="eastAsia" w:ascii="宋体" w:hAnsi="宋体"/>
                <w:szCs w:val="21"/>
                <w:highlight w:val="none"/>
              </w:rPr>
              <w:t>应附法定代表人签署的授权委托书。</w:t>
            </w:r>
            <w:r>
              <w:rPr>
                <w:rFonts w:hint="eastAsia" w:ascii="宋体" w:hAnsi="宋体"/>
                <w:szCs w:val="21"/>
                <w:highlight w:val="none"/>
                <w:lang w:eastAsia="zh-CN"/>
              </w:rPr>
              <w:t>竞选文件</w:t>
            </w:r>
            <w:r>
              <w:rPr>
                <w:rFonts w:hint="eastAsia" w:ascii="宋体" w:hAnsi="宋体"/>
                <w:szCs w:val="21"/>
                <w:highlight w:val="none"/>
              </w:rPr>
              <w:t>应尽量避免涂改、行间插字或删除。如果出现上述情况，改动之处应加盖单位法人章或由</w:t>
            </w:r>
            <w:r>
              <w:rPr>
                <w:rFonts w:hint="eastAsia" w:ascii="宋体" w:hAnsi="宋体"/>
                <w:szCs w:val="21"/>
                <w:highlight w:val="none"/>
                <w:lang w:eastAsia="zh-CN"/>
              </w:rPr>
              <w:t>竞选人</w:t>
            </w:r>
            <w:r>
              <w:rPr>
                <w:rFonts w:hint="eastAsia" w:ascii="宋体" w:hAnsi="宋体"/>
                <w:szCs w:val="21"/>
                <w:highlight w:val="none"/>
              </w:rPr>
              <w:t>的法定代表人或其授权的代理人签名确认。</w:t>
            </w:r>
          </w:p>
          <w:p w14:paraId="716024E2">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14:paraId="4214B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1CBCCF">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14:paraId="493BA651">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的份数</w:t>
            </w:r>
          </w:p>
        </w:tc>
        <w:tc>
          <w:tcPr>
            <w:tcW w:w="6490" w:type="dxa"/>
            <w:vAlign w:val="center"/>
          </w:tcPr>
          <w:p w14:paraId="71404750">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份，电子版形式（光盘</w:t>
            </w:r>
            <w:r>
              <w:rPr>
                <w:rFonts w:hint="eastAsia" w:ascii="宋体" w:hAnsi="宋体"/>
                <w:kern w:val="0"/>
                <w:szCs w:val="21"/>
                <w:highlight w:val="none"/>
                <w:lang w:val="en-US" w:eastAsia="zh-CN"/>
              </w:rPr>
              <w:t>或U盘</w:t>
            </w:r>
            <w:r>
              <w:rPr>
                <w:rFonts w:hint="eastAsia" w:ascii="宋体" w:hAnsi="宋体"/>
                <w:kern w:val="0"/>
                <w:szCs w:val="21"/>
                <w:highlight w:val="none"/>
              </w:rPr>
              <w:t>）1份。当副本和正本不一致时，以正本为准。否则由评标委员会作否决投标处理。</w:t>
            </w:r>
          </w:p>
        </w:tc>
      </w:tr>
      <w:tr w14:paraId="4805C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78666D">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14:paraId="1F208F51">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14:paraId="2ADE36FA">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应将</w:t>
            </w:r>
            <w:r>
              <w:rPr>
                <w:rFonts w:hint="eastAsia" w:ascii="宋体" w:hAnsi="宋体"/>
                <w:szCs w:val="21"/>
                <w:highlight w:val="none"/>
                <w:lang w:eastAsia="zh-CN"/>
              </w:rPr>
              <w:t>竞选函</w:t>
            </w:r>
            <w:r>
              <w:rPr>
                <w:rFonts w:ascii="宋体" w:hAnsi="宋体"/>
                <w:szCs w:val="21"/>
                <w:highlight w:val="none"/>
              </w:rPr>
              <w:t>部分、</w:t>
            </w:r>
            <w:r>
              <w:rPr>
                <w:rFonts w:hint="eastAsia" w:ascii="宋体" w:hAnsi="宋体"/>
                <w:szCs w:val="21"/>
                <w:highlight w:val="none"/>
              </w:rPr>
              <w:t>经济</w:t>
            </w:r>
            <w:r>
              <w:rPr>
                <w:rFonts w:ascii="宋体" w:hAnsi="宋体"/>
                <w:szCs w:val="21"/>
                <w:highlight w:val="none"/>
              </w:rPr>
              <w:t>部分、</w:t>
            </w:r>
            <w:r>
              <w:rPr>
                <w:rFonts w:hint="eastAsia" w:ascii="宋体" w:hAnsi="宋体"/>
                <w:kern w:val="0"/>
                <w:szCs w:val="21"/>
                <w:highlight w:val="none"/>
              </w:rPr>
              <w:t>资格审查部分</w:t>
            </w:r>
            <w:r>
              <w:rPr>
                <w:rFonts w:ascii="宋体" w:hAnsi="宋体"/>
                <w:szCs w:val="21"/>
                <w:highlight w:val="none"/>
              </w:rPr>
              <w:t>各自分别装订成册。</w:t>
            </w:r>
          </w:p>
          <w:p w14:paraId="653E5C63">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2、装订</w:t>
            </w:r>
          </w:p>
          <w:p w14:paraId="6E4360EC">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竞选函</w:t>
            </w:r>
            <w:r>
              <w:rPr>
                <w:rFonts w:ascii="宋体" w:hAnsi="宋体"/>
                <w:szCs w:val="21"/>
                <w:highlight w:val="none"/>
              </w:rPr>
              <w:t>部分的装订要求</w:t>
            </w:r>
          </w:p>
          <w:p w14:paraId="73483068">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14:paraId="25EF4EB8">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经济</w:t>
            </w:r>
            <w:r>
              <w:rPr>
                <w:rFonts w:ascii="宋体" w:hAnsi="宋体"/>
                <w:szCs w:val="21"/>
                <w:highlight w:val="none"/>
              </w:rPr>
              <w:t>部分的装订要求</w:t>
            </w:r>
          </w:p>
          <w:p w14:paraId="66414D29">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hint="eastAsia" w:ascii="宋体" w:hAnsi="宋体"/>
                <w:szCs w:val="21"/>
                <w:highlight w:val="none"/>
              </w:rPr>
              <w:t>，标注页码。</w:t>
            </w:r>
          </w:p>
          <w:p w14:paraId="3BBA2604">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14:paraId="7675D97E">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tc>
      </w:tr>
      <w:tr w14:paraId="76A8C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1D35EC">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14:paraId="549D8A0B">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的密封</w:t>
            </w:r>
          </w:p>
        </w:tc>
        <w:tc>
          <w:tcPr>
            <w:tcW w:w="6490" w:type="dxa"/>
            <w:vAlign w:val="center"/>
          </w:tcPr>
          <w:p w14:paraId="19F1BE9C">
            <w:pPr>
              <w:adjustRightInd w:val="0"/>
              <w:snapToGrid w:val="0"/>
              <w:spacing w:line="400" w:lineRule="exact"/>
              <w:ind w:firstLine="420" w:firstLineChars="200"/>
              <w:rPr>
                <w:rFonts w:ascii="宋体" w:hAnsi="宋体"/>
                <w:szCs w:val="21"/>
                <w:highlight w:val="none"/>
              </w:rPr>
            </w:pPr>
            <w:r>
              <w:rPr>
                <w:rFonts w:hint="eastAsia" w:ascii="宋体" w:hAnsi="宋体"/>
                <w:szCs w:val="21"/>
              </w:rPr>
              <w:t>应用“投标文件”袋单独封装，并在封口处加盖投标人单位法人章，同时“投标文件”袋应按本表第4.1.2项的规定写明相应内容。“投标文件”袋未按要求密封的，</w:t>
            </w:r>
            <w:r>
              <w:rPr>
                <w:rFonts w:hint="eastAsia" w:ascii="宋体" w:hAnsi="宋体"/>
                <w:szCs w:val="21"/>
                <w:lang w:val="en-US" w:eastAsia="zh-CN"/>
              </w:rPr>
              <w:t>比选</w:t>
            </w:r>
            <w:r>
              <w:rPr>
                <w:rFonts w:hint="eastAsia" w:ascii="宋体" w:hAnsi="宋体"/>
                <w:szCs w:val="21"/>
              </w:rPr>
              <w:t>人应该拒收。</w:t>
            </w:r>
          </w:p>
        </w:tc>
      </w:tr>
      <w:tr w14:paraId="462CD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20FDE8">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14:paraId="6D76A39D">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14:paraId="31A2CEB2">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lang w:eastAsia="zh-CN"/>
              </w:rPr>
              <w:t>竞选文件</w:t>
            </w:r>
            <w:r>
              <w:rPr>
                <w:rFonts w:ascii="宋体" w:hAnsi="宋体"/>
                <w:kern w:val="0"/>
                <w:szCs w:val="21"/>
                <w:highlight w:val="none"/>
              </w:rPr>
              <w:t>”大袋封套上写明如下内容：</w:t>
            </w:r>
          </w:p>
          <w:p w14:paraId="53DECE4C">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名称：</w:t>
            </w:r>
            <w:r>
              <w:rPr>
                <w:rFonts w:hint="eastAsia" w:ascii="宋体" w:hAnsi="宋体"/>
                <w:kern w:val="0"/>
                <w:szCs w:val="21"/>
                <w:highlight w:val="none"/>
                <w:u w:val="single"/>
              </w:rPr>
              <w:t xml:space="preserve">            </w:t>
            </w:r>
          </w:p>
          <w:p w14:paraId="4286756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竞选人</w:t>
            </w:r>
            <w:r>
              <w:rPr>
                <w:rFonts w:hint="eastAsia" w:ascii="宋体" w:hAnsi="宋体"/>
                <w:kern w:val="0"/>
                <w:szCs w:val="21"/>
                <w:highlight w:val="none"/>
              </w:rPr>
              <w:t>名称：</w:t>
            </w:r>
            <w:r>
              <w:rPr>
                <w:rFonts w:hint="eastAsia" w:ascii="宋体" w:hAnsi="宋体"/>
                <w:kern w:val="0"/>
                <w:szCs w:val="21"/>
                <w:highlight w:val="none"/>
                <w:u w:val="single"/>
              </w:rPr>
              <w:t xml:space="preserve">            </w:t>
            </w:r>
          </w:p>
          <w:p w14:paraId="34602A5F">
            <w:pPr>
              <w:snapToGrid w:val="0"/>
              <w:spacing w:line="400" w:lineRule="exact"/>
              <w:ind w:firstLine="420" w:firstLineChars="200"/>
              <w:rPr>
                <w:rFonts w:hint="eastAsia" w:ascii="宋体" w:hAnsi="宋体" w:eastAsia="宋体"/>
                <w:kern w:val="0"/>
                <w:szCs w:val="21"/>
                <w:highlight w:val="none"/>
                <w:lang w:eastAsia="zh-CN"/>
              </w:rPr>
            </w:pPr>
            <w:r>
              <w:rPr>
                <w:rFonts w:ascii="宋体" w:hAnsi="宋体"/>
                <w:kern w:val="0"/>
                <w:szCs w:val="21"/>
                <w:highlight w:val="none"/>
                <w:u w:val="single"/>
              </w:rPr>
              <w:t xml:space="preserve">                （项目名称）</w:t>
            </w:r>
            <w:r>
              <w:rPr>
                <w:rFonts w:hint="eastAsia" w:ascii="宋体" w:hAnsi="宋体"/>
                <w:kern w:val="0"/>
                <w:szCs w:val="21"/>
                <w:highlight w:val="none"/>
                <w:lang w:eastAsia="zh-CN"/>
              </w:rPr>
              <w:t>竞选文件</w:t>
            </w:r>
          </w:p>
          <w:p w14:paraId="375F09D9">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14:paraId="15BF1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2018CB">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14:paraId="46B6309D">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lang w:eastAsia="zh-CN"/>
              </w:rPr>
              <w:t>竞选文件</w:t>
            </w:r>
            <w:r>
              <w:rPr>
                <w:rFonts w:ascii="宋体" w:hAnsi="宋体"/>
                <w:kern w:val="0"/>
                <w:szCs w:val="21"/>
                <w:highlight w:val="none"/>
              </w:rPr>
              <w:t>地点</w:t>
            </w:r>
          </w:p>
        </w:tc>
        <w:tc>
          <w:tcPr>
            <w:tcW w:w="6490" w:type="dxa"/>
            <w:vAlign w:val="center"/>
          </w:tcPr>
          <w:p w14:paraId="256A3E4A">
            <w:pPr>
              <w:snapToGrid w:val="0"/>
              <w:spacing w:line="400" w:lineRule="exact"/>
              <w:ind w:firstLine="420" w:firstLineChars="200"/>
              <w:rPr>
                <w:rFonts w:hint="default" w:ascii="宋体" w:hAnsi="宋体" w:eastAsia="宋体"/>
                <w:bCs/>
                <w:i/>
                <w:szCs w:val="21"/>
                <w:highlight w:val="none"/>
                <w:lang w:val="en-US" w:eastAsia="zh-CN"/>
              </w:rPr>
            </w:pP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14:paraId="378A7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6FEA82">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14:paraId="06AB361A">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是否退还</w:t>
            </w:r>
            <w:r>
              <w:rPr>
                <w:rFonts w:hint="eastAsia" w:ascii="宋体" w:hAnsi="宋体"/>
                <w:kern w:val="0"/>
                <w:szCs w:val="21"/>
                <w:highlight w:val="none"/>
                <w:lang w:eastAsia="zh-CN"/>
              </w:rPr>
              <w:t>竞选文件</w:t>
            </w:r>
          </w:p>
        </w:tc>
        <w:tc>
          <w:tcPr>
            <w:tcW w:w="6490" w:type="dxa"/>
            <w:vAlign w:val="center"/>
          </w:tcPr>
          <w:p w14:paraId="119839C6">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w:t>
            </w:r>
          </w:p>
        </w:tc>
      </w:tr>
      <w:tr w14:paraId="6E40C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ED950A">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14:paraId="7021C4F7">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14:paraId="1D5A31F9">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14:paraId="245A2A98">
            <w:pPr>
              <w:snapToGrid w:val="0"/>
              <w:spacing w:line="400" w:lineRule="exact"/>
              <w:ind w:firstLine="420" w:firstLineChars="200"/>
              <w:rPr>
                <w:rFonts w:hint="default" w:ascii="宋体" w:hAnsi="宋体" w:eastAsia="宋体"/>
                <w:kern w:val="0"/>
                <w:szCs w:val="21"/>
                <w:highlight w:val="none"/>
                <w:lang w:val="en-US" w:eastAsia="zh-CN"/>
              </w:rPr>
            </w:pPr>
            <w:r>
              <w:rPr>
                <w:rFonts w:ascii="宋体" w:hAnsi="宋体"/>
                <w:kern w:val="0"/>
                <w:szCs w:val="21"/>
                <w:highlight w:val="none"/>
              </w:rPr>
              <w:t>开标时间：</w:t>
            </w:r>
            <w:r>
              <w:rPr>
                <w:rFonts w:hint="eastAsia" w:ascii="宋体" w:hAnsi="宋体"/>
                <w:kern w:val="0"/>
                <w:szCs w:val="21"/>
                <w:highlight w:val="none"/>
                <w:lang w:val="en-US" w:eastAsia="zh-CN"/>
              </w:rPr>
              <w:t>2024年6月28日10时00分</w:t>
            </w:r>
          </w:p>
          <w:p w14:paraId="02D73D82">
            <w:pPr>
              <w:snapToGrid w:val="0"/>
              <w:spacing w:line="400" w:lineRule="exact"/>
              <w:ind w:firstLine="420" w:firstLineChars="200"/>
              <w:rPr>
                <w:rFonts w:hint="default" w:ascii="宋体" w:hAnsi="宋体"/>
                <w:bCs/>
                <w:i/>
                <w:szCs w:val="21"/>
                <w:highlight w:val="none"/>
                <w:lang w:val="en-US"/>
              </w:rPr>
            </w:pPr>
            <w:r>
              <w:rPr>
                <w:rFonts w:ascii="宋体" w:hAnsi="宋体"/>
                <w:kern w:val="0"/>
                <w:szCs w:val="21"/>
                <w:highlight w:val="none"/>
              </w:rPr>
              <w:t>开标地点</w:t>
            </w:r>
            <w:r>
              <w:rPr>
                <w:rFonts w:hint="eastAsia" w:ascii="宋体" w:hAnsi="宋体"/>
                <w:kern w:val="0"/>
                <w:szCs w:val="21"/>
                <w:highlight w:val="none"/>
                <w:lang w:val="en-US" w:eastAsia="zh-CN"/>
              </w:rPr>
              <w:t>：</w:t>
            </w: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14:paraId="74513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1AA233">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14:paraId="5A0873D5">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14:paraId="1C0B636C">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14:paraId="0B811DE8">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szCs w:val="21"/>
                <w:highlight w:val="none"/>
              </w:rPr>
              <w:t>1. 核验参加开标会议的</w:t>
            </w:r>
            <w:r>
              <w:rPr>
                <w:rFonts w:hint="eastAsia" w:ascii="宋体" w:hAnsi="宋体"/>
                <w:szCs w:val="21"/>
                <w:highlight w:val="none"/>
                <w:lang w:eastAsia="zh-CN"/>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w:t>
            </w:r>
            <w:r>
              <w:rPr>
                <w:rFonts w:hint="eastAsia" w:ascii="宋体" w:hAnsi="宋体"/>
                <w:color w:val="auto"/>
                <w:szCs w:val="21"/>
                <w:highlight w:val="none"/>
              </w:rPr>
              <w:t>否参加开标会，不参加开标会的视为默认开标结果。</w:t>
            </w:r>
          </w:p>
          <w:p w14:paraId="5F274C1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 公布在投标截止时间前递交</w:t>
            </w:r>
            <w:r>
              <w:rPr>
                <w:rFonts w:hint="eastAsia" w:ascii="宋体" w:hAnsi="宋体"/>
                <w:color w:val="auto"/>
                <w:szCs w:val="21"/>
                <w:highlight w:val="none"/>
                <w:lang w:eastAsia="zh-CN"/>
              </w:rPr>
              <w:t>竞选文件</w:t>
            </w:r>
            <w:r>
              <w:rPr>
                <w:rFonts w:ascii="宋体" w:hAnsi="宋体"/>
                <w:color w:val="auto"/>
                <w:szCs w:val="21"/>
                <w:highlight w:val="none"/>
              </w:rPr>
              <w:t>的</w:t>
            </w:r>
            <w:r>
              <w:rPr>
                <w:rFonts w:hint="eastAsia" w:ascii="宋体" w:hAnsi="宋体"/>
                <w:color w:val="auto"/>
                <w:szCs w:val="21"/>
                <w:highlight w:val="none"/>
                <w:lang w:eastAsia="zh-CN"/>
              </w:rPr>
              <w:t>竞选人</w:t>
            </w:r>
            <w:r>
              <w:rPr>
                <w:rFonts w:ascii="宋体" w:hAnsi="宋体"/>
                <w:color w:val="auto"/>
                <w:szCs w:val="21"/>
                <w:highlight w:val="none"/>
              </w:rPr>
              <w:t>名称</w:t>
            </w:r>
            <w:r>
              <w:rPr>
                <w:rFonts w:hint="eastAsia" w:ascii="宋体" w:hAnsi="宋体"/>
                <w:color w:val="auto"/>
                <w:szCs w:val="21"/>
                <w:highlight w:val="none"/>
              </w:rPr>
              <w:t>。</w:t>
            </w:r>
          </w:p>
          <w:p w14:paraId="7CB51A0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 xml:space="preserve">. </w:t>
            </w:r>
            <w:r>
              <w:rPr>
                <w:rFonts w:hint="eastAsia" w:ascii="宋体" w:hAnsi="宋体"/>
                <w:color w:val="auto"/>
                <w:szCs w:val="21"/>
                <w:highlight w:val="none"/>
                <w:lang w:eastAsia="zh-CN"/>
              </w:rPr>
              <w:t>竞选文件</w:t>
            </w:r>
            <w:r>
              <w:rPr>
                <w:rFonts w:hint="eastAsia" w:ascii="宋体" w:hAnsi="宋体"/>
                <w:color w:val="auto"/>
                <w:szCs w:val="21"/>
                <w:highlight w:val="none"/>
              </w:rPr>
              <w:t>的密封检查：</w:t>
            </w:r>
            <w:r>
              <w:rPr>
                <w:rFonts w:hint="eastAsia" w:ascii="宋体" w:hAnsi="宋体"/>
                <w:color w:val="auto"/>
                <w:szCs w:val="21"/>
                <w:highlight w:val="none"/>
                <w:lang w:eastAsia="zh-CN"/>
              </w:rPr>
              <w:t>竞选人</w:t>
            </w:r>
            <w:r>
              <w:rPr>
                <w:rFonts w:hint="eastAsia" w:ascii="宋体" w:hAnsi="宋体"/>
                <w:color w:val="auto"/>
                <w:szCs w:val="21"/>
                <w:highlight w:val="none"/>
              </w:rPr>
              <w:t>可对自己的</w:t>
            </w:r>
            <w:r>
              <w:rPr>
                <w:rFonts w:hint="eastAsia" w:ascii="宋体" w:hAnsi="宋体"/>
                <w:color w:val="auto"/>
                <w:szCs w:val="21"/>
                <w:highlight w:val="none"/>
                <w:lang w:eastAsia="zh-CN"/>
              </w:rPr>
              <w:t>竞选文件</w:t>
            </w:r>
            <w:r>
              <w:rPr>
                <w:rFonts w:hint="eastAsia" w:ascii="宋体" w:hAnsi="宋体"/>
                <w:color w:val="auto"/>
                <w:szCs w:val="21"/>
                <w:highlight w:val="none"/>
              </w:rPr>
              <w:t>封装情况进行检查，以确认其</w:t>
            </w:r>
            <w:r>
              <w:rPr>
                <w:rFonts w:hint="eastAsia" w:ascii="宋体" w:hAnsi="宋体"/>
                <w:color w:val="auto"/>
                <w:szCs w:val="21"/>
                <w:highlight w:val="none"/>
                <w:lang w:eastAsia="zh-CN"/>
              </w:rPr>
              <w:t>竞选文件</w:t>
            </w:r>
            <w:r>
              <w:rPr>
                <w:rFonts w:hint="eastAsia" w:ascii="宋体" w:hAnsi="宋体"/>
                <w:color w:val="auto"/>
                <w:szCs w:val="21"/>
                <w:highlight w:val="none"/>
              </w:rPr>
              <w:t>密封完好。</w:t>
            </w:r>
          </w:p>
          <w:p w14:paraId="39A33D2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 公布最高限价</w:t>
            </w:r>
            <w:r>
              <w:rPr>
                <w:rFonts w:hint="eastAsia" w:ascii="宋体" w:hAnsi="宋体"/>
                <w:color w:val="auto"/>
                <w:szCs w:val="21"/>
                <w:highlight w:val="none"/>
              </w:rPr>
              <w:t>。</w:t>
            </w:r>
          </w:p>
          <w:p w14:paraId="2F3F70B2">
            <w:pPr>
              <w:snapToGrid w:val="0"/>
              <w:spacing w:line="400" w:lineRule="exact"/>
              <w:ind w:firstLine="420" w:firstLineChars="200"/>
              <w:rPr>
                <w:rFonts w:ascii="宋体" w:hAnsi="宋体"/>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lang w:eastAsia="zh-CN"/>
              </w:rPr>
              <w:t>竞选文件</w:t>
            </w:r>
            <w:r>
              <w:rPr>
                <w:rFonts w:ascii="宋体" w:hAnsi="宋体"/>
                <w:color w:val="auto"/>
                <w:szCs w:val="21"/>
                <w:highlight w:val="none"/>
              </w:rPr>
              <w:t>。公布</w:t>
            </w:r>
            <w:r>
              <w:rPr>
                <w:rFonts w:hint="eastAsia" w:ascii="宋体" w:hAnsi="宋体"/>
                <w:szCs w:val="21"/>
                <w:highlight w:val="none"/>
                <w:lang w:eastAsia="zh-CN"/>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14:paraId="0D4C1ED5">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eastAsia="zh-CN"/>
              </w:rPr>
              <w:t>竞选人</w:t>
            </w:r>
            <w:r>
              <w:rPr>
                <w:rFonts w:hint="eastAsia" w:ascii="宋体" w:hAnsi="宋体"/>
                <w:szCs w:val="21"/>
                <w:highlight w:val="none"/>
              </w:rPr>
              <w:t>对开标有异议的，应当场提出，由</w:t>
            </w:r>
            <w:r>
              <w:rPr>
                <w:rFonts w:hint="eastAsia" w:ascii="宋体" w:hAnsi="宋体"/>
                <w:szCs w:val="21"/>
                <w:highlight w:val="none"/>
                <w:lang w:eastAsia="zh-CN"/>
              </w:rPr>
              <w:t>比选人</w:t>
            </w:r>
            <w:r>
              <w:rPr>
                <w:rFonts w:hint="eastAsia" w:ascii="宋体" w:hAnsi="宋体"/>
                <w:szCs w:val="21"/>
                <w:highlight w:val="none"/>
              </w:rPr>
              <w:t>或代理机构当场答复，并记录到开标记录表中。异议处理完毕后，汇总开标情况，打印开标记录表。</w:t>
            </w:r>
          </w:p>
          <w:p w14:paraId="3C3F8630">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ascii="宋体" w:hAnsi="宋体"/>
                <w:szCs w:val="21"/>
                <w:highlight w:val="none"/>
              </w:rPr>
              <w:t xml:space="preserve">. </w:t>
            </w:r>
            <w:r>
              <w:rPr>
                <w:rFonts w:hint="eastAsia" w:ascii="宋体" w:hAnsi="宋体"/>
                <w:szCs w:val="21"/>
                <w:highlight w:val="none"/>
                <w:lang w:eastAsia="zh-CN"/>
              </w:rPr>
              <w:t>竞选人</w:t>
            </w:r>
            <w:r>
              <w:rPr>
                <w:rFonts w:ascii="宋体" w:hAnsi="宋体"/>
                <w:szCs w:val="21"/>
                <w:highlight w:val="none"/>
              </w:rPr>
              <w:t>代表、</w:t>
            </w:r>
            <w:r>
              <w:rPr>
                <w:rFonts w:hint="eastAsia" w:ascii="宋体" w:hAnsi="宋体"/>
                <w:szCs w:val="21"/>
                <w:highlight w:val="none"/>
                <w:lang w:eastAsia="zh-CN"/>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14:paraId="2E7F1328">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ascii="宋体" w:hAnsi="宋体"/>
                <w:szCs w:val="21"/>
                <w:highlight w:val="none"/>
              </w:rPr>
              <w:t>. 开标结束。</w:t>
            </w:r>
          </w:p>
        </w:tc>
      </w:tr>
      <w:tr w14:paraId="1B770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B844FA">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14:paraId="18401C77">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14:paraId="493A7E9C">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w:t>
            </w:r>
            <w:r>
              <w:rPr>
                <w:rFonts w:hint="eastAsia" w:ascii="宋体" w:hAnsi="宋体"/>
                <w:spacing w:val="4"/>
                <w:kern w:val="0"/>
                <w:szCs w:val="21"/>
                <w:highlight w:val="none"/>
                <w:lang w:eastAsia="zh-CN"/>
              </w:rPr>
              <w:t>比选人</w:t>
            </w:r>
            <w:r>
              <w:rPr>
                <w:rFonts w:hint="eastAsia" w:ascii="宋体" w:hAnsi="宋体"/>
                <w:spacing w:val="4"/>
                <w:kern w:val="0"/>
                <w:szCs w:val="21"/>
              </w:rPr>
              <w:t>依法自行</w:t>
            </w:r>
            <w:r>
              <w:rPr>
                <w:rFonts w:hint="eastAsia" w:ascii="宋体" w:hAnsi="宋体"/>
                <w:spacing w:val="4"/>
                <w:kern w:val="0"/>
                <w:szCs w:val="21"/>
                <w:highlight w:val="none"/>
              </w:rPr>
              <w:t>组建评标委员会</w:t>
            </w:r>
            <w:r>
              <w:rPr>
                <w:rFonts w:hint="eastAsia" w:ascii="宋体" w:hAnsi="宋体"/>
                <w:kern w:val="0"/>
                <w:szCs w:val="21"/>
                <w:highlight w:val="none"/>
              </w:rPr>
              <w:t>。</w:t>
            </w:r>
          </w:p>
        </w:tc>
      </w:tr>
      <w:tr w14:paraId="1B128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0169F3">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14:paraId="0F229180">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14:paraId="2C879E4C">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14:paraId="14B602B8">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否，推荐经评审综合得分由高到低排名前三名为中标候选人。</w:t>
            </w:r>
          </w:p>
        </w:tc>
      </w:tr>
      <w:tr w14:paraId="2F750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E83286">
            <w:pPr>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7.2</w:t>
            </w:r>
          </w:p>
        </w:tc>
        <w:tc>
          <w:tcPr>
            <w:tcW w:w="1644" w:type="dxa"/>
            <w:vAlign w:val="center"/>
          </w:tcPr>
          <w:p w14:paraId="20A80168">
            <w:pPr>
              <w:snapToGrid w:val="0"/>
              <w:spacing w:after="62" w:afterLines="20"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中标公示</w:t>
            </w:r>
          </w:p>
        </w:tc>
        <w:tc>
          <w:tcPr>
            <w:tcW w:w="6490" w:type="dxa"/>
            <w:vAlign w:val="center"/>
          </w:tcPr>
          <w:p w14:paraId="14CACAC4">
            <w:pPr>
              <w:snapToGrid w:val="0"/>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在收到评标报告后3日内将评标结果在在行采家(https://www.gec123.com/) 和重庆经开区投资集团官网（http://www.cetzig.com/）上进行公示</w:t>
            </w:r>
            <w:r>
              <w:rPr>
                <w:rFonts w:hint="eastAsia" w:ascii="宋体" w:hAnsi="宋体" w:cs="宋体"/>
                <w:szCs w:val="21"/>
                <w:highlight w:val="none"/>
              </w:rPr>
              <w:t>，公示期为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14:paraId="2F011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DC5A5F">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7.3.1</w:t>
            </w:r>
          </w:p>
        </w:tc>
        <w:tc>
          <w:tcPr>
            <w:tcW w:w="1644" w:type="dxa"/>
            <w:vAlign w:val="center"/>
          </w:tcPr>
          <w:p w14:paraId="3560DED2">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履约担保</w:t>
            </w:r>
          </w:p>
        </w:tc>
        <w:tc>
          <w:tcPr>
            <w:tcW w:w="6490" w:type="dxa"/>
            <w:vAlign w:val="center"/>
          </w:tcPr>
          <w:p w14:paraId="09912251">
            <w:pPr>
              <w:numPr>
                <w:ilvl w:val="0"/>
                <w:numId w:val="1"/>
              </w:num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中标人是否提供履约担保：</w:t>
            </w:r>
            <w:r>
              <w:rPr>
                <w:rFonts w:hint="eastAsia" w:ascii="宋体" w:hAnsi="宋体"/>
                <w:kern w:val="0"/>
                <w:szCs w:val="21"/>
                <w:highlight w:val="none"/>
                <w:u w:val="single"/>
              </w:rPr>
              <w:t>提供</w:t>
            </w:r>
            <w:r>
              <w:rPr>
                <w:rFonts w:hint="eastAsia" w:ascii="宋体" w:hAnsi="宋体"/>
                <w:kern w:val="0"/>
                <w:szCs w:val="21"/>
                <w:highlight w:val="none"/>
              </w:rPr>
              <w:t>。</w:t>
            </w:r>
          </w:p>
          <w:p w14:paraId="44B0702A">
            <w:pPr>
              <w:numPr>
                <w:ilvl w:val="0"/>
                <w:numId w:val="0"/>
              </w:num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2、中标人提供履约担保的形式、金额及期限：</w:t>
            </w:r>
          </w:p>
          <w:p w14:paraId="1E831A42">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（1）履约担保的形式：现金或银行保函或现金+银行保函的组合；采用银行保函形式的，保函必须为不可撤销且见索即付；</w:t>
            </w:r>
          </w:p>
          <w:p w14:paraId="4F887C50">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rPr>
              <w:t>（2）履约担保的金额：</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中标金额10%</w:t>
            </w:r>
            <w:r>
              <w:rPr>
                <w:rFonts w:hint="eastAsia" w:ascii="宋体" w:hAnsi="宋体"/>
                <w:kern w:val="0"/>
                <w:szCs w:val="21"/>
                <w:highlight w:val="none"/>
                <w:u w:val="single"/>
              </w:rPr>
              <w:t xml:space="preserve"> </w:t>
            </w:r>
            <w:r>
              <w:rPr>
                <w:rFonts w:hint="eastAsia" w:ascii="宋体" w:hAnsi="宋体"/>
                <w:kern w:val="0"/>
                <w:szCs w:val="21"/>
                <w:highlight w:val="none"/>
              </w:rPr>
              <w:t>；</w:t>
            </w:r>
          </w:p>
          <w:p w14:paraId="487CE485">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（3）履约担保的提交时间：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szCs w:val="21"/>
                <w:lang w:eastAsia="zh-CN"/>
              </w:rPr>
              <w:t>，</w:t>
            </w:r>
            <w:r>
              <w:rPr>
                <w:rFonts w:hint="eastAsia"/>
                <w:szCs w:val="21"/>
                <w:lang w:val="en-US" w:eastAsia="zh-CN"/>
              </w:rPr>
              <w:t>且在合同签订前</w:t>
            </w:r>
            <w:r>
              <w:rPr>
                <w:rFonts w:hint="eastAsia" w:ascii="宋体" w:hAnsi="宋体"/>
                <w:kern w:val="0"/>
                <w:szCs w:val="21"/>
                <w:highlight w:val="none"/>
              </w:rPr>
              <w:t>。</w:t>
            </w:r>
          </w:p>
          <w:p w14:paraId="2E4DAC0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（4）履约担保的期限：见专用合同条款。</w:t>
            </w:r>
          </w:p>
          <w:p w14:paraId="471FDFDB">
            <w:pPr>
              <w:snapToGrid w:val="0"/>
              <w:spacing w:after="62" w:afterLines="20" w:line="400" w:lineRule="exact"/>
              <w:ind w:firstLine="420" w:firstLineChars="200"/>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（5）履约担保的退还时间：见专用合同条款。</w:t>
            </w:r>
          </w:p>
        </w:tc>
      </w:tr>
      <w:tr w14:paraId="30806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273CAD">
            <w:pPr>
              <w:snapToGrid w:val="0"/>
              <w:spacing w:line="400" w:lineRule="exact"/>
              <w:jc w:val="center"/>
              <w:rPr>
                <w:rFonts w:hint="default" w:ascii="宋体" w:hAnsi="宋体" w:eastAsia="宋体" w:cs="Times New Roman"/>
                <w:kern w:val="0"/>
                <w:sz w:val="21"/>
                <w:szCs w:val="21"/>
                <w:highlight w:val="none"/>
                <w:lang w:val="en-US" w:eastAsia="zh-CN" w:bidi="ar-SA"/>
              </w:rPr>
            </w:pPr>
            <w:r>
              <w:rPr>
                <w:rFonts w:hint="eastAsia" w:ascii="宋体" w:hAnsi="宋体"/>
                <w:kern w:val="0"/>
                <w:szCs w:val="21"/>
                <w:highlight w:val="none"/>
                <w:lang w:val="en-US" w:eastAsia="zh-CN"/>
              </w:rPr>
              <w:t>7.3.2</w:t>
            </w:r>
          </w:p>
        </w:tc>
        <w:tc>
          <w:tcPr>
            <w:tcW w:w="1644" w:type="dxa"/>
            <w:vAlign w:val="center"/>
          </w:tcPr>
          <w:p w14:paraId="598C8BEF">
            <w:pPr>
              <w:snapToGrid w:val="0"/>
              <w:spacing w:line="400" w:lineRule="exact"/>
              <w:jc w:val="center"/>
              <w:rPr>
                <w:rFonts w:ascii="宋体" w:hAnsi="宋体" w:eastAsia="宋体" w:cs="Times New Roman"/>
                <w:kern w:val="0"/>
                <w:sz w:val="21"/>
                <w:szCs w:val="21"/>
                <w:lang w:val="en-US" w:eastAsia="zh-CN" w:bidi="ar-SA"/>
              </w:rPr>
            </w:pPr>
            <w:r>
              <w:rPr>
                <w:rFonts w:hint="eastAsia" w:ascii="宋体" w:hAnsi="宋体"/>
                <w:kern w:val="0"/>
                <w:szCs w:val="21"/>
              </w:rPr>
              <w:t>低价风险担保</w:t>
            </w:r>
          </w:p>
        </w:tc>
        <w:tc>
          <w:tcPr>
            <w:tcW w:w="6490" w:type="dxa"/>
            <w:vAlign w:val="center"/>
          </w:tcPr>
          <w:p w14:paraId="15D76B7D">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14:paraId="324C2D04">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14:paraId="7EC8CA1D">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14:paraId="237839D8">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5"/>
                <w:rFonts w:hint="eastAsia"/>
              </w:rPr>
              <w:t>，</w:t>
            </w:r>
            <w:r>
              <w:rPr>
                <w:rStyle w:val="55"/>
              </w:rPr>
              <w:t>且最高不超过最高限价的85%</w:t>
            </w:r>
            <w:r>
              <w:rPr>
                <w:rStyle w:val="55"/>
                <w:rFonts w:hint="eastAsia"/>
              </w:rPr>
              <w:t>，</w:t>
            </w:r>
          </w:p>
          <w:p w14:paraId="04C4F602">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14:paraId="20494136">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14:paraId="4299D5EA">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14:paraId="3659C071">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14:paraId="43AD1828">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14:paraId="77C71196">
            <w:pPr>
              <w:widowControl/>
              <w:spacing w:line="400" w:lineRule="exact"/>
              <w:ind w:firstLine="420" w:firstLineChars="200"/>
              <w:rPr>
                <w:rFonts w:hint="eastAsia" w:ascii="宋体" w:hAnsi="宋体" w:eastAsia="宋体" w:cs="Times New Roman"/>
                <w:kern w:val="0"/>
                <w:sz w:val="21"/>
                <w:szCs w:val="21"/>
                <w:lang w:val="en-US" w:eastAsia="zh-CN" w:bidi="ar-SA"/>
              </w:rPr>
            </w:pPr>
            <w:r>
              <w:rPr>
                <w:rFonts w:hint="eastAsia"/>
              </w:rPr>
              <w:t>5、投标总报价低于最高限价85%的，投标人应在编制投标文件时，在投标函部分中递交低价风险担保缴纳承诺书。承诺书格式详见第八章投标文件格式。</w:t>
            </w:r>
          </w:p>
        </w:tc>
      </w:tr>
      <w:tr w14:paraId="7B29F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50310B">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14:paraId="397C54AE">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14:paraId="25791078">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lang w:eastAsia="zh-CN"/>
              </w:rPr>
              <w:t>竞选人</w:t>
            </w:r>
            <w:r>
              <w:rPr>
                <w:rFonts w:ascii="宋体" w:hAnsi="宋体"/>
                <w:kern w:val="0"/>
                <w:szCs w:val="21"/>
                <w:highlight w:val="none"/>
              </w:rPr>
              <w:t>须知第8.1（1）执行；</w:t>
            </w:r>
          </w:p>
          <w:p w14:paraId="7D5B6D31">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lang w:eastAsia="zh-CN"/>
              </w:rPr>
              <w:t>竞选人</w:t>
            </w:r>
            <w:r>
              <w:rPr>
                <w:rFonts w:ascii="宋体" w:hAnsi="宋体"/>
                <w:kern w:val="0"/>
                <w:szCs w:val="21"/>
                <w:highlight w:val="none"/>
              </w:rPr>
              <w:t>须知第8.1（2）执行；</w:t>
            </w:r>
          </w:p>
          <w:p w14:paraId="64D93FDC">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须知第8.1（3）执行；</w:t>
            </w:r>
          </w:p>
          <w:p w14:paraId="57923A05">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须知第8.1（4）执行</w:t>
            </w:r>
            <w:r>
              <w:rPr>
                <w:rFonts w:hint="eastAsia" w:ascii="宋体" w:hAnsi="宋体"/>
                <w:kern w:val="0"/>
                <w:szCs w:val="21"/>
                <w:highlight w:val="none"/>
              </w:rPr>
              <w:t>。</w:t>
            </w:r>
          </w:p>
          <w:p w14:paraId="0A97553D">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14:paraId="57D28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196173">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14:paraId="71ABF745">
            <w:pPr>
              <w:snapToGrid w:val="0"/>
              <w:spacing w:line="400" w:lineRule="exact"/>
              <w:jc w:val="center"/>
              <w:rPr>
                <w:highlight w:val="none"/>
              </w:rPr>
            </w:pPr>
            <w:bookmarkStart w:id="107" w:name="_Toc509218709"/>
            <w:bookmarkStart w:id="108" w:name="_Toc13210670"/>
            <w:bookmarkStart w:id="109" w:name="_Toc536628250"/>
            <w:bookmarkStart w:id="110" w:name="_Toc16930431"/>
            <w:bookmarkStart w:id="111" w:name="_Toc430530434"/>
            <w:r>
              <w:rPr>
                <w:rFonts w:hint="eastAsia" w:ascii="宋体" w:hAnsi="宋体"/>
                <w:kern w:val="0"/>
                <w:szCs w:val="21"/>
                <w:highlight w:val="none"/>
              </w:rPr>
              <w:t>重新</w:t>
            </w:r>
            <w:r>
              <w:rPr>
                <w:rFonts w:ascii="宋体" w:hAnsi="宋体"/>
                <w:kern w:val="0"/>
                <w:szCs w:val="21"/>
                <w:highlight w:val="none"/>
              </w:rPr>
              <w:t>招标和不再招标</w:t>
            </w:r>
            <w:bookmarkEnd w:id="107"/>
            <w:bookmarkEnd w:id="108"/>
            <w:bookmarkEnd w:id="109"/>
            <w:bookmarkEnd w:id="110"/>
            <w:bookmarkEnd w:id="111"/>
          </w:p>
        </w:tc>
        <w:tc>
          <w:tcPr>
            <w:tcW w:w="6490" w:type="dxa"/>
            <w:vAlign w:val="center"/>
          </w:tcPr>
          <w:p w14:paraId="6137B7D9">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仍然少于三个的，按照招标投标法律法规规定的程序开标和评标。重新招标经评审有有效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的，应当依法确定中标候选人；无有效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14:paraId="4B8EA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116BF5">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14:paraId="2C4BD8B6">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14:paraId="17DC5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D2B480">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10.1</w:t>
            </w:r>
          </w:p>
        </w:tc>
        <w:tc>
          <w:tcPr>
            <w:tcW w:w="1644" w:type="dxa"/>
            <w:vAlign w:val="center"/>
          </w:tcPr>
          <w:p w14:paraId="54FB88C2">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sz w:val="21"/>
                <w:szCs w:val="21"/>
              </w:rPr>
              <w:t>工程款</w:t>
            </w:r>
            <w:r>
              <w:rPr>
                <w:rFonts w:hint="eastAsia" w:asciiTheme="minorEastAsia" w:hAnsiTheme="minorEastAsia" w:eastAsiaTheme="minorEastAsia" w:cstheme="minorEastAsia"/>
                <w:sz w:val="21"/>
                <w:szCs w:val="21"/>
                <w:lang w:val="en-US" w:eastAsia="zh-CN"/>
              </w:rPr>
              <w:t>结算及</w:t>
            </w:r>
            <w:r>
              <w:rPr>
                <w:rFonts w:hint="eastAsia" w:asciiTheme="minorEastAsia" w:hAnsiTheme="minorEastAsia" w:eastAsiaTheme="minorEastAsia" w:cstheme="minorEastAsia"/>
                <w:sz w:val="21"/>
                <w:szCs w:val="21"/>
              </w:rPr>
              <w:t>支付</w:t>
            </w:r>
          </w:p>
        </w:tc>
        <w:tc>
          <w:tcPr>
            <w:tcW w:w="6490" w:type="dxa"/>
            <w:vAlign w:val="top"/>
          </w:tcPr>
          <w:p w14:paraId="24D93165">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14:paraId="1F2280D0">
            <w:pPr>
              <w:spacing w:line="360" w:lineRule="auto"/>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p>
          <w:p w14:paraId="023CFB3F">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全费用清单综合单价中的安全文明施工费、规费、税金投标时均视为已按照本市相关部门的规定计取。结算时中标全费用清单综合单价一律不做调整。</w:t>
            </w:r>
          </w:p>
          <w:p w14:paraId="135C5494">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667AE056">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6409E702">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3B3D2C3F">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本工程结算以审核结果为准，若需相关部门结（决）算审查的，采购人将对工程结算审核价款进行调整，最后价格以调整后的为准。审计依据包括本合同以及政府审计相关法律法规及规范性文件。</w:t>
            </w:r>
          </w:p>
          <w:p w14:paraId="1A25E67B">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据实结算后不得超过限价，超过限价部分不予结算。</w:t>
            </w:r>
          </w:p>
          <w:p w14:paraId="6973AB40">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审计费：</w:t>
            </w:r>
          </w:p>
          <w:p w14:paraId="6C29D75E">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14:paraId="3DD40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57C560">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en-US" w:eastAsia="zh-CN"/>
              </w:rPr>
              <w:t>2</w:t>
            </w:r>
          </w:p>
        </w:tc>
        <w:tc>
          <w:tcPr>
            <w:tcW w:w="1644" w:type="dxa"/>
            <w:vAlign w:val="center"/>
          </w:tcPr>
          <w:p w14:paraId="4AEEAB7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工程款支付</w:t>
            </w:r>
          </w:p>
        </w:tc>
        <w:tc>
          <w:tcPr>
            <w:tcW w:w="6490" w:type="dxa"/>
            <w:vAlign w:val="top"/>
          </w:tcPr>
          <w:p w14:paraId="7CA9DFEA">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①按月支付进度款，每月以审定进度金额的80%支付进度款；</w:t>
            </w:r>
          </w:p>
          <w:p w14:paraId="21E0B65C">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②工程竣工验收合格后，累计支付至内部审核结算价80%,不超过合同建安工程费暂定总金额的70%；</w:t>
            </w:r>
          </w:p>
          <w:p w14:paraId="328CECAF">
            <w:pPr>
              <w:spacing w:line="360" w:lineRule="auto"/>
              <w:ind w:firstLine="420" w:firstLineChars="200"/>
              <w:rPr>
                <w:rFonts w:hint="eastAsia" w:eastAsiaTheme="minorEastAsia"/>
                <w:lang w:eastAsia="zh-CN"/>
              </w:rPr>
            </w:pPr>
            <w:r>
              <w:rPr>
                <w:rFonts w:hint="eastAsia" w:asciiTheme="minorEastAsia" w:hAnsiTheme="minorEastAsia" w:eastAsiaTheme="minorEastAsia" w:cstheme="minorEastAsia"/>
                <w:sz w:val="21"/>
                <w:szCs w:val="21"/>
              </w:rPr>
              <w:t>③待工程竣工结算审计完成，并完成移交给相关管护单位后，支付至合同建安工程费结算金额的97%，其余3%为本工程质保金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待缺陷责任期满后无息退还</w:t>
            </w:r>
            <w:r>
              <w:rPr>
                <w:rFonts w:hint="eastAsia" w:asciiTheme="minorEastAsia" w:hAnsiTheme="minorEastAsia" w:eastAsiaTheme="minorEastAsia" w:cstheme="minorEastAsia"/>
                <w:sz w:val="21"/>
                <w:szCs w:val="21"/>
                <w:lang w:eastAsia="zh-CN"/>
              </w:rPr>
              <w:t>。</w:t>
            </w:r>
          </w:p>
        </w:tc>
      </w:tr>
      <w:tr w14:paraId="54D96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D4C72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644" w:type="dxa"/>
            <w:vAlign w:val="center"/>
          </w:tcPr>
          <w:p w14:paraId="1C30E313">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建筑领域实施农民工工资专用账户相关要求</w:t>
            </w:r>
          </w:p>
        </w:tc>
        <w:tc>
          <w:tcPr>
            <w:tcW w:w="6490" w:type="dxa"/>
            <w:vAlign w:val="top"/>
          </w:tcPr>
          <w:p w14:paraId="1F6B7269">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在实施过程中，中标人必须执行《重庆市城乡建设委员会、中国人民银行重庆营业管理部、中国银行业监督管理委员会重庆监管局关于建筑领域实施农民工工资专用账户管理及银行代发制度（试行）的通知》（渝建发〔2017〕13号）及《关于建筑领域农民工工资专户管理网络系统正式运行有关事宜的通知》，实行农民工工资专用账户管理及银行代发制度，填报相应的网络管理系统。</w:t>
            </w:r>
          </w:p>
          <w:p w14:paraId="4FDFF9F6">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14:paraId="65556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3422E8">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14:paraId="73919536">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14:paraId="71D253F9">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hint="eastAsia" w:ascii="宋体" w:hAnsi="宋体"/>
                <w:kern w:val="0"/>
                <w:szCs w:val="21"/>
                <w:highlight w:val="none"/>
                <w:lang w:eastAsia="zh-CN"/>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14:paraId="4737E6ED">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14:paraId="734C9007">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14:paraId="6D37C648">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14:paraId="7FDE471A">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14:paraId="00E2B3E6">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14:paraId="5D33136F">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14:paraId="4C251E65">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4C119AE9">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渝公管发〔2021〕54号</w:t>
            </w:r>
            <w:r>
              <w:rPr>
                <w:rFonts w:hint="eastAsia" w:ascii="宋体" w:hAnsi="宋体" w:eastAsia="宋体" w:cs="宋体"/>
                <w:color w:val="auto"/>
                <w:kern w:val="0"/>
                <w:szCs w:val="21"/>
                <w:highlight w:val="none"/>
              </w:rPr>
              <w:t>）</w:t>
            </w:r>
            <w:r>
              <w:rPr>
                <w:rFonts w:ascii="宋体" w:hAnsi="宋体"/>
                <w:kern w:val="0"/>
                <w:szCs w:val="21"/>
                <w:highlight w:val="none"/>
              </w:rPr>
              <w:t>等法律法规文件处理投诉。</w:t>
            </w:r>
          </w:p>
          <w:p w14:paraId="64D326BE">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w:t>
            </w:r>
            <w:r>
              <w:rPr>
                <w:rFonts w:hint="eastAsia" w:ascii="宋体" w:hAnsi="宋体"/>
                <w:kern w:val="0"/>
                <w:szCs w:val="21"/>
                <w:highlight w:val="none"/>
                <w:lang w:eastAsia="zh-CN"/>
              </w:rPr>
              <w:t>竞选人</w:t>
            </w:r>
            <w:r>
              <w:rPr>
                <w:rFonts w:hint="eastAsia" w:ascii="宋体" w:hAnsi="宋体"/>
                <w:kern w:val="0"/>
                <w:szCs w:val="21"/>
                <w:highlight w:val="none"/>
              </w:rPr>
              <w:t>捏造事实、伪造材料，或者以非法手段获取证明材料进行质疑或者投诉的，将被列入黑名单管理；</w:t>
            </w:r>
            <w:r>
              <w:rPr>
                <w:rFonts w:ascii="宋体" w:hAnsi="宋体"/>
                <w:kern w:val="0"/>
                <w:szCs w:val="21"/>
                <w:highlight w:val="none"/>
              </w:rPr>
              <w:t>给他人造成损失的，依法承担赔偿责任。</w:t>
            </w:r>
          </w:p>
          <w:p w14:paraId="49AD5516">
            <w:pPr>
              <w:widowControl/>
              <w:spacing w:line="400" w:lineRule="exact"/>
              <w:ind w:firstLine="420" w:firstLineChars="200"/>
              <w:rPr>
                <w:rFonts w:hint="default" w:ascii="宋体" w:hAnsi="宋体"/>
                <w:color w:val="0000FF"/>
                <w:kern w:val="0"/>
                <w:szCs w:val="21"/>
                <w:highlight w:val="none"/>
                <w:lang w:val="en-US"/>
              </w:rPr>
            </w:pPr>
            <w:r>
              <w:rPr>
                <w:rFonts w:hint="eastAsia" w:ascii="宋体" w:hAnsi="宋体"/>
                <w:kern w:val="0"/>
                <w:szCs w:val="21"/>
                <w:highlight w:val="none"/>
              </w:rPr>
              <w:t>4.</w:t>
            </w:r>
            <w:r>
              <w:rPr>
                <w:rFonts w:hint="eastAsia" w:ascii="宋体" w:hAnsi="宋体"/>
                <w:color w:val="0000FF"/>
                <w:kern w:val="0"/>
                <w:szCs w:val="21"/>
                <w:highlight w:val="none"/>
              </w:rPr>
              <w:t>异议受理单位：</w:t>
            </w:r>
            <w:r>
              <w:rPr>
                <w:rFonts w:hint="eastAsia" w:ascii="宋体" w:hAnsi="宋体"/>
                <w:color w:val="0000FF"/>
                <w:kern w:val="0"/>
                <w:szCs w:val="21"/>
                <w:highlight w:val="none"/>
                <w:lang w:eastAsia="zh-CN"/>
              </w:rPr>
              <w:t>重庆经开区投资集团有限公司</w:t>
            </w:r>
          </w:p>
          <w:p w14:paraId="2AC824B5">
            <w:pPr>
              <w:widowControl/>
              <w:spacing w:line="400" w:lineRule="exact"/>
              <w:ind w:firstLine="630" w:firstLineChars="300"/>
              <w:rPr>
                <w:rFonts w:hint="default" w:ascii="宋体" w:hAnsi="宋体" w:eastAsia="宋体"/>
                <w:kern w:val="0"/>
                <w:szCs w:val="21"/>
                <w:highlight w:val="none"/>
                <w:lang w:val="en-US" w:eastAsia="zh-CN"/>
              </w:rPr>
            </w:pPr>
            <w:r>
              <w:rPr>
                <w:rFonts w:hint="eastAsia" w:ascii="宋体" w:hAnsi="宋体"/>
                <w:color w:val="0000FF"/>
                <w:kern w:val="0"/>
                <w:szCs w:val="21"/>
                <w:highlight w:val="none"/>
              </w:rPr>
              <w:t>联系电话：</w:t>
            </w:r>
            <w:r>
              <w:rPr>
                <w:rFonts w:hint="eastAsia" w:ascii="宋体" w:hAnsi="宋体"/>
                <w:color w:val="0000FF"/>
                <w:kern w:val="0"/>
                <w:szCs w:val="21"/>
                <w:highlight w:val="none"/>
                <w:lang w:val="en-US" w:eastAsia="zh-CN"/>
              </w:rPr>
              <w:t>62637528</w:t>
            </w:r>
          </w:p>
        </w:tc>
      </w:tr>
      <w:tr w14:paraId="1D77B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480387">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644" w:type="dxa"/>
            <w:vAlign w:val="center"/>
          </w:tcPr>
          <w:p w14:paraId="562B389B">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val="en-US" w:eastAsia="zh-CN"/>
              </w:rPr>
              <w:t>比选</w:t>
            </w:r>
            <w:r>
              <w:rPr>
                <w:rFonts w:hint="eastAsia" w:ascii="宋体" w:hAnsi="宋体"/>
                <w:kern w:val="0"/>
                <w:szCs w:val="21"/>
                <w:highlight w:val="none"/>
              </w:rPr>
              <w:t>文件及投标争议的解释</w:t>
            </w:r>
          </w:p>
        </w:tc>
        <w:tc>
          <w:tcPr>
            <w:tcW w:w="6490" w:type="dxa"/>
            <w:vAlign w:val="center"/>
          </w:tcPr>
          <w:p w14:paraId="5FE3D6A7">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val="en-US" w:eastAsia="zh-CN"/>
              </w:rPr>
              <w:t>比选</w:t>
            </w:r>
            <w:r>
              <w:rPr>
                <w:rFonts w:hint="eastAsia" w:ascii="宋体" w:hAnsi="宋体"/>
                <w:kern w:val="0"/>
                <w:szCs w:val="21"/>
                <w:highlight w:val="none"/>
              </w:rPr>
              <w:t>文件的评标标准和方法，以及资格审查和否决投标条款理解有争议的，应当作出不利于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14:paraId="1CB01720">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竞选文件</w:t>
            </w:r>
            <w:r>
              <w:rPr>
                <w:rFonts w:hint="eastAsia" w:ascii="宋体" w:hAnsi="宋体"/>
                <w:kern w:val="0"/>
                <w:szCs w:val="21"/>
                <w:highlight w:val="none"/>
              </w:rPr>
              <w:t>理解有争议的，应当作出不利于提交该</w:t>
            </w:r>
            <w:r>
              <w:rPr>
                <w:rFonts w:hint="eastAsia" w:ascii="宋体" w:hAnsi="宋体"/>
                <w:kern w:val="0"/>
                <w:szCs w:val="21"/>
                <w:highlight w:val="none"/>
                <w:lang w:eastAsia="zh-CN"/>
              </w:rPr>
              <w:t>竞选文件</w:t>
            </w:r>
            <w:r>
              <w:rPr>
                <w:rFonts w:hint="eastAsia" w:ascii="宋体" w:hAnsi="宋体"/>
                <w:kern w:val="0"/>
                <w:szCs w:val="21"/>
                <w:highlight w:val="none"/>
              </w:rPr>
              <w:t>的</w:t>
            </w:r>
            <w:r>
              <w:rPr>
                <w:rFonts w:hint="eastAsia" w:ascii="宋体" w:hAnsi="宋体"/>
                <w:kern w:val="0"/>
                <w:szCs w:val="21"/>
                <w:highlight w:val="none"/>
                <w:lang w:eastAsia="zh-CN"/>
              </w:rPr>
              <w:t>竞选人</w:t>
            </w:r>
            <w:r>
              <w:rPr>
                <w:rFonts w:hint="eastAsia" w:ascii="宋体" w:hAnsi="宋体"/>
                <w:kern w:val="0"/>
                <w:szCs w:val="21"/>
                <w:highlight w:val="none"/>
              </w:rPr>
              <w:t>的解释。</w:t>
            </w:r>
          </w:p>
        </w:tc>
      </w:tr>
    </w:tbl>
    <w:p w14:paraId="0DBE08A4">
      <w:pPr>
        <w:pStyle w:val="3"/>
        <w:spacing w:before="0" w:after="0" w:line="200" w:lineRule="exact"/>
        <w:outlineLvl w:val="9"/>
        <w:rPr>
          <w:rFonts w:ascii="宋体" w:hAnsi="宋体"/>
          <w:b w:val="0"/>
          <w:snapToGrid w:val="0"/>
          <w:highlight w:val="none"/>
        </w:rPr>
      </w:pPr>
      <w:bookmarkStart w:id="112" w:name="_Toc277082552"/>
      <w:bookmarkStart w:id="113" w:name="_Toc430530435"/>
      <w:bookmarkStart w:id="114" w:name="_Toc200513126"/>
      <w:bookmarkStart w:id="115" w:name="_Toc287620685"/>
      <w:bookmarkStart w:id="116" w:name="_Toc287607746"/>
      <w:bookmarkStart w:id="117" w:name="_Toc224103317"/>
    </w:p>
    <w:bookmarkEnd w:id="112"/>
    <w:bookmarkEnd w:id="113"/>
    <w:bookmarkEnd w:id="114"/>
    <w:bookmarkEnd w:id="115"/>
    <w:bookmarkEnd w:id="116"/>
    <w:bookmarkEnd w:id="117"/>
    <w:p w14:paraId="06AB0D93">
      <w:pPr>
        <w:pStyle w:val="4"/>
        <w:pageBreakBefore w:val="0"/>
        <w:kinsoku/>
        <w:wordWrap/>
        <w:overflowPunct/>
        <w:topLinePunct w:val="0"/>
        <w:bidi w:val="0"/>
        <w:spacing w:before="0" w:after="0" w:line="360" w:lineRule="auto"/>
        <w:textAlignment w:val="auto"/>
        <w:outlineLvl w:val="9"/>
        <w:rPr>
          <w:rFonts w:hint="eastAsia" w:ascii="宋体" w:hAnsi="宋体" w:eastAsia="宋体" w:cs="宋体"/>
          <w:color w:val="auto"/>
          <w:sz w:val="21"/>
          <w:szCs w:val="21"/>
          <w:highlight w:val="none"/>
        </w:rPr>
        <w:sectPr>
          <w:footerReference r:id="rId6" w:type="default"/>
          <w:pgSz w:w="11906" w:h="16838"/>
          <w:pgMar w:top="1134" w:right="1418" w:bottom="1134" w:left="1418" w:header="851" w:footer="992" w:gutter="0"/>
          <w:cols w:space="720" w:num="1"/>
          <w:docGrid w:type="lines" w:linePitch="312" w:charSpace="0"/>
        </w:sectPr>
      </w:pPr>
      <w:bookmarkStart w:id="118" w:name="_Toc19008"/>
    </w:p>
    <w:p w14:paraId="7D656A7E">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19" w:name="_Toc12644"/>
      <w:r>
        <w:rPr>
          <w:rFonts w:hint="eastAsia" w:ascii="宋体" w:hAnsi="宋体" w:eastAsia="宋体" w:cs="宋体"/>
          <w:color w:val="auto"/>
          <w:sz w:val="21"/>
          <w:szCs w:val="21"/>
          <w:highlight w:val="none"/>
        </w:rPr>
        <w:t>1.总则</w:t>
      </w:r>
      <w:bookmarkEnd w:id="118"/>
      <w:bookmarkEnd w:id="119"/>
    </w:p>
    <w:p w14:paraId="13C713CD">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0" w:name="_Toc293756837"/>
      <w:bookmarkStart w:id="121" w:name="_Toc9752"/>
      <w:bookmarkStart w:id="122" w:name="_Toc293756840"/>
      <w:r>
        <w:rPr>
          <w:rFonts w:hint="eastAsia" w:ascii="宋体" w:hAnsi="宋体" w:eastAsia="宋体" w:cs="宋体"/>
          <w:color w:val="auto"/>
          <w:sz w:val="21"/>
          <w:szCs w:val="21"/>
          <w:highlight w:val="none"/>
        </w:rPr>
        <w:t>1.1 项目概况</w:t>
      </w:r>
      <w:bookmarkEnd w:id="120"/>
      <w:bookmarkEnd w:id="121"/>
    </w:p>
    <w:p w14:paraId="45B0479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14:paraId="19FAB8B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本比选项目比选人、比选代理机构、项目名称、建设地点：见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03260B2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14:paraId="5BF59AD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14:paraId="6EB4520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本招标项目建设地点：见投标人须知前附表。</w:t>
      </w:r>
    </w:p>
    <w:p w14:paraId="11B030DB">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14:paraId="669DC1A1">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3" w:name="_Toc5437"/>
      <w:bookmarkStart w:id="124" w:name="_Toc293756838"/>
      <w:r>
        <w:rPr>
          <w:rFonts w:hint="eastAsia" w:ascii="宋体" w:hAnsi="宋体" w:eastAsia="宋体" w:cs="宋体"/>
          <w:color w:val="auto"/>
          <w:sz w:val="21"/>
          <w:szCs w:val="21"/>
          <w:highlight w:val="none"/>
        </w:rPr>
        <w:t>1.2 资金来源和落实情况</w:t>
      </w:r>
      <w:bookmarkEnd w:id="123"/>
      <w:bookmarkEnd w:id="124"/>
    </w:p>
    <w:p w14:paraId="5EA990A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5" w:name="_Toc293756839"/>
      <w:r>
        <w:rPr>
          <w:rFonts w:hint="eastAsia" w:ascii="宋体" w:hAnsi="宋体" w:eastAsia="宋体" w:cs="宋体"/>
          <w:color w:val="auto"/>
          <w:sz w:val="21"/>
          <w:szCs w:val="21"/>
          <w:highlight w:val="none"/>
        </w:rPr>
        <w:t>1.2.1  本招标项目的资金来源：见投标人须知前附表。</w:t>
      </w:r>
    </w:p>
    <w:p w14:paraId="4E69EB0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14:paraId="0C0C668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14:paraId="055EE29C">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6" w:name="_Toc19957"/>
      <w:r>
        <w:rPr>
          <w:rFonts w:hint="eastAsia" w:ascii="宋体" w:hAnsi="宋体" w:eastAsia="宋体" w:cs="宋体"/>
          <w:color w:val="auto"/>
          <w:sz w:val="21"/>
          <w:szCs w:val="21"/>
          <w:highlight w:val="none"/>
        </w:rPr>
        <w:t>1.3 比选范围、计划工期和质量要求</w:t>
      </w:r>
      <w:bookmarkEnd w:id="125"/>
      <w:bookmarkEnd w:id="126"/>
    </w:p>
    <w:p w14:paraId="2CB34FD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14:paraId="0CEDD76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计划工期：见投标人须知前附表。</w:t>
      </w:r>
    </w:p>
    <w:p w14:paraId="43D324C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14:paraId="10A3FBAB">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7" w:name="_Toc9928"/>
      <w:r>
        <w:rPr>
          <w:rFonts w:hint="eastAsia" w:ascii="宋体" w:hAnsi="宋体" w:eastAsia="宋体" w:cs="宋体"/>
          <w:color w:val="auto"/>
          <w:sz w:val="21"/>
          <w:szCs w:val="21"/>
          <w:highlight w:val="none"/>
        </w:rPr>
        <w:t xml:space="preserve">1.4 </w:t>
      </w:r>
      <w:bookmarkEnd w:id="122"/>
      <w:r>
        <w:rPr>
          <w:rFonts w:hint="eastAsia" w:ascii="宋体" w:hAnsi="宋体" w:eastAsia="宋体" w:cs="宋体"/>
          <w:color w:val="auto"/>
          <w:sz w:val="21"/>
          <w:szCs w:val="21"/>
          <w:highlight w:val="none"/>
          <w:lang w:eastAsia="zh-CN"/>
        </w:rPr>
        <w:t>投标人资格要求</w:t>
      </w:r>
      <w:bookmarkEnd w:id="127"/>
    </w:p>
    <w:p w14:paraId="493DA51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02592C7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74201C9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（2）项目经理资格：见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5496F8E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（3）项目技术负责人要求：见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0ACB81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3E3E67C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5507EB2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（6）其他要求：见投标人须知前附表。</w:t>
      </w:r>
    </w:p>
    <w:p w14:paraId="5D4AD81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14:paraId="7AA3D8A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14:paraId="6E960A4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14:paraId="5878B4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14:paraId="524684C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14:paraId="51F9AE9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14:paraId="2910F9C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14:paraId="097B2F3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14:paraId="209A62B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14:paraId="09D7BF4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14:paraId="1452D55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14:paraId="4FF22D8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14:paraId="0C6DABB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14:paraId="1022C6A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14:paraId="2C3CB349">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8" w:name="_Toc293756841"/>
      <w:bookmarkStart w:id="129" w:name="_Toc4874"/>
      <w:r>
        <w:rPr>
          <w:rFonts w:hint="eastAsia" w:ascii="宋体" w:hAnsi="宋体" w:eastAsia="宋体" w:cs="宋体"/>
          <w:color w:val="auto"/>
          <w:sz w:val="21"/>
          <w:szCs w:val="21"/>
          <w:highlight w:val="none"/>
        </w:rPr>
        <w:t>1.5 费用承担</w:t>
      </w:r>
      <w:bookmarkEnd w:id="128"/>
      <w:bookmarkEnd w:id="129"/>
    </w:p>
    <w:p w14:paraId="4D5F44D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14:paraId="72EE779F">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0" w:name="_Toc293756842"/>
      <w:bookmarkStart w:id="131" w:name="_Toc11009"/>
      <w:r>
        <w:rPr>
          <w:rFonts w:hint="eastAsia" w:ascii="宋体" w:hAnsi="宋体" w:eastAsia="宋体" w:cs="宋体"/>
          <w:color w:val="auto"/>
          <w:sz w:val="21"/>
          <w:szCs w:val="21"/>
          <w:highlight w:val="none"/>
        </w:rPr>
        <w:t>1.6 保密</w:t>
      </w:r>
      <w:bookmarkEnd w:id="130"/>
      <w:bookmarkEnd w:id="131"/>
    </w:p>
    <w:p w14:paraId="61F8716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14:paraId="667AA173">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2" w:name="_Toc293756843"/>
      <w:bookmarkStart w:id="133" w:name="_Toc18963"/>
      <w:r>
        <w:rPr>
          <w:rFonts w:hint="eastAsia" w:ascii="宋体" w:hAnsi="宋体" w:eastAsia="宋体" w:cs="宋体"/>
          <w:color w:val="auto"/>
          <w:sz w:val="21"/>
          <w:szCs w:val="21"/>
          <w:highlight w:val="none"/>
        </w:rPr>
        <w:t>1.7 语言文字</w:t>
      </w:r>
      <w:bookmarkEnd w:id="132"/>
      <w:bookmarkEnd w:id="133"/>
    </w:p>
    <w:p w14:paraId="346594F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14:paraId="1DBC7F44">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4" w:name="_Toc293756844"/>
      <w:bookmarkStart w:id="135" w:name="_Toc104"/>
      <w:r>
        <w:rPr>
          <w:rFonts w:hint="eastAsia" w:ascii="宋体" w:hAnsi="宋体" w:eastAsia="宋体" w:cs="宋体"/>
          <w:color w:val="auto"/>
          <w:sz w:val="21"/>
          <w:szCs w:val="21"/>
          <w:highlight w:val="none"/>
        </w:rPr>
        <w:t>1.8 计量单位</w:t>
      </w:r>
      <w:bookmarkEnd w:id="134"/>
      <w:bookmarkEnd w:id="135"/>
    </w:p>
    <w:p w14:paraId="3E74456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353BFD0C">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6" w:name="_Toc293756845"/>
      <w:bookmarkStart w:id="137" w:name="_Toc2427"/>
      <w:r>
        <w:rPr>
          <w:rFonts w:hint="eastAsia" w:ascii="宋体" w:hAnsi="宋体" w:eastAsia="宋体" w:cs="宋体"/>
          <w:color w:val="auto"/>
          <w:sz w:val="21"/>
          <w:szCs w:val="21"/>
          <w:highlight w:val="none"/>
        </w:rPr>
        <w:t>1.9 踏勘现场</w:t>
      </w:r>
      <w:bookmarkEnd w:id="136"/>
      <w:bookmarkEnd w:id="137"/>
    </w:p>
    <w:p w14:paraId="19CB81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14:paraId="5D8B240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14:paraId="225414C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14:paraId="556BC97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14:paraId="2B01F355">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8" w:name="_Toc30203"/>
      <w:bookmarkStart w:id="139" w:name="_Toc293756846"/>
      <w:r>
        <w:rPr>
          <w:rFonts w:hint="eastAsia" w:ascii="宋体" w:hAnsi="宋体" w:eastAsia="宋体" w:cs="宋体"/>
          <w:color w:val="auto"/>
          <w:sz w:val="21"/>
          <w:szCs w:val="21"/>
          <w:highlight w:val="none"/>
        </w:rPr>
        <w:t>1.10 比选预备会</w:t>
      </w:r>
      <w:bookmarkEnd w:id="138"/>
      <w:bookmarkEnd w:id="139"/>
    </w:p>
    <w:p w14:paraId="1054970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14:paraId="36704E3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14:paraId="72B1962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14:paraId="08D5F8A2">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293756847"/>
      <w:bookmarkStart w:id="141" w:name="_Toc13696"/>
      <w:r>
        <w:rPr>
          <w:rFonts w:hint="eastAsia" w:ascii="宋体" w:hAnsi="宋体" w:eastAsia="宋体" w:cs="宋体"/>
          <w:color w:val="auto"/>
          <w:sz w:val="21"/>
          <w:szCs w:val="21"/>
          <w:highlight w:val="none"/>
        </w:rPr>
        <w:t>1.11 分包</w:t>
      </w:r>
      <w:bookmarkEnd w:id="140"/>
      <w:bookmarkEnd w:id="141"/>
    </w:p>
    <w:p w14:paraId="2006FA4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14:paraId="16A8902B">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14:paraId="602347A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14:paraId="40E403DD">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42" w:name="_Toc6929"/>
      <w:bookmarkStart w:id="143" w:name="_Toc21334"/>
      <w:r>
        <w:rPr>
          <w:rFonts w:hint="eastAsia" w:ascii="宋体" w:hAnsi="宋体" w:eastAsia="宋体" w:cs="宋体"/>
          <w:color w:val="auto"/>
          <w:sz w:val="21"/>
          <w:szCs w:val="21"/>
          <w:highlight w:val="none"/>
        </w:rPr>
        <w:t>2.比选文件</w:t>
      </w:r>
      <w:bookmarkEnd w:id="142"/>
      <w:bookmarkEnd w:id="143"/>
    </w:p>
    <w:p w14:paraId="4C3D82D5">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5177"/>
      <w:bookmarkStart w:id="145" w:name="_Toc293756848"/>
      <w:r>
        <w:rPr>
          <w:rFonts w:hint="eastAsia" w:ascii="宋体" w:hAnsi="宋体" w:eastAsia="宋体" w:cs="宋体"/>
          <w:color w:val="auto"/>
          <w:sz w:val="21"/>
          <w:szCs w:val="21"/>
          <w:highlight w:val="none"/>
        </w:rPr>
        <w:t>2.1比选文件的组成</w:t>
      </w:r>
      <w:bookmarkEnd w:id="144"/>
      <w:bookmarkEnd w:id="145"/>
    </w:p>
    <w:p w14:paraId="4C22A32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14:paraId="3E1A993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14:paraId="0EFFFF4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14F28AA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0B1A4B6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44652C7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（5）工程量清单；</w:t>
      </w:r>
    </w:p>
    <w:p w14:paraId="38DA99A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77B9BD5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（7）技术标准和要求；</w:t>
      </w:r>
    </w:p>
    <w:p w14:paraId="5C795BA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（8）投标文件格式；</w:t>
      </w:r>
    </w:p>
    <w:p w14:paraId="27ADC19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（9）投标人须知前附表规定的其他材料。</w:t>
      </w:r>
    </w:p>
    <w:p w14:paraId="65B434C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14:paraId="680873CF">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6" w:name="_Toc17073"/>
      <w:bookmarkStart w:id="147" w:name="_Toc293756849"/>
      <w:r>
        <w:rPr>
          <w:rFonts w:hint="eastAsia" w:ascii="宋体" w:hAnsi="宋体" w:eastAsia="宋体" w:cs="宋体"/>
          <w:color w:val="auto"/>
          <w:sz w:val="21"/>
          <w:szCs w:val="21"/>
          <w:highlight w:val="none"/>
        </w:rPr>
        <w:t>2.2比选文件的澄清</w:t>
      </w:r>
      <w:bookmarkEnd w:id="146"/>
      <w:bookmarkEnd w:id="147"/>
    </w:p>
    <w:p w14:paraId="182AA13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sz w:val="21"/>
          <w:szCs w:val="21"/>
          <w:highlight w:val="none"/>
          <w:lang w:val="en-US" w:eastAsia="zh-CN"/>
        </w:rPr>
        <w:t>以书面形式提交至比选人邮箱</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14:paraId="4A0FC66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14:paraId="759FB63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日的，须相应延后投标截止时间。</w:t>
      </w:r>
    </w:p>
    <w:p w14:paraId="61163A24">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93756850"/>
      <w:bookmarkStart w:id="149" w:name="_Toc25781"/>
      <w:r>
        <w:rPr>
          <w:rFonts w:hint="eastAsia" w:ascii="宋体" w:hAnsi="宋体" w:eastAsia="宋体" w:cs="宋体"/>
          <w:color w:val="auto"/>
          <w:sz w:val="21"/>
          <w:szCs w:val="21"/>
          <w:highlight w:val="none"/>
        </w:rPr>
        <w:t>2.3比选文件的修改</w:t>
      </w:r>
      <w:bookmarkEnd w:id="148"/>
      <w:bookmarkEnd w:id="149"/>
    </w:p>
    <w:p w14:paraId="1C7A69E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14:paraId="2912A2E1">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50" w:name="_Toc293756851"/>
      <w:bookmarkStart w:id="151" w:name="_Toc8893"/>
      <w:bookmarkStart w:id="152" w:name="_Toc13298"/>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50"/>
      <w:bookmarkEnd w:id="151"/>
      <w:bookmarkEnd w:id="152"/>
    </w:p>
    <w:p w14:paraId="6E5C018F">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3" w:name="_Toc27406"/>
      <w:bookmarkStart w:id="154" w:name="_Toc293756852"/>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53"/>
      <w:bookmarkEnd w:id="154"/>
    </w:p>
    <w:p w14:paraId="15E9666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14:paraId="4DC436D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14:paraId="2B1B35A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14:paraId="6EDB03E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（3）联合体协议书（如有）；</w:t>
      </w:r>
    </w:p>
    <w:p w14:paraId="4E150D9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AC0B3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）项目管理机构；</w:t>
      </w:r>
    </w:p>
    <w:p w14:paraId="4BAB3D5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）拟分包项目情况表（如有）；</w:t>
      </w:r>
    </w:p>
    <w:p w14:paraId="1E020E0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）资格审查资料；</w:t>
      </w:r>
    </w:p>
    <w:p w14:paraId="35076B5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）投标人须知前附表规定的其他材料。</w:t>
      </w:r>
    </w:p>
    <w:p w14:paraId="457E50F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14:paraId="0C19E2A2">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5"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5"/>
    </w:p>
    <w:p w14:paraId="605800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投标人应按第五章“工程量清单”的要求填写相应表格。</w:t>
      </w:r>
    </w:p>
    <w:p w14:paraId="77EC8F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投标人在投标截止时间前修改投标函中的投标总报价，应同时修改第五章“工程量清单”中的相应报价。此修改须符合本章第 4.3 款的有关要求。</w:t>
      </w:r>
    </w:p>
    <w:p w14:paraId="79037EAA">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6" w:name="_Toc3741"/>
      <w:r>
        <w:rPr>
          <w:rFonts w:hint="eastAsia" w:ascii="宋体" w:hAnsi="宋体" w:eastAsia="宋体" w:cs="宋体"/>
          <w:color w:val="auto"/>
          <w:sz w:val="21"/>
          <w:szCs w:val="21"/>
          <w:highlight w:val="none"/>
          <w:lang w:val="en-US" w:eastAsia="zh-CN"/>
        </w:rPr>
        <w:t>3.3  投标有效期</w:t>
      </w:r>
      <w:bookmarkEnd w:id="156"/>
    </w:p>
    <w:p w14:paraId="22E2EB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14:paraId="035684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D0FA544">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7" w:name="_Toc8270"/>
      <w:bookmarkStart w:id="158" w:name="_Toc293756853"/>
      <w:r>
        <w:rPr>
          <w:rFonts w:hint="eastAsia" w:ascii="宋体" w:hAnsi="宋体" w:eastAsia="宋体" w:cs="宋体"/>
          <w:color w:val="auto"/>
          <w:sz w:val="21"/>
          <w:szCs w:val="21"/>
          <w:highlight w:val="none"/>
        </w:rPr>
        <w:t>3.4 比选保证金</w:t>
      </w:r>
      <w:bookmarkEnd w:id="157"/>
      <w:bookmarkEnd w:id="158"/>
    </w:p>
    <w:p w14:paraId="51D80CF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14:paraId="610F602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14:paraId="08E68F4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14:paraId="44D6650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14:paraId="00A599A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14:paraId="5BD5298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14:paraId="5F50FF1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14:paraId="5CCE818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14:paraId="0FD412CC">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14:paraId="21FC47F4">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9" w:name="_Toc293756854"/>
      <w:bookmarkStart w:id="160" w:name="_Toc250"/>
      <w:r>
        <w:rPr>
          <w:rFonts w:hint="eastAsia" w:ascii="宋体" w:hAnsi="宋体" w:eastAsia="宋体" w:cs="宋体"/>
          <w:color w:val="auto"/>
          <w:sz w:val="21"/>
          <w:szCs w:val="21"/>
          <w:highlight w:val="none"/>
        </w:rPr>
        <w:t>3.5 资格审查资料</w:t>
      </w:r>
      <w:bookmarkEnd w:id="159"/>
      <w:bookmarkEnd w:id="160"/>
    </w:p>
    <w:p w14:paraId="29874A6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14:paraId="1CFF9FD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14:paraId="48900A83">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14:paraId="095CEB1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14:paraId="51136067">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14:paraId="495A71A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61" w:name="_Toc293756855"/>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14:paraId="0F8BA7C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14:paraId="75710DC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14:paraId="7B1CD8D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14:paraId="2F5F81A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14:paraId="72C99E6C">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62" w:name="_Toc7501"/>
      <w:bookmarkStart w:id="163" w:name="_Toc10924"/>
      <w:r>
        <w:rPr>
          <w:rFonts w:hint="eastAsia" w:ascii="宋体" w:hAnsi="宋体" w:eastAsia="宋体" w:cs="宋体"/>
          <w:color w:val="auto"/>
          <w:sz w:val="21"/>
          <w:szCs w:val="21"/>
          <w:highlight w:val="none"/>
        </w:rPr>
        <w:t xml:space="preserve">4. </w:t>
      </w:r>
      <w:bookmarkEnd w:id="161"/>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62"/>
      <w:bookmarkEnd w:id="163"/>
    </w:p>
    <w:p w14:paraId="5A87C0F1">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4" w:name="_Toc293756856"/>
      <w:bookmarkStart w:id="165" w:name="_Toc25512"/>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64"/>
      <w:bookmarkEnd w:id="165"/>
    </w:p>
    <w:p w14:paraId="4A92403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31F9EFC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14:paraId="5F862A6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176C18B9">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6" w:name="_Toc2798"/>
      <w:bookmarkStart w:id="167" w:name="_Toc293756857"/>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6"/>
      <w:bookmarkEnd w:id="167"/>
    </w:p>
    <w:p w14:paraId="74DCE61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6879114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294CDB0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14:paraId="7EDF560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27232449">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8" w:name="_Toc293756858"/>
      <w:bookmarkStart w:id="169" w:name="_Toc28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8"/>
      <w:bookmarkEnd w:id="169"/>
    </w:p>
    <w:p w14:paraId="725D22B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14:paraId="707C3CB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14:paraId="3E853C0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14:paraId="2DE4794C">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70" w:name="_Toc293756859"/>
      <w:bookmarkStart w:id="171" w:name="_Toc6612"/>
      <w:bookmarkStart w:id="172" w:name="_Toc29290"/>
      <w:r>
        <w:rPr>
          <w:rFonts w:hint="eastAsia" w:ascii="宋体" w:hAnsi="宋体" w:eastAsia="宋体" w:cs="宋体"/>
          <w:color w:val="auto"/>
          <w:sz w:val="21"/>
          <w:szCs w:val="21"/>
          <w:highlight w:val="none"/>
        </w:rPr>
        <w:t xml:space="preserve">5. </w:t>
      </w:r>
      <w:bookmarkEnd w:id="170"/>
      <w:r>
        <w:rPr>
          <w:rFonts w:hint="eastAsia" w:ascii="宋体" w:hAnsi="宋体" w:eastAsia="宋体" w:cs="宋体"/>
          <w:color w:val="auto"/>
          <w:sz w:val="21"/>
          <w:szCs w:val="21"/>
          <w:highlight w:val="none"/>
        </w:rPr>
        <w:t>比选</w:t>
      </w:r>
      <w:bookmarkEnd w:id="171"/>
      <w:bookmarkEnd w:id="172"/>
    </w:p>
    <w:p w14:paraId="1474C7AB">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3" w:name="_Toc293756860"/>
      <w:bookmarkStart w:id="174" w:name="_Toc6939"/>
      <w:r>
        <w:rPr>
          <w:rFonts w:hint="eastAsia" w:ascii="宋体" w:hAnsi="宋体" w:eastAsia="宋体" w:cs="宋体"/>
          <w:color w:val="auto"/>
          <w:sz w:val="21"/>
          <w:szCs w:val="21"/>
          <w:highlight w:val="none"/>
        </w:rPr>
        <w:t>5.1 比选时间和地点</w:t>
      </w:r>
      <w:bookmarkEnd w:id="173"/>
      <w:bookmarkEnd w:id="174"/>
    </w:p>
    <w:p w14:paraId="2A85D35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14:paraId="4E4788DB">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5" w:name="_Toc293756861"/>
      <w:bookmarkStart w:id="176" w:name="_Toc716"/>
      <w:r>
        <w:rPr>
          <w:rFonts w:hint="eastAsia" w:ascii="宋体" w:hAnsi="宋体" w:eastAsia="宋体" w:cs="宋体"/>
          <w:color w:val="auto"/>
          <w:sz w:val="21"/>
          <w:szCs w:val="21"/>
          <w:highlight w:val="none"/>
        </w:rPr>
        <w:t>5.2 比选程序</w:t>
      </w:r>
      <w:bookmarkEnd w:id="175"/>
      <w:bookmarkEnd w:id="176"/>
    </w:p>
    <w:p w14:paraId="2905D31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7"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14:paraId="72D8B3CD">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78" w:name="_Toc24607"/>
      <w:bookmarkStart w:id="179" w:name="_Toc15567"/>
      <w:r>
        <w:rPr>
          <w:rFonts w:hint="eastAsia" w:ascii="宋体" w:hAnsi="宋体" w:eastAsia="宋体" w:cs="宋体"/>
          <w:color w:val="auto"/>
          <w:sz w:val="21"/>
          <w:szCs w:val="21"/>
          <w:highlight w:val="none"/>
        </w:rPr>
        <w:t>6. 评</w:t>
      </w:r>
      <w:bookmarkEnd w:id="177"/>
      <w:r>
        <w:rPr>
          <w:rFonts w:hint="eastAsia" w:ascii="宋体" w:hAnsi="宋体" w:eastAsia="宋体" w:cs="宋体"/>
          <w:color w:val="auto"/>
          <w:sz w:val="21"/>
          <w:szCs w:val="21"/>
          <w:highlight w:val="none"/>
        </w:rPr>
        <w:t>审</w:t>
      </w:r>
      <w:bookmarkEnd w:id="178"/>
      <w:bookmarkEnd w:id="179"/>
    </w:p>
    <w:p w14:paraId="052E83A5">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80" w:name="_Toc200513161"/>
      <w:bookmarkStart w:id="181" w:name="_Toc430530470"/>
      <w:bookmarkStart w:id="182" w:name="_Toc224103352"/>
      <w:bookmarkStart w:id="183" w:name="_Toc287620720"/>
      <w:bookmarkStart w:id="184" w:name="_Toc509218745"/>
      <w:bookmarkStart w:id="185" w:name="_Toc287607781"/>
      <w:bookmarkStart w:id="186" w:name="_Toc7646"/>
      <w:bookmarkStart w:id="187" w:name="_Toc277082587"/>
      <w:bookmarkStart w:id="188"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80"/>
      <w:bookmarkEnd w:id="181"/>
      <w:bookmarkEnd w:id="182"/>
      <w:bookmarkEnd w:id="183"/>
      <w:bookmarkEnd w:id="184"/>
      <w:bookmarkEnd w:id="185"/>
      <w:bookmarkEnd w:id="186"/>
      <w:bookmarkEnd w:id="187"/>
    </w:p>
    <w:p w14:paraId="2A1243B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14:paraId="73BEA32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14:paraId="41528B09">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9" w:name="_Toc27306"/>
      <w:bookmarkStart w:id="190" w:name="_Toc287607782"/>
      <w:bookmarkStart w:id="191" w:name="_Toc287620721"/>
      <w:bookmarkStart w:id="192" w:name="_Toc430530471"/>
      <w:bookmarkStart w:id="193" w:name="_Toc200513162"/>
      <w:bookmarkStart w:id="194" w:name="_Toc509218746"/>
      <w:bookmarkStart w:id="195" w:name="_Toc277082588"/>
      <w:bookmarkStart w:id="196" w:name="_Toc224103353"/>
      <w:r>
        <w:rPr>
          <w:rFonts w:hint="eastAsia" w:ascii="宋体" w:hAnsi="宋体" w:eastAsia="宋体" w:cs="宋体"/>
          <w:snapToGrid w:val="0"/>
          <w:color w:val="auto"/>
          <w:kern w:val="0"/>
          <w:sz w:val="21"/>
          <w:szCs w:val="21"/>
          <w:highlight w:val="none"/>
        </w:rPr>
        <w:t>（1）投标人或投标人的主要负责人的近亲属；</w:t>
      </w:r>
      <w:bookmarkEnd w:id="189"/>
    </w:p>
    <w:p w14:paraId="28D7FEFC">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7" w:name="_Toc7327"/>
      <w:r>
        <w:rPr>
          <w:rFonts w:hint="eastAsia" w:ascii="宋体" w:hAnsi="宋体" w:eastAsia="宋体" w:cs="宋体"/>
          <w:snapToGrid w:val="0"/>
          <w:color w:val="auto"/>
          <w:kern w:val="0"/>
          <w:sz w:val="21"/>
          <w:szCs w:val="21"/>
          <w:highlight w:val="none"/>
        </w:rPr>
        <w:t>（2）项目主管部门或者项目行政监督部门的人员；</w:t>
      </w:r>
      <w:bookmarkEnd w:id="197"/>
    </w:p>
    <w:p w14:paraId="45A17897">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8"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198"/>
    </w:p>
    <w:p w14:paraId="2F751CEC">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9"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9"/>
    </w:p>
    <w:p w14:paraId="566AAED7">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00" w:name="_Toc7240"/>
      <w:r>
        <w:rPr>
          <w:rFonts w:hint="eastAsia" w:ascii="宋体" w:hAnsi="宋体" w:eastAsia="宋体" w:cs="宋体"/>
          <w:snapToGrid w:val="0"/>
          <w:color w:val="auto"/>
          <w:kern w:val="0"/>
          <w:sz w:val="21"/>
          <w:szCs w:val="21"/>
          <w:highlight w:val="none"/>
        </w:rPr>
        <w:t>（5）法律法规规定的其他情形。</w:t>
      </w:r>
      <w:bookmarkEnd w:id="200"/>
    </w:p>
    <w:p w14:paraId="03198AE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65B4EEE2">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01" w:name="_Toc349"/>
      <w:r>
        <w:rPr>
          <w:rFonts w:hint="eastAsia" w:ascii="宋体" w:hAnsi="宋体" w:eastAsia="宋体" w:cs="宋体"/>
          <w:color w:val="auto"/>
          <w:sz w:val="21"/>
          <w:szCs w:val="21"/>
          <w:highlight w:val="none"/>
          <w:lang w:val="en-US" w:eastAsia="zh-CN"/>
        </w:rPr>
        <w:t>6.2  评标原则</w:t>
      </w:r>
      <w:bookmarkEnd w:id="190"/>
      <w:bookmarkEnd w:id="191"/>
      <w:bookmarkEnd w:id="192"/>
      <w:bookmarkEnd w:id="193"/>
      <w:bookmarkEnd w:id="194"/>
      <w:bookmarkEnd w:id="195"/>
      <w:bookmarkEnd w:id="196"/>
      <w:bookmarkEnd w:id="201"/>
    </w:p>
    <w:p w14:paraId="73CED07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14:paraId="16E46B94">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02" w:name="_Toc430530472"/>
      <w:bookmarkStart w:id="203" w:name="_Toc287607783"/>
      <w:bookmarkStart w:id="204" w:name="_Toc224103354"/>
      <w:bookmarkStart w:id="205" w:name="_Toc277082589"/>
      <w:bookmarkStart w:id="206" w:name="_Toc200513163"/>
      <w:bookmarkStart w:id="207" w:name="_Toc509218747"/>
      <w:bookmarkStart w:id="208" w:name="_Toc3231"/>
      <w:bookmarkStart w:id="209" w:name="_Toc287620722"/>
      <w:r>
        <w:rPr>
          <w:rFonts w:hint="eastAsia" w:ascii="宋体" w:hAnsi="宋体" w:eastAsia="宋体" w:cs="宋体"/>
          <w:color w:val="auto"/>
          <w:sz w:val="21"/>
          <w:szCs w:val="21"/>
          <w:highlight w:val="none"/>
          <w:lang w:val="en-US" w:eastAsia="zh-CN"/>
        </w:rPr>
        <w:t>6.3  评标</w:t>
      </w:r>
      <w:bookmarkEnd w:id="202"/>
      <w:bookmarkEnd w:id="203"/>
      <w:bookmarkEnd w:id="204"/>
      <w:bookmarkEnd w:id="205"/>
      <w:bookmarkEnd w:id="206"/>
      <w:bookmarkEnd w:id="207"/>
      <w:bookmarkEnd w:id="208"/>
      <w:bookmarkEnd w:id="209"/>
    </w:p>
    <w:p w14:paraId="5EC2B52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14:paraId="6D15F4D0">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10" w:name="_Toc12959"/>
      <w:bookmarkStart w:id="211" w:name="_Toc5190"/>
      <w:r>
        <w:rPr>
          <w:rFonts w:hint="eastAsia" w:ascii="宋体" w:hAnsi="宋体" w:eastAsia="宋体" w:cs="宋体"/>
          <w:color w:val="auto"/>
          <w:sz w:val="21"/>
          <w:szCs w:val="21"/>
          <w:highlight w:val="none"/>
        </w:rPr>
        <w:t>7. 合同授予</w:t>
      </w:r>
      <w:bookmarkEnd w:id="188"/>
      <w:bookmarkEnd w:id="210"/>
      <w:bookmarkEnd w:id="211"/>
    </w:p>
    <w:p w14:paraId="3D756E32">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2" w:name="_Toc293756867"/>
      <w:bookmarkStart w:id="213" w:name="_Toc13886"/>
      <w:r>
        <w:rPr>
          <w:rFonts w:hint="eastAsia" w:ascii="宋体" w:hAnsi="宋体" w:eastAsia="宋体" w:cs="宋体"/>
          <w:color w:val="auto"/>
          <w:sz w:val="21"/>
          <w:szCs w:val="21"/>
          <w:highlight w:val="none"/>
        </w:rPr>
        <w:t>7.1 定选方式</w:t>
      </w:r>
      <w:bookmarkEnd w:id="212"/>
      <w:bookmarkEnd w:id="213"/>
    </w:p>
    <w:p w14:paraId="113DC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14:paraId="048E46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14:paraId="7FB12D74">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4" w:name="_Toc293756868"/>
      <w:bookmarkStart w:id="215" w:name="_Toc17919"/>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14"/>
      <w:bookmarkEnd w:id="215"/>
    </w:p>
    <w:p w14:paraId="382EC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16"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在收到评标报告之日起3日内公示中标候选人，公示期不得少于3个工作日。</w:t>
      </w:r>
    </w:p>
    <w:p w14:paraId="05AE3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14:paraId="56BA7B7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16"/>
    </w:p>
    <w:p w14:paraId="449C8C0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14:paraId="155A38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14:paraId="1FBCDE54">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7" w:name="_Toc5235"/>
      <w:bookmarkStart w:id="218" w:name="_Toc293756870"/>
      <w:r>
        <w:rPr>
          <w:rFonts w:hint="eastAsia" w:ascii="宋体" w:hAnsi="宋体" w:eastAsia="宋体" w:cs="宋体"/>
          <w:color w:val="auto"/>
          <w:sz w:val="21"/>
          <w:szCs w:val="21"/>
          <w:highlight w:val="none"/>
        </w:rPr>
        <w:t>7.4 签订合同</w:t>
      </w:r>
      <w:bookmarkEnd w:id="217"/>
      <w:bookmarkEnd w:id="218"/>
    </w:p>
    <w:p w14:paraId="3F4139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14:paraId="380272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14:paraId="6D3AF439">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19" w:name="_Toc21469"/>
      <w:bookmarkStart w:id="220" w:name="_Toc31639"/>
      <w:bookmarkStart w:id="221" w:name="_Toc293756871"/>
      <w:r>
        <w:rPr>
          <w:rFonts w:hint="eastAsia" w:ascii="宋体" w:hAnsi="宋体" w:eastAsia="宋体" w:cs="宋体"/>
          <w:color w:val="auto"/>
          <w:sz w:val="21"/>
          <w:szCs w:val="21"/>
          <w:highlight w:val="none"/>
        </w:rPr>
        <w:t>8. 重新比选和不再比选</w:t>
      </w:r>
      <w:bookmarkEnd w:id="219"/>
      <w:bookmarkEnd w:id="220"/>
      <w:bookmarkEnd w:id="221"/>
    </w:p>
    <w:p w14:paraId="2F92D759">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22" w:name="_Toc277082596"/>
      <w:bookmarkStart w:id="223" w:name="_Toc224103361"/>
      <w:bookmarkStart w:id="224" w:name="_Toc509218754"/>
      <w:bookmarkStart w:id="225" w:name="_Toc200513170"/>
      <w:bookmarkStart w:id="226" w:name="_Toc430530479"/>
      <w:bookmarkStart w:id="227" w:name="_Toc287607790"/>
      <w:bookmarkStart w:id="228" w:name="_Toc287620729"/>
      <w:bookmarkStart w:id="229" w:name="_Toc27002"/>
      <w:bookmarkStart w:id="230" w:name="_Toc293756873"/>
      <w:bookmarkStart w:id="231" w:name="_Toc284231394"/>
      <w:r>
        <w:rPr>
          <w:rFonts w:hint="eastAsia" w:ascii="宋体" w:hAnsi="宋体" w:eastAsia="宋体" w:cs="宋体"/>
          <w:b w:val="0"/>
          <w:bCs/>
          <w:snapToGrid w:val="0"/>
          <w:color w:val="auto"/>
          <w:kern w:val="2"/>
          <w:sz w:val="21"/>
          <w:szCs w:val="21"/>
          <w:highlight w:val="none"/>
          <w:lang w:val="en-US" w:eastAsia="zh-CN" w:bidi="ar-SA"/>
        </w:rPr>
        <w:t>8.1  重新</w:t>
      </w:r>
      <w:bookmarkEnd w:id="222"/>
      <w:bookmarkEnd w:id="223"/>
      <w:bookmarkEnd w:id="224"/>
      <w:bookmarkEnd w:id="225"/>
      <w:bookmarkEnd w:id="226"/>
      <w:bookmarkEnd w:id="227"/>
      <w:bookmarkEnd w:id="228"/>
      <w:r>
        <w:rPr>
          <w:rFonts w:hint="eastAsia" w:ascii="宋体" w:hAnsi="宋体" w:eastAsia="宋体" w:cs="宋体"/>
          <w:b w:val="0"/>
          <w:bCs/>
          <w:snapToGrid w:val="0"/>
          <w:color w:val="auto"/>
          <w:kern w:val="2"/>
          <w:sz w:val="21"/>
          <w:szCs w:val="21"/>
          <w:highlight w:val="none"/>
          <w:lang w:val="en-US" w:eastAsia="zh-CN" w:bidi="ar-SA"/>
        </w:rPr>
        <w:t>比选</w:t>
      </w:r>
      <w:bookmarkEnd w:id="229"/>
    </w:p>
    <w:p w14:paraId="543A9434">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14:paraId="2B07F9C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14:paraId="35137BA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14:paraId="6FBBA3CD">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14:paraId="5FD6B6D4">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14:paraId="3CBF2D44">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32" w:name="_Toc28804"/>
      <w:r>
        <w:rPr>
          <w:rFonts w:hint="eastAsia" w:ascii="宋体" w:hAnsi="宋体" w:eastAsia="宋体" w:cs="宋体"/>
          <w:color w:val="auto"/>
          <w:sz w:val="21"/>
          <w:szCs w:val="21"/>
          <w:highlight w:val="none"/>
        </w:rPr>
        <w:t>8.2 不再</w:t>
      </w:r>
      <w:bookmarkEnd w:id="230"/>
      <w:bookmarkEnd w:id="231"/>
      <w:r>
        <w:rPr>
          <w:rFonts w:hint="eastAsia" w:ascii="宋体" w:hAnsi="宋体" w:eastAsia="宋体" w:cs="宋体"/>
          <w:color w:val="auto"/>
          <w:sz w:val="21"/>
          <w:szCs w:val="21"/>
          <w:highlight w:val="none"/>
        </w:rPr>
        <w:t>比选</w:t>
      </w:r>
      <w:bookmarkEnd w:id="232"/>
    </w:p>
    <w:p w14:paraId="1D89370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33" w:name="_Toc288046894"/>
      <w:bookmarkStart w:id="234" w:name="_Toc293756874"/>
      <w:bookmarkStart w:id="235" w:name="_Toc284159360"/>
      <w:bookmarkStart w:id="236" w:name="_Toc288046541"/>
      <w:bookmarkStart w:id="237" w:name="_Toc284158456"/>
      <w:bookmarkStart w:id="238" w:name="_Toc288045280"/>
      <w:bookmarkStart w:id="239" w:name="_Toc288052291"/>
      <w:bookmarkStart w:id="240" w:name="_Toc284159224"/>
      <w:bookmarkStart w:id="241" w:name="_Toc284158539"/>
      <w:bookmarkStart w:id="242" w:name="_Toc284231395"/>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33"/>
      <w:bookmarkEnd w:id="234"/>
      <w:bookmarkEnd w:id="235"/>
      <w:bookmarkEnd w:id="236"/>
      <w:bookmarkEnd w:id="237"/>
      <w:bookmarkEnd w:id="238"/>
      <w:bookmarkEnd w:id="239"/>
      <w:bookmarkEnd w:id="240"/>
      <w:bookmarkEnd w:id="241"/>
      <w:bookmarkEnd w:id="242"/>
    </w:p>
    <w:p w14:paraId="4586FF70">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43" w:name="_Toc430530481"/>
      <w:bookmarkStart w:id="244" w:name="_Toc509218756"/>
      <w:bookmarkStart w:id="245" w:name="_Toc287620731"/>
      <w:bookmarkStart w:id="246" w:name="_Toc287607792"/>
      <w:bookmarkStart w:id="247" w:name="_Toc277082598"/>
      <w:bookmarkStart w:id="248" w:name="_Toc3425"/>
      <w:bookmarkStart w:id="249" w:name="_Toc224103363"/>
      <w:bookmarkStart w:id="250" w:name="_Toc200513172"/>
      <w:bookmarkStart w:id="251" w:name="_Toc31090"/>
      <w:bookmarkStart w:id="252" w:name="_Toc36043737"/>
      <w:r>
        <w:rPr>
          <w:rFonts w:hint="eastAsia" w:ascii="宋体" w:hAnsi="宋体" w:eastAsia="宋体" w:cs="宋体"/>
          <w:color w:val="auto"/>
          <w:sz w:val="21"/>
          <w:szCs w:val="21"/>
          <w:highlight w:val="none"/>
        </w:rPr>
        <w:t>9.  纪律和监督</w:t>
      </w:r>
      <w:bookmarkEnd w:id="243"/>
      <w:bookmarkEnd w:id="244"/>
      <w:bookmarkEnd w:id="245"/>
      <w:bookmarkEnd w:id="246"/>
      <w:bookmarkEnd w:id="247"/>
      <w:bookmarkEnd w:id="248"/>
      <w:bookmarkEnd w:id="249"/>
      <w:bookmarkEnd w:id="250"/>
      <w:bookmarkEnd w:id="251"/>
      <w:bookmarkEnd w:id="252"/>
    </w:p>
    <w:p w14:paraId="3CAACA74">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3" w:name="_Toc224103364"/>
      <w:bookmarkStart w:id="254" w:name="_Toc287607793"/>
      <w:bookmarkStart w:id="255" w:name="_Toc277082599"/>
      <w:bookmarkStart w:id="256" w:name="_Toc430530482"/>
      <w:bookmarkStart w:id="257" w:name="_Toc287620732"/>
      <w:bookmarkStart w:id="258" w:name="_Toc200513173"/>
      <w:bookmarkStart w:id="259" w:name="_Toc509218757"/>
      <w:bookmarkStart w:id="260" w:name="_Toc25463"/>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53"/>
      <w:bookmarkEnd w:id="254"/>
      <w:bookmarkEnd w:id="255"/>
      <w:bookmarkEnd w:id="256"/>
      <w:bookmarkEnd w:id="257"/>
      <w:bookmarkEnd w:id="258"/>
      <w:bookmarkEnd w:id="259"/>
      <w:bookmarkEnd w:id="260"/>
    </w:p>
    <w:p w14:paraId="0B25CDA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14:paraId="76A221F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14:paraId="188907A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14:paraId="65D2D33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14:paraId="4B86442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14:paraId="2E90B1E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14:paraId="435C40E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14:paraId="1EB9BF8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14:paraId="74B6968D">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1" w:name="_Toc287607794"/>
      <w:bookmarkStart w:id="262" w:name="_Toc430530483"/>
      <w:bookmarkStart w:id="263" w:name="_Toc509218758"/>
      <w:bookmarkStart w:id="264" w:name="_Toc224103365"/>
      <w:bookmarkStart w:id="265" w:name="_Toc287620733"/>
      <w:bookmarkStart w:id="266" w:name="_Toc14890"/>
      <w:bookmarkStart w:id="267" w:name="_Toc277082600"/>
      <w:bookmarkStart w:id="268" w:name="_Toc200513174"/>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61"/>
      <w:bookmarkEnd w:id="262"/>
      <w:bookmarkEnd w:id="263"/>
      <w:bookmarkEnd w:id="264"/>
      <w:bookmarkEnd w:id="265"/>
      <w:bookmarkEnd w:id="266"/>
      <w:bookmarkEnd w:id="267"/>
      <w:bookmarkEnd w:id="268"/>
    </w:p>
    <w:p w14:paraId="04CB76E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14:paraId="3C7CFA2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14:paraId="4070138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14:paraId="2A9B11E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14:paraId="7B64328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14:paraId="3F4D8D4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14:paraId="537E658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14:paraId="2496A6A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60A3B79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5554007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14:paraId="186BB42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0519CA7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1EAD5B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14:paraId="0F9E40A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14:paraId="2DFC9CC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14:paraId="22D2E7B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42DA7DE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B43B55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029BD4F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60656FE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14:paraId="5C53D7E6">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9" w:name="_Toc277082601"/>
      <w:bookmarkStart w:id="270" w:name="_Toc200513175"/>
      <w:bookmarkStart w:id="271" w:name="_Toc287607795"/>
      <w:bookmarkStart w:id="272" w:name="_Toc20024"/>
      <w:bookmarkStart w:id="273" w:name="_Toc430530484"/>
      <w:bookmarkStart w:id="274" w:name="_Toc509218759"/>
      <w:bookmarkStart w:id="275" w:name="_Toc224103366"/>
      <w:bookmarkStart w:id="276" w:name="_Toc287620734"/>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69"/>
      <w:bookmarkEnd w:id="270"/>
      <w:bookmarkEnd w:id="271"/>
      <w:bookmarkEnd w:id="272"/>
      <w:bookmarkEnd w:id="273"/>
      <w:bookmarkEnd w:id="274"/>
      <w:bookmarkEnd w:id="275"/>
      <w:bookmarkEnd w:id="276"/>
    </w:p>
    <w:p w14:paraId="0B64842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9083AE1">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7" w:name="_Toc224103367"/>
      <w:bookmarkStart w:id="278" w:name="_Toc287620735"/>
      <w:bookmarkStart w:id="279" w:name="_Toc1608"/>
      <w:bookmarkStart w:id="280" w:name="_Toc430530485"/>
      <w:bookmarkStart w:id="281" w:name="_Toc200513176"/>
      <w:bookmarkStart w:id="282" w:name="_Toc509218760"/>
      <w:bookmarkStart w:id="283" w:name="_Toc287607796"/>
      <w:bookmarkStart w:id="284" w:name="_Toc277082602"/>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77"/>
      <w:bookmarkEnd w:id="278"/>
      <w:bookmarkEnd w:id="279"/>
      <w:bookmarkEnd w:id="280"/>
      <w:bookmarkEnd w:id="281"/>
      <w:bookmarkEnd w:id="282"/>
      <w:bookmarkEnd w:id="283"/>
      <w:bookmarkEnd w:id="284"/>
    </w:p>
    <w:p w14:paraId="01936BD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32EA8448">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85" w:name="_Toc277082603"/>
      <w:bookmarkStart w:id="286" w:name="_Toc224103368"/>
      <w:bookmarkStart w:id="287" w:name="_Toc2907"/>
      <w:bookmarkStart w:id="288" w:name="_Toc287607797"/>
      <w:bookmarkStart w:id="289" w:name="_Toc200513177"/>
      <w:bookmarkStart w:id="290" w:name="_Toc430530486"/>
      <w:bookmarkStart w:id="291" w:name="_Toc287620736"/>
      <w:bookmarkStart w:id="292" w:name="_Toc509218761"/>
      <w:r>
        <w:rPr>
          <w:rFonts w:hint="eastAsia" w:ascii="宋体" w:hAnsi="宋体" w:eastAsia="宋体" w:cs="宋体"/>
          <w:b w:val="0"/>
          <w:bCs/>
          <w:snapToGrid w:val="0"/>
          <w:color w:val="auto"/>
          <w:kern w:val="2"/>
          <w:sz w:val="21"/>
          <w:szCs w:val="21"/>
          <w:highlight w:val="none"/>
          <w:lang w:val="en-US" w:eastAsia="zh-CN" w:bidi="ar-SA"/>
        </w:rPr>
        <w:t>9.5  投诉</w:t>
      </w:r>
      <w:bookmarkEnd w:id="285"/>
      <w:bookmarkEnd w:id="286"/>
      <w:bookmarkEnd w:id="287"/>
      <w:bookmarkEnd w:id="288"/>
      <w:bookmarkEnd w:id="289"/>
      <w:bookmarkEnd w:id="290"/>
      <w:bookmarkEnd w:id="291"/>
      <w:bookmarkEnd w:id="292"/>
    </w:p>
    <w:p w14:paraId="6523206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14:paraId="0A22A6F5">
      <w:pPr>
        <w:keepNext/>
        <w:keepLines/>
        <w:pageBreakBefore w:val="0"/>
        <w:widowControl w:val="0"/>
        <w:kinsoku/>
        <w:wordWrap/>
        <w:overflowPunct/>
        <w:topLinePunct w:val="0"/>
        <w:bidi w:val="0"/>
        <w:spacing w:before="0" w:after="0" w:line="360" w:lineRule="auto"/>
        <w:ind w:firstLine="420" w:firstLineChars="200"/>
        <w:jc w:val="both"/>
        <w:textAlignment w:val="auto"/>
        <w:outlineLvl w:val="1"/>
        <w:rPr>
          <w:rFonts w:hint="eastAsia" w:ascii="宋体" w:hAnsi="宋体" w:eastAsia="宋体" w:cs="宋体"/>
          <w:b w:val="0"/>
          <w:bCs/>
          <w:snapToGrid w:val="0"/>
          <w:color w:val="auto"/>
          <w:kern w:val="2"/>
          <w:sz w:val="21"/>
          <w:szCs w:val="21"/>
          <w:highlight w:val="none"/>
          <w:lang w:val="en-US" w:eastAsia="zh-CN" w:bidi="ar-SA"/>
        </w:rPr>
      </w:pPr>
      <w:bookmarkStart w:id="293" w:name="_Toc287607798"/>
      <w:bookmarkStart w:id="294" w:name="_Toc277082604"/>
      <w:bookmarkStart w:id="295" w:name="_Toc3617"/>
      <w:bookmarkStart w:id="296" w:name="_Toc36043738"/>
      <w:bookmarkStart w:id="297" w:name="_Toc200513178"/>
      <w:bookmarkStart w:id="298" w:name="_Toc509218762"/>
      <w:bookmarkStart w:id="299" w:name="_Toc430530487"/>
      <w:bookmarkStart w:id="300" w:name="_Toc224103369"/>
      <w:bookmarkStart w:id="301" w:name="_Toc287620737"/>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93"/>
      <w:bookmarkEnd w:id="294"/>
      <w:bookmarkEnd w:id="295"/>
      <w:bookmarkEnd w:id="296"/>
      <w:bookmarkEnd w:id="297"/>
      <w:bookmarkEnd w:id="298"/>
      <w:bookmarkEnd w:id="299"/>
      <w:bookmarkEnd w:id="300"/>
      <w:bookmarkEnd w:id="301"/>
    </w:p>
    <w:p w14:paraId="3232F52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14:paraId="388E0997">
      <w:pPr>
        <w:spacing w:line="360" w:lineRule="auto"/>
        <w:ind w:firstLine="240" w:firstLineChars="100"/>
        <w:rPr>
          <w:rFonts w:ascii="宋体" w:hAnsi="宋体" w:eastAsia="宋体" w:cs="宋体"/>
          <w:color w:val="auto"/>
          <w:sz w:val="24"/>
          <w:highlight w:val="none"/>
        </w:rPr>
        <w:sectPr>
          <w:pgSz w:w="11906" w:h="16838"/>
          <w:pgMar w:top="1134" w:right="1418" w:bottom="1134" w:left="1418" w:header="851" w:footer="992" w:gutter="0"/>
          <w:cols w:space="720" w:num="1"/>
          <w:docGrid w:type="lines" w:linePitch="312" w:charSpace="0"/>
        </w:sectPr>
      </w:pPr>
    </w:p>
    <w:p w14:paraId="375B254F">
      <w:pPr>
        <w:pStyle w:val="2"/>
        <w:spacing w:line="360" w:lineRule="auto"/>
        <w:ind w:firstLine="883" w:firstLineChars="200"/>
        <w:jc w:val="center"/>
        <w:rPr>
          <w:rFonts w:ascii="宋体" w:hAnsi="宋体"/>
          <w:highlight w:val="none"/>
        </w:rPr>
      </w:pPr>
      <w:bookmarkStart w:id="302" w:name="_Toc6128"/>
      <w:bookmarkStart w:id="303" w:name="_Toc5770"/>
      <w:bookmarkStart w:id="304" w:name="_Toc13564"/>
      <w:bookmarkStart w:id="305" w:name="_Toc509218774"/>
      <w:bookmarkStart w:id="306" w:name="_Toc224103384"/>
      <w:bookmarkStart w:id="307" w:name="_Toc287620751"/>
      <w:bookmarkStart w:id="308" w:name="_Toc287607812"/>
      <w:bookmarkStart w:id="309" w:name="_Toc200513198"/>
      <w:bookmarkStart w:id="310" w:name="_Toc430530500"/>
      <w:bookmarkStart w:id="311" w:name="_Toc277082618"/>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w:t>
      </w:r>
      <w:r>
        <w:rPr>
          <w:rFonts w:hint="eastAsia" w:ascii="宋体" w:hAnsi="宋体"/>
          <w:snapToGrid w:val="0"/>
          <w:color w:val="auto"/>
          <w:kern w:val="0"/>
          <w:highlight w:val="none"/>
        </w:rPr>
        <w:t>经评审的最低投标价法</w:t>
      </w:r>
      <w:r>
        <w:rPr>
          <w:rFonts w:ascii="宋体" w:hAnsi="宋体"/>
          <w:highlight w:val="none"/>
        </w:rPr>
        <w:t>）</w:t>
      </w:r>
      <w:bookmarkEnd w:id="302"/>
      <w:bookmarkEnd w:id="303"/>
      <w:bookmarkEnd w:id="304"/>
      <w:bookmarkEnd w:id="305"/>
      <w:bookmarkStart w:id="312" w:name="_Toc277082617"/>
      <w:bookmarkStart w:id="313" w:name="_Toc430530499"/>
      <w:bookmarkStart w:id="314" w:name="_Toc224103383"/>
      <w:bookmarkStart w:id="315" w:name="_Toc287620750"/>
      <w:bookmarkStart w:id="316" w:name="_Toc287607811"/>
    </w:p>
    <w:p w14:paraId="52EC3A0F">
      <w:pPr>
        <w:pStyle w:val="3"/>
        <w:spacing w:before="100" w:after="100" w:line="360" w:lineRule="auto"/>
        <w:rPr>
          <w:rFonts w:ascii="宋体" w:hAnsi="宋体"/>
          <w:highlight w:val="none"/>
        </w:rPr>
      </w:pPr>
      <w:bookmarkStart w:id="317" w:name="_Toc14663"/>
      <w:bookmarkStart w:id="318" w:name="_Toc509218775"/>
      <w:bookmarkStart w:id="319" w:name="_Toc32566"/>
      <w:bookmarkStart w:id="320" w:name="_Toc8905"/>
      <w:r>
        <w:rPr>
          <w:rFonts w:hint="eastAsia" w:ascii="宋体" w:hAnsi="宋体"/>
          <w:highlight w:val="none"/>
        </w:rPr>
        <w:t>评标办法前附表</w:t>
      </w:r>
      <w:bookmarkEnd w:id="317"/>
      <w:bookmarkEnd w:id="318"/>
      <w:bookmarkEnd w:id="319"/>
      <w:bookmarkEnd w:id="320"/>
    </w:p>
    <w:p w14:paraId="0961EDA0">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bookmarkEnd w:id="312"/>
    <w:bookmarkEnd w:id="313"/>
    <w:bookmarkEnd w:id="314"/>
    <w:bookmarkEnd w:id="315"/>
    <w:bookmarkEnd w:id="316"/>
    <w:tbl>
      <w:tblPr>
        <w:tblStyle w:val="46"/>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7932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243" w:type="dxa"/>
            <w:tcBorders>
              <w:right w:val="single" w:color="auto" w:sz="4" w:space="0"/>
            </w:tcBorders>
            <w:vAlign w:val="center"/>
          </w:tcPr>
          <w:p w14:paraId="4D5E3D37">
            <w:pPr>
              <w:spacing w:line="400" w:lineRule="exact"/>
              <w:jc w:val="center"/>
              <w:rPr>
                <w:rFonts w:ascii="宋体" w:hAnsi="宋体"/>
                <w:b/>
                <w:color w:val="auto"/>
                <w:kern w:val="0"/>
                <w:highlight w:val="none"/>
              </w:rPr>
            </w:pPr>
            <w:bookmarkStart w:id="321" w:name="_Toc509218776"/>
            <w:r>
              <w:rPr>
                <w:rFonts w:ascii="宋体" w:hAnsi="宋体"/>
                <w:b/>
                <w:color w:val="auto"/>
                <w:kern w:val="0"/>
                <w:highlight w:val="none"/>
              </w:rPr>
              <w:t>条款号</w:t>
            </w:r>
          </w:p>
        </w:tc>
        <w:tc>
          <w:tcPr>
            <w:tcW w:w="1560" w:type="dxa"/>
            <w:tcBorders>
              <w:left w:val="single" w:color="auto" w:sz="4" w:space="0"/>
            </w:tcBorders>
            <w:vAlign w:val="center"/>
          </w:tcPr>
          <w:p w14:paraId="5D287C33">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0520EB39">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77910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14:paraId="39AAC44F">
            <w:pPr>
              <w:pStyle w:val="87"/>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785E591E">
            <w:pPr>
              <w:pStyle w:val="8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453FFCEE">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授权直接确定中标人。若出现</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投标报价相同的，以“</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在红名单中优先”的原则排序（联合体投标的，须联合体牵头人在红名单中），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均在红名单中或均不在红名单中的，由评标委员会按照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63134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14:paraId="4640920A">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58D4A23E">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2529690B">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eastAsia="zh-CN"/>
              </w:rPr>
              <w:t>竞选人</w:t>
            </w:r>
            <w:r>
              <w:rPr>
                <w:rFonts w:hint="eastAsia" w:ascii="宋体" w:hAnsi="宋体"/>
                <w:color w:val="auto"/>
                <w:kern w:val="0"/>
                <w:highlight w:val="none"/>
              </w:rPr>
              <w:t>的投标文件，按照报价由低到高的顺序排列。</w:t>
            </w:r>
          </w:p>
        </w:tc>
      </w:tr>
      <w:tr w14:paraId="14EAB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14:paraId="282A54C7">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793E413E">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5CD45F64">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3</w:t>
            </w:r>
            <w:r>
              <w:rPr>
                <w:rFonts w:hint="eastAsia" w:ascii="宋体" w:hAnsi="宋体"/>
                <w:color w:val="auto"/>
                <w:kern w:val="0"/>
                <w:highlight w:val="none"/>
              </w:rPr>
              <w:t>名（若实际</w:t>
            </w:r>
            <w:r>
              <w:rPr>
                <w:rFonts w:hint="eastAsia" w:ascii="宋体" w:hAnsi="宋体"/>
                <w:color w:val="auto"/>
                <w:kern w:val="0"/>
                <w:highlight w:val="none"/>
                <w:lang w:eastAsia="zh-CN"/>
              </w:rPr>
              <w:t>竞选人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竞选人</w:t>
            </w:r>
            <w:r>
              <w:rPr>
                <w:rFonts w:hint="eastAsia" w:ascii="宋体" w:hAnsi="宋体"/>
                <w:color w:val="auto"/>
                <w:kern w:val="0"/>
                <w:highlight w:val="none"/>
              </w:rPr>
              <w:t>中，报价最低的成为第一中标候选人，报价次低的成为第二中标候选人，依次类推。</w:t>
            </w:r>
          </w:p>
        </w:tc>
      </w:tr>
      <w:tr w14:paraId="4AACD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restart"/>
            <w:tcBorders>
              <w:right w:val="single" w:color="auto" w:sz="4" w:space="0"/>
            </w:tcBorders>
            <w:vAlign w:val="center"/>
          </w:tcPr>
          <w:p w14:paraId="165DA34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37EFD179">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7F7B8D7F">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10AD3351">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690EC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7794DE6E">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56431083">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CF6EB8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6C0F30F8">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43A50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5896B640">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B43CA1D">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ED6DDC3">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3E78DA4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47ED6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0F692D1F">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7181C3E9">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5F43B2E">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1E6316C3">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034C3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43E60B3E">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59FE3BCB">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67B18F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79953AC6">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7703F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03CA53B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CD7E2B4">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E4D5283">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60296A1A">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1937E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14:paraId="2E641A89">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60A3F41E">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438E6C61">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名称</w:t>
            </w:r>
          </w:p>
        </w:tc>
        <w:tc>
          <w:tcPr>
            <w:tcW w:w="4615" w:type="dxa"/>
            <w:tcBorders>
              <w:left w:val="single" w:color="auto" w:sz="4" w:space="0"/>
            </w:tcBorders>
            <w:vAlign w:val="center"/>
          </w:tcPr>
          <w:p w14:paraId="43C1A4F3">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73B06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4E2FB3F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5B49F73F">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8F6547F">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14:paraId="42AD77B6">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14:paraId="4BEEB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1C96664A">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A44EDEC">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49C4255">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6360EBAA">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”第3.7款的要求。</w:t>
            </w:r>
          </w:p>
        </w:tc>
      </w:tr>
      <w:tr w14:paraId="20512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32C4FCC1">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565CB383">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B447FD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14:paraId="239B0725">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”第3.7.4项规定。</w:t>
            </w:r>
          </w:p>
        </w:tc>
      </w:tr>
      <w:tr w14:paraId="45C09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05B2CF43">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15782A1">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132C3B15">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3DC53246">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14:paraId="0A29E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0C767E5C">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6A481580">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064DE72D">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5CAE2D5F">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p w14:paraId="52F0158C">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p>
        </w:tc>
      </w:tr>
      <w:tr w14:paraId="356B7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5C6326CC">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14BB2C84">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669905D">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25EC3A07">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法定代表人的委托代理人有法定代表人签署的授权委托书和</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为其缴纳的养老保险。</w:t>
            </w:r>
          </w:p>
        </w:tc>
      </w:tr>
      <w:tr w14:paraId="6B55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14:paraId="6E99167B">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14:paraId="30641768">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14:paraId="51F6134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6FAE7E8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6468F7E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p w14:paraId="76E42BCA">
            <w:pPr>
              <w:spacing w:line="40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3.投标总报价低于最高限价85%的，</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应在编制投标文件时，在投标函部分中递交低价风险担保提交承诺书。</w:t>
            </w:r>
            <w:r>
              <w:rPr>
                <w:rFonts w:hint="eastAsia" w:ascii="宋体" w:hAnsi="宋体" w:cs="宋体"/>
                <w:bCs/>
                <w:color w:val="auto"/>
                <w:szCs w:val="21"/>
                <w:highlight w:val="none"/>
              </w:rPr>
              <w:t>承诺书格式详见第八章投标文件格式。</w:t>
            </w:r>
          </w:p>
        </w:tc>
      </w:tr>
      <w:tr w14:paraId="35A9A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6C30A11B">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7124A2A5">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DC5DDC3">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6254CBD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14:paraId="44F28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6D23DE51">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6292FCD">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EDC6F6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36D404D7">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”第1.3.1项规定</w:t>
            </w:r>
          </w:p>
        </w:tc>
      </w:tr>
      <w:tr w14:paraId="28E14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46393FB4">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20A9D56">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2522E02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3695CC4C">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”第1.3.2项规定</w:t>
            </w:r>
          </w:p>
        </w:tc>
      </w:tr>
      <w:tr w14:paraId="6AADA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69B35A1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89E7DED">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7A4F47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0918C965">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”第1.3.3项规定</w:t>
            </w:r>
          </w:p>
        </w:tc>
      </w:tr>
      <w:tr w14:paraId="36897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504EB61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7520914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95D750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0A8A3341">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竞选人须知前附表</w:t>
            </w:r>
            <w:r>
              <w:rPr>
                <w:rFonts w:hint="eastAsia" w:ascii="宋体" w:hAnsi="宋体" w:cs="宋体"/>
                <w:color w:val="auto"/>
                <w:kern w:val="0"/>
                <w:highlight w:val="none"/>
              </w:rPr>
              <w:t>”第3.4项规定。</w:t>
            </w:r>
          </w:p>
        </w:tc>
      </w:tr>
      <w:tr w14:paraId="3390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341A19B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74E4CF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572A0F9">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0A57798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14:paraId="44C1E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70EB4C8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0C2D2BD">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6FD99C4">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7FC560D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第七章</w:t>
            </w:r>
            <w:r>
              <w:rPr>
                <w:rFonts w:hint="eastAsia" w:ascii="宋体" w:hAnsi="宋体" w:cs="宋体"/>
                <w:color w:val="auto"/>
                <w:kern w:val="0"/>
                <w:highlight w:val="none"/>
              </w:rPr>
              <w:t>“技术标准和要求”规定。（由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承诺，承诺书格式详见投标文件格式</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并提供相关检测报告</w:t>
            </w:r>
            <w:r>
              <w:rPr>
                <w:rFonts w:hint="eastAsia" w:ascii="宋体" w:hAnsi="宋体" w:cs="宋体"/>
                <w:color w:val="auto"/>
                <w:kern w:val="0"/>
                <w:highlight w:val="none"/>
              </w:rPr>
              <w:t>）</w:t>
            </w:r>
          </w:p>
        </w:tc>
      </w:tr>
      <w:tr w14:paraId="7870D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2B437E07">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5F3C1F15">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C89EF5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4A240705">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承诺满足以下内容：</w:t>
            </w:r>
          </w:p>
          <w:p w14:paraId="4B5A56AA">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1.符合第五章“技术标准和要求”给出的范围及数量。</w:t>
            </w:r>
          </w:p>
          <w:p w14:paraId="21C9A17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14:paraId="5768B0F3">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w:t>
            </w:r>
            <w:r>
              <w:rPr>
                <w:rFonts w:hint="eastAsia" w:ascii="宋体" w:hAnsi="宋体" w:cs="宋体"/>
                <w:color w:val="auto"/>
                <w:kern w:val="0"/>
                <w:highlight w:val="none"/>
                <w:lang w:val="en-US" w:eastAsia="zh-CN"/>
              </w:rPr>
              <w:t>包干</w:t>
            </w:r>
            <w:r>
              <w:rPr>
                <w:rFonts w:hint="eastAsia" w:ascii="宋体" w:hAnsi="宋体" w:cs="宋体"/>
                <w:color w:val="auto"/>
                <w:kern w:val="0"/>
                <w:highlight w:val="none"/>
              </w:rPr>
              <w:t>单价报价不得高于对</w:t>
            </w:r>
            <w:r>
              <w:rPr>
                <w:rFonts w:hint="eastAsia" w:ascii="宋体" w:hAnsi="宋体" w:cs="宋体"/>
                <w:color w:val="auto"/>
                <w:kern w:val="0"/>
                <w:highlight w:val="none"/>
                <w:lang w:val="en-US" w:eastAsia="zh-CN"/>
              </w:rPr>
              <w:t>包干</w:t>
            </w:r>
            <w:r>
              <w:rPr>
                <w:rFonts w:hint="eastAsia" w:ascii="宋体" w:hAnsi="宋体" w:cs="宋体"/>
                <w:color w:val="auto"/>
                <w:kern w:val="0"/>
                <w:highlight w:val="none"/>
              </w:rPr>
              <w:t>单价最高限价。</w:t>
            </w:r>
          </w:p>
        </w:tc>
      </w:tr>
      <w:tr w14:paraId="22B42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3F51BFF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2BFA5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23C4446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5BF20AC7">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1D92C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2272847F">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7221FE1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0B38FA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26A249D0">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”第1.4.3项规定。</w:t>
            </w:r>
          </w:p>
          <w:p w14:paraId="21D9FD97">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51B94EA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7C6DD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14:paraId="5FF6A9CF">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09EBDF90">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2F1A9D2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的投标文件，按照报价由低到高的顺序排序。</w:t>
            </w:r>
          </w:p>
          <w:p w14:paraId="5DE800AC">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中，报价最低的成为第一中标候选人，报价次低的成为第二中标候选人，依次类推。</w:t>
            </w:r>
          </w:p>
          <w:p w14:paraId="6C1CA308">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1DC00038">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不足三个的，评标委员会应当否决所有投标。但是有效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的经济、技术等指标仍然具有市场竞争力，并满足招标文件要求的，评标委员会可以继续评标并确定中标候选人。</w:t>
            </w:r>
          </w:p>
          <w:p w14:paraId="4883CEEB">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投标报价相同的，以“</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在红名单中优先”的原则排序</w:t>
            </w:r>
            <w:r>
              <w:rPr>
                <w:rFonts w:hint="eastAsia" w:ascii="宋体" w:hAnsi="宋体"/>
                <w:color w:val="auto"/>
                <w:spacing w:val="4"/>
                <w:kern w:val="0"/>
                <w:szCs w:val="21"/>
                <w:highlight w:val="none"/>
              </w:rPr>
              <w:t>（联合体投标的，须联合体牵头人在红名单中），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446DD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14:paraId="4E920651">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0B01715D">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0794A055">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竞选人须知</w:t>
            </w:r>
            <w:r>
              <w:rPr>
                <w:rFonts w:ascii="宋体" w:hAnsi="宋体"/>
                <w:color w:val="auto"/>
                <w:kern w:val="0"/>
                <w:szCs w:val="21"/>
                <w:highlight w:val="none"/>
              </w:rPr>
              <w:t>”前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491DDD0F">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0355B2B7">
      <w:pPr>
        <w:pStyle w:val="3"/>
        <w:spacing w:before="0" w:after="0" w:line="360" w:lineRule="auto"/>
        <w:outlineLvl w:val="9"/>
        <w:rPr>
          <w:rFonts w:ascii="宋体" w:hAnsi="宋体"/>
          <w:b w:val="0"/>
          <w:snapToGrid w:val="0"/>
          <w:color w:val="auto"/>
          <w:highlight w:val="none"/>
        </w:rPr>
      </w:pPr>
    </w:p>
    <w:bookmarkEnd w:id="306"/>
    <w:bookmarkEnd w:id="307"/>
    <w:bookmarkEnd w:id="308"/>
    <w:bookmarkEnd w:id="309"/>
    <w:bookmarkEnd w:id="310"/>
    <w:bookmarkEnd w:id="311"/>
    <w:bookmarkEnd w:id="321"/>
    <w:p w14:paraId="0D2081E9">
      <w:pPr>
        <w:pStyle w:val="3"/>
        <w:spacing w:before="0" w:after="0" w:line="360" w:lineRule="auto"/>
        <w:rPr>
          <w:rFonts w:ascii="宋体" w:hAnsi="宋体"/>
          <w:b w:val="0"/>
          <w:snapToGrid w:val="0"/>
          <w:color w:val="auto"/>
          <w:highlight w:val="none"/>
        </w:rPr>
      </w:pPr>
      <w:bookmarkStart w:id="322" w:name="_Toc12666"/>
      <w:bookmarkStart w:id="323" w:name="_Toc27750"/>
      <w:bookmarkStart w:id="324" w:name="_Toc22842"/>
      <w:bookmarkStart w:id="325" w:name="_Toc57905886"/>
      <w:r>
        <w:rPr>
          <w:rFonts w:ascii="宋体" w:hAnsi="宋体"/>
          <w:b w:val="0"/>
          <w:snapToGrid w:val="0"/>
          <w:color w:val="auto"/>
          <w:highlight w:val="none"/>
        </w:rPr>
        <w:t>1.  评标方法</w:t>
      </w:r>
      <w:bookmarkEnd w:id="322"/>
      <w:bookmarkEnd w:id="323"/>
      <w:bookmarkEnd w:id="324"/>
      <w:bookmarkEnd w:id="325"/>
    </w:p>
    <w:p w14:paraId="4E95D6E0">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highlight w:val="none"/>
          <w:lang w:eastAsia="zh-CN"/>
        </w:rPr>
        <w:t>竞选人</w:t>
      </w:r>
      <w:r>
        <w:rPr>
          <w:rFonts w:hint="eastAsia" w:ascii="宋体" w:hAnsi="宋体"/>
          <w:color w:val="auto"/>
          <w:highlight w:val="none"/>
        </w:rPr>
        <w:t>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w:t>
      </w:r>
      <w:r>
        <w:rPr>
          <w:rFonts w:hint="eastAsia" w:ascii="宋体" w:hAnsi="宋体"/>
          <w:color w:val="auto"/>
          <w:highlight w:val="none"/>
          <w:lang w:eastAsia="zh-CN"/>
        </w:rPr>
        <w:t>竞选人</w:t>
      </w:r>
      <w:r>
        <w:rPr>
          <w:rFonts w:hint="eastAsia" w:ascii="宋体" w:hAnsi="宋体"/>
          <w:color w:val="auto"/>
          <w:highlight w:val="none"/>
        </w:rPr>
        <w:t>投标报价相同的，以评标办法前附表约定的原则确定排序。</w:t>
      </w:r>
    </w:p>
    <w:p w14:paraId="49DFD8D5">
      <w:pPr>
        <w:pStyle w:val="3"/>
        <w:spacing w:before="0" w:after="0" w:line="360" w:lineRule="auto"/>
        <w:rPr>
          <w:rFonts w:ascii="宋体" w:hAnsi="宋体"/>
          <w:b w:val="0"/>
          <w:snapToGrid w:val="0"/>
          <w:color w:val="auto"/>
          <w:highlight w:val="none"/>
        </w:rPr>
      </w:pPr>
      <w:bookmarkStart w:id="326" w:name="_Toc395"/>
      <w:bookmarkStart w:id="327" w:name="_Toc57905887"/>
      <w:bookmarkStart w:id="328" w:name="_Toc24923"/>
      <w:bookmarkStart w:id="329" w:name="_Toc20502"/>
      <w:r>
        <w:rPr>
          <w:rFonts w:ascii="宋体" w:hAnsi="宋体"/>
          <w:b w:val="0"/>
          <w:snapToGrid w:val="0"/>
          <w:color w:val="auto"/>
          <w:highlight w:val="none"/>
        </w:rPr>
        <w:t>2.  评审标准</w:t>
      </w:r>
      <w:bookmarkEnd w:id="326"/>
      <w:bookmarkEnd w:id="327"/>
      <w:bookmarkEnd w:id="328"/>
      <w:bookmarkEnd w:id="329"/>
    </w:p>
    <w:p w14:paraId="60BDFAB4">
      <w:pPr>
        <w:pStyle w:val="4"/>
        <w:spacing w:before="0" w:after="0" w:line="360" w:lineRule="auto"/>
        <w:rPr>
          <w:rFonts w:ascii="宋体" w:hAnsi="宋体" w:cs="宋体"/>
          <w:color w:val="auto"/>
          <w:sz w:val="21"/>
          <w:szCs w:val="21"/>
          <w:highlight w:val="none"/>
        </w:rPr>
      </w:pPr>
      <w:bookmarkStart w:id="330" w:name="_Toc3739"/>
      <w:bookmarkStart w:id="331" w:name="_Toc57905888"/>
      <w:bookmarkStart w:id="332" w:name="_Toc24029"/>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330"/>
      <w:r>
        <w:rPr>
          <w:rFonts w:hint="eastAsia" w:ascii="宋体" w:hAnsi="宋体" w:cs="宋体"/>
          <w:color w:val="auto"/>
          <w:sz w:val="21"/>
          <w:szCs w:val="21"/>
          <w:highlight w:val="none"/>
        </w:rPr>
        <w:t>标准</w:t>
      </w:r>
      <w:bookmarkEnd w:id="331"/>
      <w:bookmarkEnd w:id="332"/>
    </w:p>
    <w:p w14:paraId="759101AF">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2F26E868">
      <w:pPr>
        <w:pStyle w:val="4"/>
        <w:spacing w:before="0" w:after="0" w:line="360" w:lineRule="auto"/>
        <w:rPr>
          <w:rFonts w:ascii="宋体" w:hAnsi="宋体" w:cs="宋体"/>
          <w:color w:val="auto"/>
          <w:sz w:val="21"/>
          <w:szCs w:val="21"/>
          <w:highlight w:val="none"/>
        </w:rPr>
      </w:pPr>
      <w:bookmarkStart w:id="333" w:name="_Toc16832"/>
      <w:bookmarkStart w:id="334" w:name="_Toc7449"/>
      <w:bookmarkStart w:id="335" w:name="_Toc5790588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333"/>
      <w:r>
        <w:rPr>
          <w:rFonts w:hint="eastAsia" w:ascii="宋体" w:hAnsi="宋体" w:cs="宋体"/>
          <w:color w:val="auto"/>
          <w:sz w:val="21"/>
          <w:szCs w:val="21"/>
          <w:highlight w:val="none"/>
        </w:rPr>
        <w:t>标准</w:t>
      </w:r>
      <w:bookmarkEnd w:id="334"/>
      <w:bookmarkEnd w:id="335"/>
    </w:p>
    <w:p w14:paraId="36EBAD57">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14:paraId="44F8252F">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14:paraId="4A224F4F">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14:paraId="695083FF">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14:paraId="3A867E2C">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0ED07296">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500DF2D8">
      <w:pPr>
        <w:pStyle w:val="3"/>
        <w:spacing w:before="0" w:after="0" w:line="360" w:lineRule="auto"/>
        <w:rPr>
          <w:rFonts w:ascii="宋体" w:hAnsi="宋体"/>
          <w:b w:val="0"/>
          <w:snapToGrid w:val="0"/>
          <w:color w:val="auto"/>
          <w:highlight w:val="none"/>
        </w:rPr>
      </w:pPr>
      <w:bookmarkStart w:id="336" w:name="_Toc1051"/>
      <w:bookmarkStart w:id="337" w:name="_Toc57905890"/>
      <w:bookmarkStart w:id="338" w:name="_Toc6630"/>
      <w:bookmarkStart w:id="339" w:name="_Toc30094"/>
      <w:r>
        <w:rPr>
          <w:rFonts w:ascii="宋体" w:hAnsi="宋体"/>
          <w:b w:val="0"/>
          <w:snapToGrid w:val="0"/>
          <w:color w:val="auto"/>
          <w:highlight w:val="none"/>
        </w:rPr>
        <w:t>3.  评标程序</w:t>
      </w:r>
      <w:bookmarkEnd w:id="336"/>
      <w:bookmarkEnd w:id="337"/>
      <w:bookmarkEnd w:id="338"/>
      <w:bookmarkEnd w:id="339"/>
    </w:p>
    <w:p w14:paraId="108F4C88">
      <w:pPr>
        <w:pStyle w:val="4"/>
        <w:spacing w:before="0" w:after="0" w:line="360" w:lineRule="auto"/>
        <w:rPr>
          <w:rFonts w:ascii="宋体" w:hAnsi="宋体" w:cs="宋体"/>
          <w:color w:val="auto"/>
          <w:sz w:val="21"/>
          <w:szCs w:val="21"/>
          <w:highlight w:val="none"/>
        </w:rPr>
      </w:pPr>
      <w:bookmarkStart w:id="340" w:name="_Toc57905891"/>
      <w:bookmarkStart w:id="341" w:name="_Toc19555"/>
      <w:bookmarkStart w:id="342" w:name="_Toc17317"/>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40"/>
      <w:bookmarkEnd w:id="341"/>
      <w:bookmarkEnd w:id="342"/>
    </w:p>
    <w:p w14:paraId="3C306214">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的投标文件，按照报价由低到高的顺序排序。</w:t>
      </w:r>
    </w:p>
    <w:p w14:paraId="7B3D8BA5">
      <w:pPr>
        <w:pStyle w:val="4"/>
        <w:spacing w:before="0" w:after="0" w:line="360" w:lineRule="auto"/>
        <w:rPr>
          <w:rFonts w:ascii="宋体" w:hAnsi="宋体" w:cs="宋体"/>
          <w:color w:val="auto"/>
          <w:sz w:val="21"/>
          <w:szCs w:val="21"/>
          <w:highlight w:val="none"/>
        </w:rPr>
      </w:pPr>
      <w:bookmarkStart w:id="343" w:name="_Toc23300"/>
      <w:bookmarkStart w:id="344" w:name="_Toc57905892"/>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43"/>
      <w:bookmarkEnd w:id="344"/>
    </w:p>
    <w:p w14:paraId="0B5075DD">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14:paraId="07DEA83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竞选人</w:t>
      </w:r>
      <w:r>
        <w:rPr>
          <w:rFonts w:ascii="宋体" w:hAnsi="宋体" w:cs="宋体"/>
          <w:color w:val="auto"/>
          <w:szCs w:val="21"/>
          <w:highlight w:val="none"/>
        </w:rPr>
        <w:t>有以下情形之一的，</w:t>
      </w:r>
      <w:r>
        <w:rPr>
          <w:rFonts w:hint="eastAsia" w:ascii="宋体" w:hAnsi="宋体" w:cs="宋体"/>
          <w:color w:val="auto"/>
          <w:szCs w:val="21"/>
          <w:highlight w:val="none"/>
        </w:rPr>
        <w:t>其投标文件将被否决：</w:t>
      </w:r>
    </w:p>
    <w:p w14:paraId="12D96A20">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竞选人须知</w:t>
      </w:r>
      <w:r>
        <w:rPr>
          <w:rFonts w:ascii="宋体" w:hAnsi="宋体" w:cs="宋体"/>
          <w:color w:val="auto"/>
          <w:szCs w:val="21"/>
          <w:highlight w:val="none"/>
        </w:rPr>
        <w:t xml:space="preserve">”第1.4.3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399EF0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3A433E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421494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书面确认后具有约束力，修正原则如下：</w:t>
      </w:r>
    </w:p>
    <w:p w14:paraId="4D3C6D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7651DFE1">
      <w:pPr>
        <w:spacing w:line="360" w:lineRule="auto"/>
        <w:ind w:firstLine="420" w:firstLineChars="200"/>
        <w:rPr>
          <w:rFonts w:ascii="宋体" w:hAnsi="宋体" w:cs="宋体"/>
          <w:color w:val="0000FF"/>
          <w:szCs w:val="21"/>
          <w:highlight w:val="none"/>
        </w:rPr>
      </w:pPr>
      <w:r>
        <w:rPr>
          <w:rFonts w:hint="eastAsia" w:ascii="宋体" w:hAnsi="宋体" w:cs="宋体"/>
          <w:color w:val="auto"/>
          <w:szCs w:val="21"/>
          <w:highlight w:val="none"/>
        </w:rPr>
        <w:t>（2）投标函中的总报价与</w:t>
      </w:r>
      <w:r>
        <w:rPr>
          <w:rFonts w:hint="eastAsia" w:ascii="宋体" w:hAnsi="宋体" w:cs="宋体"/>
          <w:color w:val="auto"/>
          <w:szCs w:val="21"/>
          <w:highlight w:val="none"/>
          <w:lang w:val="en-US" w:eastAsia="zh-CN"/>
        </w:rPr>
        <w:t>综合单价</w:t>
      </w:r>
      <w:r>
        <w:rPr>
          <w:rFonts w:hint="eastAsia" w:ascii="宋体" w:hAnsi="宋体" w:cs="宋体"/>
          <w:color w:val="auto"/>
          <w:szCs w:val="21"/>
          <w:highlight w:val="none"/>
        </w:rPr>
        <w:t>清单总报价不一致的，由评标委员会作否决投标处理。</w:t>
      </w:r>
    </w:p>
    <w:p w14:paraId="3BD77C7A">
      <w:pPr>
        <w:pStyle w:val="4"/>
        <w:spacing w:before="0" w:after="0" w:line="360" w:lineRule="auto"/>
        <w:rPr>
          <w:rFonts w:ascii="宋体" w:hAnsi="宋体" w:cs="宋体"/>
          <w:color w:val="auto"/>
          <w:sz w:val="21"/>
          <w:szCs w:val="21"/>
          <w:highlight w:val="none"/>
        </w:rPr>
      </w:pPr>
      <w:bookmarkStart w:id="345" w:name="_Toc57905893"/>
      <w:bookmarkStart w:id="346" w:name="_Toc30970"/>
      <w:bookmarkStart w:id="347" w:name="_Toc5505"/>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345"/>
      <w:bookmarkEnd w:id="346"/>
      <w:bookmarkEnd w:id="347"/>
    </w:p>
    <w:p w14:paraId="227E8A1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对所提交投标文件中不明确的内容进行书面澄清或说明，或者对细微偏差进行补正。评标委员会不接受</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主动提出的澄清、说明或补正。</w:t>
      </w:r>
    </w:p>
    <w:p w14:paraId="6AD532F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的书面澄清、说明和补正属于投标文件的组成部分。</w:t>
      </w:r>
    </w:p>
    <w:p w14:paraId="60DD7CA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进一步澄清、说明或补正，直至满足评标委员会的要求。</w:t>
      </w:r>
    </w:p>
    <w:p w14:paraId="40473B9D">
      <w:pPr>
        <w:pStyle w:val="4"/>
        <w:spacing w:before="0" w:after="0" w:line="360" w:lineRule="auto"/>
        <w:rPr>
          <w:rFonts w:ascii="宋体" w:hAnsi="宋体" w:cs="宋体"/>
          <w:color w:val="auto"/>
          <w:sz w:val="21"/>
          <w:szCs w:val="21"/>
          <w:highlight w:val="none"/>
        </w:rPr>
      </w:pPr>
      <w:bookmarkStart w:id="348" w:name="_Toc479262406"/>
      <w:bookmarkStart w:id="349" w:name="_Toc26860"/>
      <w:bookmarkStart w:id="350" w:name="_Toc484465184"/>
      <w:bookmarkStart w:id="351" w:name="_Toc57905894"/>
      <w:bookmarkStart w:id="352" w:name="_Toc27746"/>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48"/>
      <w:bookmarkEnd w:id="349"/>
      <w:bookmarkEnd w:id="350"/>
      <w:bookmarkEnd w:id="351"/>
      <w:bookmarkEnd w:id="352"/>
    </w:p>
    <w:p w14:paraId="07828216">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s="宋体"/>
          <w:color w:val="auto"/>
          <w:szCs w:val="21"/>
          <w:highlight w:val="none"/>
          <w:lang w:eastAsia="zh-CN"/>
        </w:rPr>
        <w:t>竞选人须知</w:t>
      </w:r>
      <w:r>
        <w:rPr>
          <w:rFonts w:hint="eastAsia" w:ascii="宋体" w:hAnsi="宋体" w:cs="宋体"/>
          <w:color w:val="auto"/>
          <w:szCs w:val="21"/>
          <w:highlight w:val="none"/>
        </w:rPr>
        <w:t>”前附表授权直接确定中标人外，评标委员会按经评审的最低投标价法推荐中标候选人。</w:t>
      </w:r>
    </w:p>
    <w:p w14:paraId="19344A84">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14:paraId="3AB4FB54">
      <w:pPr>
        <w:spacing w:line="360" w:lineRule="auto"/>
        <w:rPr>
          <w:rFonts w:ascii="宋体" w:hAnsi="宋体"/>
          <w:b/>
          <w:szCs w:val="20"/>
          <w:highlight w:val="none"/>
        </w:rPr>
      </w:pPr>
      <w:r>
        <w:rPr>
          <w:rFonts w:ascii="宋体" w:hAnsi="宋体"/>
          <w:kern w:val="0"/>
          <w:sz w:val="20"/>
          <w:szCs w:val="20"/>
          <w:highlight w:val="none"/>
        </w:rPr>
        <w:br w:type="page"/>
      </w:r>
    </w:p>
    <w:p w14:paraId="42EB649D">
      <w:pPr>
        <w:pStyle w:val="33"/>
        <w:spacing w:line="360" w:lineRule="auto"/>
        <w:outlineLvl w:val="0"/>
        <w:rPr>
          <w:rFonts w:ascii="宋体" w:hAnsi="宋体"/>
          <w:b/>
          <w:color w:val="auto"/>
          <w:sz w:val="28"/>
          <w:szCs w:val="28"/>
          <w:highlight w:val="none"/>
          <w:u w:val="none"/>
          <w:lang w:eastAsia="zh-CN"/>
        </w:rPr>
      </w:pPr>
      <w:bookmarkStart w:id="353" w:name="招标文件04章合同条款及格式"/>
      <w:bookmarkEnd w:id="353"/>
      <w:bookmarkStart w:id="354" w:name="招标文件03章02评标办法综合评估法02附件02"/>
      <w:bookmarkEnd w:id="354"/>
      <w:bookmarkStart w:id="355" w:name="_Toc11925"/>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bookmarkEnd w:id="355"/>
    </w:p>
    <w:p w14:paraId="021CE882">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投标文件存在本一览表下列情形之一的，投标文件视为重大偏差并作否决投标处理，否则，评标委员会不得视为重大偏差而否决竞选人的投标文件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EED8B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D3FFE6B">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69A4853F">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060A268E">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76974D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16DABBFB">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14:paraId="07C7D366">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14:paraId="5F5337BC">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14:paraId="4C23F7F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竞选人</w:t>
            </w:r>
            <w:r>
              <w:rPr>
                <w:rFonts w:hint="eastAsia" w:ascii="宋体" w:hAnsi="宋体"/>
                <w:color w:val="auto"/>
                <w:szCs w:val="21"/>
                <w:highlight w:val="none"/>
              </w:rPr>
              <w:t>的技术方案综合性评审不合格，由评标委员会作否决投标处理。技术方案采用暗标评审时，其形式应符合第二章</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第3.7.5项（</w:t>
            </w:r>
            <w:r>
              <w:rPr>
                <w:rFonts w:hint="eastAsia" w:ascii="宋体" w:hAnsi="宋体"/>
                <w:color w:val="auto"/>
                <w:szCs w:val="21"/>
                <w:highlight w:val="none"/>
                <w:lang w:val="en-US" w:eastAsia="zh-CN"/>
              </w:rPr>
              <w:t>4</w:t>
            </w:r>
            <w:r>
              <w:rPr>
                <w:rFonts w:hint="eastAsia" w:ascii="宋体" w:hAnsi="宋体"/>
                <w:color w:val="auto"/>
                <w:szCs w:val="21"/>
                <w:highlight w:val="none"/>
              </w:rPr>
              <w:t>）技术部分的</w:t>
            </w:r>
            <w:r>
              <w:rPr>
                <w:rFonts w:hint="eastAsia" w:ascii="宋体" w:hAnsi="宋体"/>
                <w:color w:val="auto"/>
                <w:szCs w:val="21"/>
                <w:highlight w:val="none"/>
                <w:lang w:val="en-US" w:eastAsia="zh-CN"/>
              </w:rPr>
              <w:t>装订</w:t>
            </w:r>
            <w:r>
              <w:rPr>
                <w:rFonts w:hint="eastAsia" w:ascii="宋体" w:hAnsi="宋体"/>
                <w:color w:val="auto"/>
                <w:szCs w:val="21"/>
                <w:highlight w:val="none"/>
              </w:rPr>
              <w:t>要求，否则由评标委员会作否决投标处理。</w:t>
            </w:r>
          </w:p>
        </w:tc>
      </w:tr>
      <w:tr w14:paraId="3B4989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8C4EECC">
            <w:pPr>
              <w:spacing w:line="400" w:lineRule="exact"/>
              <w:jc w:val="center"/>
              <w:rPr>
                <w:rFonts w:ascii="宋体" w:hAnsi="宋体"/>
                <w:color w:val="auto"/>
                <w:szCs w:val="21"/>
                <w:highlight w:val="none"/>
              </w:rPr>
            </w:pPr>
          </w:p>
        </w:tc>
        <w:tc>
          <w:tcPr>
            <w:tcW w:w="1899" w:type="dxa"/>
            <w:vMerge w:val="restart"/>
            <w:vAlign w:val="center"/>
          </w:tcPr>
          <w:p w14:paraId="07324922">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13247BD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14:paraId="655FE2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70FFF36">
            <w:pPr>
              <w:spacing w:line="400" w:lineRule="exact"/>
              <w:jc w:val="center"/>
              <w:rPr>
                <w:rFonts w:ascii="宋体" w:hAnsi="宋体"/>
                <w:color w:val="auto"/>
                <w:szCs w:val="21"/>
                <w:highlight w:val="none"/>
              </w:rPr>
            </w:pPr>
          </w:p>
        </w:tc>
        <w:tc>
          <w:tcPr>
            <w:tcW w:w="1899" w:type="dxa"/>
            <w:vMerge w:val="continue"/>
            <w:vAlign w:val="center"/>
          </w:tcPr>
          <w:p w14:paraId="0CF6BDCB">
            <w:pPr>
              <w:spacing w:line="400" w:lineRule="exact"/>
              <w:jc w:val="center"/>
              <w:rPr>
                <w:rFonts w:ascii="宋体" w:hAnsi="宋体"/>
                <w:color w:val="auto"/>
                <w:szCs w:val="21"/>
                <w:highlight w:val="none"/>
              </w:rPr>
            </w:pPr>
          </w:p>
        </w:tc>
        <w:tc>
          <w:tcPr>
            <w:tcW w:w="6333" w:type="dxa"/>
            <w:vAlign w:val="center"/>
          </w:tcPr>
          <w:p w14:paraId="5C62C03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竞选人</w:t>
            </w:r>
            <w:r>
              <w:rPr>
                <w:rFonts w:hint="eastAsia" w:ascii="宋体" w:hAnsi="宋体"/>
                <w:color w:val="auto"/>
                <w:szCs w:val="21"/>
                <w:highlight w:val="none"/>
              </w:rPr>
              <w:t>的财务须满足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14:paraId="5FD32D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D3DD337">
            <w:pPr>
              <w:spacing w:line="400" w:lineRule="exact"/>
              <w:jc w:val="center"/>
              <w:rPr>
                <w:rFonts w:ascii="宋体" w:hAnsi="宋体"/>
                <w:color w:val="auto"/>
                <w:szCs w:val="21"/>
                <w:highlight w:val="none"/>
              </w:rPr>
            </w:pPr>
          </w:p>
        </w:tc>
        <w:tc>
          <w:tcPr>
            <w:tcW w:w="1899" w:type="dxa"/>
            <w:vMerge w:val="continue"/>
            <w:vAlign w:val="center"/>
          </w:tcPr>
          <w:p w14:paraId="68659684">
            <w:pPr>
              <w:spacing w:line="400" w:lineRule="exact"/>
              <w:jc w:val="center"/>
              <w:rPr>
                <w:rFonts w:ascii="宋体" w:hAnsi="宋体"/>
                <w:color w:val="auto"/>
                <w:szCs w:val="21"/>
                <w:highlight w:val="none"/>
              </w:rPr>
            </w:pPr>
          </w:p>
        </w:tc>
        <w:tc>
          <w:tcPr>
            <w:tcW w:w="6333" w:type="dxa"/>
            <w:vAlign w:val="center"/>
          </w:tcPr>
          <w:p w14:paraId="289E9E2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竞选人</w:t>
            </w:r>
            <w:r>
              <w:rPr>
                <w:rFonts w:hint="eastAsia" w:ascii="宋体" w:hAnsi="宋体"/>
                <w:color w:val="auto"/>
                <w:szCs w:val="21"/>
                <w:highlight w:val="none"/>
              </w:rPr>
              <w:t>的业绩须满足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14:paraId="6736AA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534377A">
            <w:pPr>
              <w:spacing w:line="400" w:lineRule="exact"/>
              <w:jc w:val="center"/>
              <w:rPr>
                <w:rFonts w:ascii="宋体" w:hAnsi="宋体"/>
                <w:color w:val="auto"/>
                <w:szCs w:val="21"/>
                <w:highlight w:val="none"/>
              </w:rPr>
            </w:pPr>
          </w:p>
        </w:tc>
        <w:tc>
          <w:tcPr>
            <w:tcW w:w="1899" w:type="dxa"/>
            <w:vMerge w:val="continue"/>
            <w:vAlign w:val="center"/>
          </w:tcPr>
          <w:p w14:paraId="54A7FB79">
            <w:pPr>
              <w:spacing w:line="400" w:lineRule="exact"/>
              <w:jc w:val="center"/>
              <w:rPr>
                <w:rFonts w:ascii="宋体" w:hAnsi="宋体"/>
                <w:color w:val="auto"/>
                <w:szCs w:val="21"/>
                <w:highlight w:val="none"/>
              </w:rPr>
            </w:pPr>
          </w:p>
        </w:tc>
        <w:tc>
          <w:tcPr>
            <w:tcW w:w="6333" w:type="dxa"/>
            <w:vAlign w:val="center"/>
          </w:tcPr>
          <w:p w14:paraId="21F91EC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1.4.1项的要求，否则由评标委员会作否决投标处理。</w:t>
            </w:r>
          </w:p>
        </w:tc>
      </w:tr>
      <w:tr w14:paraId="078565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437BDD7">
            <w:pPr>
              <w:spacing w:line="400" w:lineRule="exact"/>
              <w:jc w:val="center"/>
              <w:rPr>
                <w:rFonts w:ascii="宋体" w:hAnsi="宋体"/>
                <w:color w:val="auto"/>
                <w:szCs w:val="21"/>
                <w:highlight w:val="none"/>
              </w:rPr>
            </w:pPr>
          </w:p>
        </w:tc>
        <w:tc>
          <w:tcPr>
            <w:tcW w:w="1899" w:type="dxa"/>
            <w:vMerge w:val="continue"/>
            <w:vAlign w:val="center"/>
          </w:tcPr>
          <w:p w14:paraId="0C0651AC">
            <w:pPr>
              <w:spacing w:line="400" w:lineRule="exact"/>
              <w:jc w:val="center"/>
              <w:rPr>
                <w:rFonts w:ascii="宋体" w:hAnsi="宋体"/>
                <w:color w:val="auto"/>
                <w:szCs w:val="21"/>
                <w:highlight w:val="none"/>
              </w:rPr>
            </w:pPr>
          </w:p>
        </w:tc>
        <w:tc>
          <w:tcPr>
            <w:tcW w:w="6333" w:type="dxa"/>
            <w:vAlign w:val="center"/>
          </w:tcPr>
          <w:p w14:paraId="2F91301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14:paraId="17BA22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016D7CF">
            <w:pPr>
              <w:spacing w:line="400" w:lineRule="exact"/>
              <w:jc w:val="center"/>
              <w:rPr>
                <w:rFonts w:ascii="宋体" w:hAnsi="宋体"/>
                <w:color w:val="auto"/>
                <w:szCs w:val="21"/>
                <w:highlight w:val="none"/>
              </w:rPr>
            </w:pPr>
          </w:p>
        </w:tc>
        <w:tc>
          <w:tcPr>
            <w:tcW w:w="1899" w:type="dxa"/>
            <w:vMerge w:val="continue"/>
            <w:vAlign w:val="center"/>
          </w:tcPr>
          <w:p w14:paraId="175ACDFF">
            <w:pPr>
              <w:spacing w:line="400" w:lineRule="exact"/>
              <w:jc w:val="center"/>
              <w:rPr>
                <w:rFonts w:ascii="宋体" w:hAnsi="宋体"/>
                <w:color w:val="auto"/>
                <w:szCs w:val="21"/>
                <w:highlight w:val="none"/>
              </w:rPr>
            </w:pPr>
          </w:p>
        </w:tc>
        <w:tc>
          <w:tcPr>
            <w:tcW w:w="6333" w:type="dxa"/>
            <w:vAlign w:val="center"/>
          </w:tcPr>
          <w:p w14:paraId="74DE871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14:paraId="10D7D5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65FD468">
            <w:pPr>
              <w:spacing w:line="400" w:lineRule="exact"/>
              <w:jc w:val="center"/>
              <w:rPr>
                <w:rFonts w:ascii="宋体" w:hAnsi="宋体"/>
                <w:color w:val="auto"/>
                <w:szCs w:val="21"/>
                <w:highlight w:val="none"/>
              </w:rPr>
            </w:pPr>
          </w:p>
        </w:tc>
        <w:tc>
          <w:tcPr>
            <w:tcW w:w="1899" w:type="dxa"/>
            <w:vMerge w:val="continue"/>
            <w:vAlign w:val="center"/>
          </w:tcPr>
          <w:p w14:paraId="73A57D36">
            <w:pPr>
              <w:spacing w:line="400" w:lineRule="exact"/>
              <w:jc w:val="center"/>
              <w:rPr>
                <w:rFonts w:ascii="宋体" w:hAnsi="宋体"/>
                <w:color w:val="auto"/>
                <w:szCs w:val="21"/>
                <w:highlight w:val="none"/>
              </w:rPr>
            </w:pPr>
          </w:p>
        </w:tc>
        <w:tc>
          <w:tcPr>
            <w:tcW w:w="6333" w:type="dxa"/>
            <w:vAlign w:val="center"/>
          </w:tcPr>
          <w:p w14:paraId="1A4F6B3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w:t>
            </w:r>
            <w:r>
              <w:rPr>
                <w:rFonts w:hint="eastAsia" w:ascii="宋体" w:hAnsi="宋体"/>
                <w:color w:val="auto"/>
                <w:szCs w:val="21"/>
                <w:highlight w:val="none"/>
                <w:lang w:eastAsia="zh-CN"/>
              </w:rPr>
              <w:t>竞选人</w:t>
            </w:r>
            <w:r>
              <w:rPr>
                <w:rFonts w:hint="eastAsia" w:ascii="宋体" w:hAnsi="宋体"/>
                <w:color w:val="auto"/>
                <w:szCs w:val="21"/>
                <w:highlight w:val="none"/>
              </w:rPr>
              <w:t>，则：</w:t>
            </w:r>
          </w:p>
          <w:p w14:paraId="242CCC7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14:paraId="70F7B2A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1D07AD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0E46BAE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5919E4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5D64F7">
            <w:pPr>
              <w:spacing w:line="400" w:lineRule="exact"/>
              <w:jc w:val="center"/>
              <w:rPr>
                <w:rFonts w:ascii="宋体" w:hAnsi="宋体"/>
                <w:color w:val="auto"/>
                <w:szCs w:val="21"/>
                <w:highlight w:val="none"/>
              </w:rPr>
            </w:pPr>
          </w:p>
        </w:tc>
        <w:tc>
          <w:tcPr>
            <w:tcW w:w="1899" w:type="dxa"/>
            <w:vMerge w:val="restart"/>
            <w:vAlign w:val="center"/>
          </w:tcPr>
          <w:p w14:paraId="30352435">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1BAE438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竞选人</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495053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7C451A">
            <w:pPr>
              <w:spacing w:line="400" w:lineRule="exact"/>
              <w:jc w:val="center"/>
              <w:rPr>
                <w:rFonts w:ascii="宋体" w:hAnsi="宋体"/>
                <w:color w:val="auto"/>
                <w:szCs w:val="21"/>
                <w:highlight w:val="none"/>
              </w:rPr>
            </w:pPr>
          </w:p>
        </w:tc>
        <w:tc>
          <w:tcPr>
            <w:tcW w:w="1899" w:type="dxa"/>
            <w:vMerge w:val="continue"/>
            <w:vAlign w:val="center"/>
          </w:tcPr>
          <w:p w14:paraId="4C6A08C6">
            <w:pPr>
              <w:spacing w:line="400" w:lineRule="exact"/>
              <w:jc w:val="center"/>
              <w:rPr>
                <w:rFonts w:ascii="宋体" w:hAnsi="宋体"/>
                <w:color w:val="auto"/>
                <w:szCs w:val="21"/>
                <w:highlight w:val="none"/>
              </w:rPr>
            </w:pPr>
          </w:p>
        </w:tc>
        <w:tc>
          <w:tcPr>
            <w:tcW w:w="6333" w:type="dxa"/>
          </w:tcPr>
          <w:p w14:paraId="6D8DD4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14:paraId="5F25A6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96B3CB3">
            <w:pPr>
              <w:spacing w:line="400" w:lineRule="exact"/>
              <w:jc w:val="center"/>
              <w:rPr>
                <w:rFonts w:ascii="宋体" w:hAnsi="宋体"/>
                <w:color w:val="auto"/>
                <w:szCs w:val="21"/>
                <w:highlight w:val="none"/>
              </w:rPr>
            </w:pPr>
          </w:p>
        </w:tc>
        <w:tc>
          <w:tcPr>
            <w:tcW w:w="1899" w:type="dxa"/>
            <w:vMerge w:val="continue"/>
            <w:vAlign w:val="center"/>
          </w:tcPr>
          <w:p w14:paraId="67EC92D6">
            <w:pPr>
              <w:spacing w:line="400" w:lineRule="exact"/>
              <w:jc w:val="center"/>
              <w:rPr>
                <w:rFonts w:ascii="宋体" w:hAnsi="宋体"/>
                <w:color w:val="auto"/>
                <w:szCs w:val="21"/>
                <w:highlight w:val="none"/>
              </w:rPr>
            </w:pPr>
          </w:p>
        </w:tc>
        <w:tc>
          <w:tcPr>
            <w:tcW w:w="6333" w:type="dxa"/>
          </w:tcPr>
          <w:p w14:paraId="3131DE5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”第3.7款的要求，否则由评标委员会作否决投标处理。</w:t>
            </w:r>
          </w:p>
          <w:p w14:paraId="43E1ED83">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61855D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C1F19E6">
            <w:pPr>
              <w:spacing w:line="400" w:lineRule="exact"/>
              <w:jc w:val="center"/>
              <w:rPr>
                <w:rFonts w:ascii="宋体" w:hAnsi="宋体"/>
                <w:color w:val="auto"/>
                <w:szCs w:val="21"/>
                <w:highlight w:val="none"/>
              </w:rPr>
            </w:pPr>
          </w:p>
        </w:tc>
        <w:tc>
          <w:tcPr>
            <w:tcW w:w="1899" w:type="dxa"/>
            <w:vMerge w:val="continue"/>
            <w:vAlign w:val="center"/>
          </w:tcPr>
          <w:p w14:paraId="0DEF9EFA">
            <w:pPr>
              <w:spacing w:line="400" w:lineRule="exact"/>
              <w:jc w:val="center"/>
              <w:rPr>
                <w:rFonts w:ascii="宋体" w:hAnsi="宋体"/>
                <w:color w:val="auto"/>
                <w:szCs w:val="21"/>
                <w:highlight w:val="none"/>
              </w:rPr>
            </w:pPr>
          </w:p>
        </w:tc>
        <w:tc>
          <w:tcPr>
            <w:tcW w:w="6333" w:type="dxa"/>
          </w:tcPr>
          <w:p w14:paraId="403E9658">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”第3.7.4项的规定，</w:t>
            </w:r>
            <w:r>
              <w:rPr>
                <w:rFonts w:hint="eastAsia" w:ascii="宋体" w:hAnsi="宋体"/>
                <w:color w:val="auto"/>
                <w:kern w:val="0"/>
                <w:szCs w:val="21"/>
                <w:highlight w:val="none"/>
              </w:rPr>
              <w:t>否则由评标委员会作否决投标处理。</w:t>
            </w:r>
          </w:p>
        </w:tc>
      </w:tr>
      <w:tr w14:paraId="056893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A99C06">
            <w:pPr>
              <w:spacing w:line="400" w:lineRule="exact"/>
              <w:jc w:val="center"/>
              <w:rPr>
                <w:rFonts w:ascii="宋体" w:hAnsi="宋体"/>
                <w:color w:val="auto"/>
                <w:szCs w:val="21"/>
                <w:highlight w:val="none"/>
              </w:rPr>
            </w:pPr>
          </w:p>
        </w:tc>
        <w:tc>
          <w:tcPr>
            <w:tcW w:w="1899" w:type="dxa"/>
            <w:vMerge w:val="continue"/>
            <w:vAlign w:val="center"/>
          </w:tcPr>
          <w:p w14:paraId="19A8D9AD">
            <w:pPr>
              <w:spacing w:line="400" w:lineRule="exact"/>
              <w:jc w:val="center"/>
              <w:rPr>
                <w:rFonts w:ascii="宋体" w:hAnsi="宋体"/>
                <w:color w:val="auto"/>
                <w:szCs w:val="21"/>
                <w:highlight w:val="none"/>
              </w:rPr>
            </w:pPr>
          </w:p>
        </w:tc>
        <w:tc>
          <w:tcPr>
            <w:tcW w:w="6333" w:type="dxa"/>
          </w:tcPr>
          <w:p w14:paraId="4ACF948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46AE24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4B1E39">
            <w:pPr>
              <w:spacing w:line="400" w:lineRule="exact"/>
              <w:jc w:val="center"/>
              <w:rPr>
                <w:rFonts w:ascii="宋体" w:hAnsi="宋体"/>
                <w:color w:val="auto"/>
                <w:szCs w:val="21"/>
                <w:highlight w:val="none"/>
              </w:rPr>
            </w:pPr>
          </w:p>
        </w:tc>
        <w:tc>
          <w:tcPr>
            <w:tcW w:w="1899" w:type="dxa"/>
            <w:vMerge w:val="continue"/>
            <w:vAlign w:val="center"/>
          </w:tcPr>
          <w:p w14:paraId="5C032988">
            <w:pPr>
              <w:spacing w:line="400" w:lineRule="exact"/>
              <w:jc w:val="center"/>
              <w:rPr>
                <w:rFonts w:ascii="宋体" w:hAnsi="宋体"/>
                <w:color w:val="auto"/>
                <w:szCs w:val="21"/>
                <w:highlight w:val="none"/>
              </w:rPr>
            </w:pPr>
          </w:p>
        </w:tc>
        <w:tc>
          <w:tcPr>
            <w:tcW w:w="6333" w:type="dxa"/>
          </w:tcPr>
          <w:p w14:paraId="0D153E2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14:paraId="7002E4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52ABE1">
            <w:pPr>
              <w:spacing w:line="400" w:lineRule="exact"/>
              <w:jc w:val="center"/>
              <w:rPr>
                <w:rFonts w:ascii="宋体" w:hAnsi="宋体"/>
                <w:color w:val="auto"/>
                <w:szCs w:val="21"/>
                <w:highlight w:val="none"/>
              </w:rPr>
            </w:pPr>
          </w:p>
        </w:tc>
        <w:tc>
          <w:tcPr>
            <w:tcW w:w="1899" w:type="dxa"/>
            <w:vMerge w:val="continue"/>
            <w:vAlign w:val="center"/>
          </w:tcPr>
          <w:p w14:paraId="5E81B103">
            <w:pPr>
              <w:spacing w:line="400" w:lineRule="exact"/>
              <w:jc w:val="center"/>
              <w:rPr>
                <w:rFonts w:ascii="宋体" w:hAnsi="宋体"/>
                <w:color w:val="auto"/>
                <w:szCs w:val="21"/>
                <w:highlight w:val="none"/>
              </w:rPr>
            </w:pPr>
          </w:p>
        </w:tc>
        <w:tc>
          <w:tcPr>
            <w:tcW w:w="6333" w:type="dxa"/>
          </w:tcPr>
          <w:p w14:paraId="599688F8">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14:paraId="2232EA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F8661F">
            <w:pPr>
              <w:spacing w:line="400" w:lineRule="exact"/>
              <w:jc w:val="center"/>
              <w:rPr>
                <w:rFonts w:ascii="宋体" w:hAnsi="宋体"/>
                <w:color w:val="auto"/>
                <w:szCs w:val="21"/>
                <w:highlight w:val="none"/>
              </w:rPr>
            </w:pPr>
          </w:p>
        </w:tc>
        <w:tc>
          <w:tcPr>
            <w:tcW w:w="1899" w:type="dxa"/>
            <w:vMerge w:val="continue"/>
            <w:vAlign w:val="center"/>
          </w:tcPr>
          <w:p w14:paraId="50A71A5B">
            <w:pPr>
              <w:spacing w:line="400" w:lineRule="exact"/>
              <w:jc w:val="center"/>
              <w:rPr>
                <w:rFonts w:ascii="宋体" w:hAnsi="宋体"/>
                <w:color w:val="auto"/>
                <w:szCs w:val="21"/>
                <w:highlight w:val="none"/>
              </w:rPr>
            </w:pPr>
          </w:p>
        </w:tc>
        <w:tc>
          <w:tcPr>
            <w:tcW w:w="6333" w:type="dxa"/>
          </w:tcPr>
          <w:p w14:paraId="66DC1F9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olor w:val="auto"/>
                <w:szCs w:val="21"/>
                <w:highlight w:val="none"/>
                <w:lang w:eastAsia="zh-CN"/>
              </w:rPr>
              <w:t>竞选人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为其缴纳的养老保险证明材料，否则由评标委员会作否决投标处理。</w:t>
            </w:r>
          </w:p>
        </w:tc>
      </w:tr>
      <w:tr w14:paraId="3E323B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C384891">
            <w:pPr>
              <w:spacing w:line="400" w:lineRule="exact"/>
              <w:jc w:val="center"/>
              <w:rPr>
                <w:rFonts w:ascii="宋体" w:hAnsi="宋体"/>
                <w:color w:val="auto"/>
                <w:szCs w:val="21"/>
                <w:highlight w:val="none"/>
              </w:rPr>
            </w:pPr>
          </w:p>
        </w:tc>
        <w:tc>
          <w:tcPr>
            <w:tcW w:w="1899" w:type="dxa"/>
            <w:vMerge w:val="restart"/>
            <w:vAlign w:val="center"/>
          </w:tcPr>
          <w:p w14:paraId="6AF73FAC">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71D6764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23C225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107342D">
            <w:pPr>
              <w:spacing w:line="400" w:lineRule="exact"/>
              <w:jc w:val="center"/>
              <w:rPr>
                <w:rFonts w:ascii="宋体" w:hAnsi="宋体"/>
                <w:color w:val="auto"/>
                <w:szCs w:val="21"/>
                <w:highlight w:val="none"/>
              </w:rPr>
            </w:pPr>
          </w:p>
        </w:tc>
        <w:tc>
          <w:tcPr>
            <w:tcW w:w="1899" w:type="dxa"/>
            <w:vMerge w:val="continue"/>
            <w:vAlign w:val="center"/>
          </w:tcPr>
          <w:p w14:paraId="1D09B8BF">
            <w:pPr>
              <w:spacing w:line="400" w:lineRule="exact"/>
              <w:jc w:val="center"/>
              <w:rPr>
                <w:rFonts w:ascii="宋体" w:hAnsi="宋体"/>
                <w:color w:val="auto"/>
                <w:szCs w:val="21"/>
                <w:highlight w:val="none"/>
              </w:rPr>
            </w:pPr>
          </w:p>
        </w:tc>
        <w:tc>
          <w:tcPr>
            <w:tcW w:w="6333" w:type="dxa"/>
            <w:vAlign w:val="center"/>
          </w:tcPr>
          <w:p w14:paraId="7913145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14:paraId="17D61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8CF39B">
            <w:pPr>
              <w:spacing w:line="400" w:lineRule="exact"/>
              <w:jc w:val="center"/>
              <w:rPr>
                <w:rFonts w:ascii="宋体" w:hAnsi="宋体"/>
                <w:color w:val="auto"/>
                <w:szCs w:val="21"/>
                <w:highlight w:val="none"/>
              </w:rPr>
            </w:pPr>
          </w:p>
        </w:tc>
        <w:tc>
          <w:tcPr>
            <w:tcW w:w="1899" w:type="dxa"/>
            <w:vMerge w:val="continue"/>
            <w:vAlign w:val="center"/>
          </w:tcPr>
          <w:p w14:paraId="7B243ABF">
            <w:pPr>
              <w:spacing w:line="400" w:lineRule="exact"/>
              <w:jc w:val="center"/>
              <w:rPr>
                <w:rFonts w:ascii="宋体" w:hAnsi="宋体"/>
                <w:color w:val="auto"/>
                <w:szCs w:val="21"/>
                <w:highlight w:val="none"/>
              </w:rPr>
            </w:pPr>
          </w:p>
        </w:tc>
        <w:tc>
          <w:tcPr>
            <w:tcW w:w="6333" w:type="dxa"/>
            <w:vAlign w:val="center"/>
          </w:tcPr>
          <w:p w14:paraId="7A046C9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w:t>
            </w:r>
            <w:r>
              <w:rPr>
                <w:rFonts w:hint="eastAsia" w:ascii="宋体" w:hAnsi="宋体"/>
                <w:color w:val="auto"/>
                <w:szCs w:val="21"/>
                <w:highlight w:val="none"/>
                <w:lang w:eastAsia="zh-CN"/>
              </w:rPr>
              <w:t>竞选人</w:t>
            </w:r>
            <w:r>
              <w:rPr>
                <w:rFonts w:hint="eastAsia" w:ascii="宋体" w:hAnsi="宋体"/>
                <w:color w:val="auto"/>
                <w:szCs w:val="21"/>
                <w:highlight w:val="none"/>
              </w:rPr>
              <w:t>应在编制投标文件时，在投标函部分中递交低价风险担保提交承诺书。承诺书格式详见第八章投标文件格式，否则由评标委员会作否决投标处理。</w:t>
            </w:r>
          </w:p>
        </w:tc>
      </w:tr>
      <w:tr w14:paraId="41EB76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12D8DDC">
            <w:pPr>
              <w:spacing w:line="400" w:lineRule="exact"/>
              <w:jc w:val="center"/>
              <w:rPr>
                <w:rFonts w:ascii="宋体" w:hAnsi="宋体"/>
                <w:color w:val="auto"/>
                <w:szCs w:val="21"/>
                <w:highlight w:val="none"/>
              </w:rPr>
            </w:pPr>
          </w:p>
        </w:tc>
        <w:tc>
          <w:tcPr>
            <w:tcW w:w="1899" w:type="dxa"/>
            <w:vMerge w:val="continue"/>
            <w:vAlign w:val="center"/>
          </w:tcPr>
          <w:p w14:paraId="142BABBA">
            <w:pPr>
              <w:spacing w:line="400" w:lineRule="exact"/>
              <w:jc w:val="center"/>
              <w:rPr>
                <w:rFonts w:ascii="宋体" w:hAnsi="宋体"/>
                <w:color w:val="auto"/>
                <w:szCs w:val="21"/>
                <w:highlight w:val="none"/>
              </w:rPr>
            </w:pPr>
          </w:p>
        </w:tc>
        <w:tc>
          <w:tcPr>
            <w:tcW w:w="6333" w:type="dxa"/>
            <w:vAlign w:val="center"/>
          </w:tcPr>
          <w:p w14:paraId="4402762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14:paraId="6929E8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3238E20">
            <w:pPr>
              <w:spacing w:line="400" w:lineRule="exact"/>
              <w:jc w:val="center"/>
              <w:rPr>
                <w:rFonts w:ascii="宋体" w:hAnsi="宋体"/>
                <w:color w:val="auto"/>
                <w:szCs w:val="21"/>
                <w:highlight w:val="none"/>
              </w:rPr>
            </w:pPr>
          </w:p>
        </w:tc>
        <w:tc>
          <w:tcPr>
            <w:tcW w:w="1899" w:type="dxa"/>
            <w:vMerge w:val="continue"/>
            <w:vAlign w:val="center"/>
          </w:tcPr>
          <w:p w14:paraId="0F686096">
            <w:pPr>
              <w:spacing w:line="400" w:lineRule="exact"/>
              <w:jc w:val="center"/>
              <w:rPr>
                <w:rFonts w:ascii="宋体" w:hAnsi="宋体"/>
                <w:color w:val="auto"/>
                <w:szCs w:val="21"/>
                <w:highlight w:val="none"/>
              </w:rPr>
            </w:pPr>
          </w:p>
        </w:tc>
        <w:tc>
          <w:tcPr>
            <w:tcW w:w="6333" w:type="dxa"/>
            <w:vAlign w:val="center"/>
          </w:tcPr>
          <w:p w14:paraId="1D3ECDC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”第1.3.1项规定，否则由评标委员会作否决投标处理。</w:t>
            </w:r>
          </w:p>
        </w:tc>
      </w:tr>
      <w:tr w14:paraId="222238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C7F17C5">
            <w:pPr>
              <w:spacing w:line="400" w:lineRule="exact"/>
              <w:jc w:val="center"/>
              <w:rPr>
                <w:rFonts w:ascii="宋体" w:hAnsi="宋体"/>
                <w:color w:val="auto"/>
                <w:szCs w:val="21"/>
                <w:highlight w:val="none"/>
              </w:rPr>
            </w:pPr>
          </w:p>
        </w:tc>
        <w:tc>
          <w:tcPr>
            <w:tcW w:w="1899" w:type="dxa"/>
            <w:vMerge w:val="continue"/>
            <w:vAlign w:val="center"/>
          </w:tcPr>
          <w:p w14:paraId="0DE55D97">
            <w:pPr>
              <w:spacing w:line="400" w:lineRule="exact"/>
              <w:jc w:val="center"/>
              <w:rPr>
                <w:rFonts w:ascii="宋体" w:hAnsi="宋体"/>
                <w:color w:val="auto"/>
                <w:szCs w:val="21"/>
                <w:highlight w:val="none"/>
              </w:rPr>
            </w:pPr>
          </w:p>
        </w:tc>
        <w:tc>
          <w:tcPr>
            <w:tcW w:w="6333" w:type="dxa"/>
            <w:vAlign w:val="center"/>
          </w:tcPr>
          <w:p w14:paraId="5D1862E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”第1.3.2项规定，否则由评标委员会作否决投标处理。</w:t>
            </w:r>
          </w:p>
        </w:tc>
      </w:tr>
      <w:tr w14:paraId="4618F5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1367F4A">
            <w:pPr>
              <w:spacing w:line="400" w:lineRule="exact"/>
              <w:jc w:val="center"/>
              <w:rPr>
                <w:rFonts w:ascii="宋体" w:hAnsi="宋体"/>
                <w:color w:val="auto"/>
                <w:szCs w:val="21"/>
                <w:highlight w:val="none"/>
              </w:rPr>
            </w:pPr>
          </w:p>
        </w:tc>
        <w:tc>
          <w:tcPr>
            <w:tcW w:w="1899" w:type="dxa"/>
            <w:vMerge w:val="continue"/>
            <w:vAlign w:val="center"/>
          </w:tcPr>
          <w:p w14:paraId="7195D037">
            <w:pPr>
              <w:spacing w:line="400" w:lineRule="exact"/>
              <w:jc w:val="center"/>
              <w:rPr>
                <w:rFonts w:ascii="宋体" w:hAnsi="宋体"/>
                <w:color w:val="auto"/>
                <w:szCs w:val="21"/>
                <w:highlight w:val="none"/>
              </w:rPr>
            </w:pPr>
          </w:p>
        </w:tc>
        <w:tc>
          <w:tcPr>
            <w:tcW w:w="6333" w:type="dxa"/>
            <w:vAlign w:val="center"/>
          </w:tcPr>
          <w:p w14:paraId="51D610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”第1.3.3项规定，否则由评标委员会作否决投标处理。</w:t>
            </w:r>
          </w:p>
        </w:tc>
      </w:tr>
      <w:tr w14:paraId="5345F1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14E997">
            <w:pPr>
              <w:spacing w:line="400" w:lineRule="exact"/>
              <w:jc w:val="center"/>
              <w:rPr>
                <w:rFonts w:ascii="宋体" w:hAnsi="宋体"/>
                <w:color w:val="auto"/>
                <w:szCs w:val="21"/>
                <w:highlight w:val="none"/>
              </w:rPr>
            </w:pPr>
          </w:p>
        </w:tc>
        <w:tc>
          <w:tcPr>
            <w:tcW w:w="1899" w:type="dxa"/>
            <w:vMerge w:val="continue"/>
            <w:vAlign w:val="center"/>
          </w:tcPr>
          <w:p w14:paraId="39B1B19A">
            <w:pPr>
              <w:spacing w:line="400" w:lineRule="exact"/>
              <w:jc w:val="center"/>
              <w:rPr>
                <w:rFonts w:ascii="宋体" w:hAnsi="宋体"/>
                <w:color w:val="auto"/>
                <w:szCs w:val="21"/>
                <w:highlight w:val="none"/>
              </w:rPr>
            </w:pPr>
          </w:p>
        </w:tc>
        <w:tc>
          <w:tcPr>
            <w:tcW w:w="6333" w:type="dxa"/>
            <w:vAlign w:val="center"/>
          </w:tcPr>
          <w:p w14:paraId="0D09D1C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”第3.3.1项规定，否则由评标委员会作否决投标处理。</w:t>
            </w:r>
          </w:p>
        </w:tc>
      </w:tr>
      <w:tr w14:paraId="1F1BC4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1F97858">
            <w:pPr>
              <w:spacing w:line="400" w:lineRule="exact"/>
              <w:jc w:val="center"/>
              <w:rPr>
                <w:rFonts w:ascii="宋体" w:hAnsi="宋体"/>
                <w:color w:val="auto"/>
                <w:szCs w:val="21"/>
                <w:highlight w:val="none"/>
              </w:rPr>
            </w:pPr>
          </w:p>
        </w:tc>
        <w:tc>
          <w:tcPr>
            <w:tcW w:w="1899" w:type="dxa"/>
            <w:vMerge w:val="continue"/>
            <w:vAlign w:val="center"/>
          </w:tcPr>
          <w:p w14:paraId="5EA1D10C">
            <w:pPr>
              <w:spacing w:line="400" w:lineRule="exact"/>
              <w:jc w:val="center"/>
              <w:rPr>
                <w:rFonts w:ascii="宋体" w:hAnsi="宋体"/>
                <w:color w:val="auto"/>
                <w:szCs w:val="21"/>
                <w:highlight w:val="none"/>
              </w:rPr>
            </w:pPr>
          </w:p>
        </w:tc>
        <w:tc>
          <w:tcPr>
            <w:tcW w:w="6333" w:type="dxa"/>
            <w:vAlign w:val="center"/>
          </w:tcPr>
          <w:p w14:paraId="1C8AC59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hint="eastAsia" w:ascii="宋体" w:hAnsi="宋体"/>
                <w:color w:val="auto"/>
                <w:szCs w:val="21"/>
                <w:highlight w:val="none"/>
                <w:lang w:eastAsia="zh-CN"/>
              </w:rPr>
              <w:t>竞选人</w:t>
            </w:r>
            <w:r>
              <w:rPr>
                <w:rFonts w:ascii="宋体" w:hAnsi="宋体"/>
                <w:color w:val="auto"/>
                <w:szCs w:val="21"/>
                <w:highlight w:val="none"/>
              </w:rPr>
              <w:t>应按</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2133A4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904C2C3">
            <w:pPr>
              <w:spacing w:line="400" w:lineRule="exact"/>
              <w:jc w:val="center"/>
              <w:rPr>
                <w:rFonts w:ascii="宋体" w:hAnsi="宋体"/>
                <w:color w:val="auto"/>
                <w:szCs w:val="21"/>
                <w:highlight w:val="none"/>
              </w:rPr>
            </w:pPr>
          </w:p>
        </w:tc>
        <w:tc>
          <w:tcPr>
            <w:tcW w:w="1899" w:type="dxa"/>
            <w:vMerge w:val="continue"/>
            <w:vAlign w:val="center"/>
          </w:tcPr>
          <w:p w14:paraId="3924E9DC">
            <w:pPr>
              <w:spacing w:line="400" w:lineRule="exact"/>
              <w:jc w:val="center"/>
              <w:rPr>
                <w:rFonts w:ascii="宋体" w:hAnsi="宋体"/>
                <w:color w:val="auto"/>
                <w:szCs w:val="21"/>
                <w:highlight w:val="none"/>
              </w:rPr>
            </w:pPr>
          </w:p>
        </w:tc>
        <w:tc>
          <w:tcPr>
            <w:tcW w:w="6333" w:type="dxa"/>
            <w:vAlign w:val="center"/>
          </w:tcPr>
          <w:p w14:paraId="0957C8D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14:paraId="5D0B4A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1E14DE">
            <w:pPr>
              <w:spacing w:line="400" w:lineRule="exact"/>
              <w:jc w:val="center"/>
              <w:rPr>
                <w:rFonts w:ascii="宋体" w:hAnsi="宋体"/>
                <w:color w:val="auto"/>
                <w:szCs w:val="21"/>
                <w:highlight w:val="none"/>
              </w:rPr>
            </w:pPr>
          </w:p>
        </w:tc>
        <w:tc>
          <w:tcPr>
            <w:tcW w:w="1899" w:type="dxa"/>
            <w:vMerge w:val="continue"/>
            <w:vAlign w:val="center"/>
          </w:tcPr>
          <w:p w14:paraId="21B9E06A">
            <w:pPr>
              <w:spacing w:line="400" w:lineRule="exact"/>
              <w:jc w:val="center"/>
              <w:rPr>
                <w:rFonts w:ascii="宋体" w:hAnsi="宋体"/>
                <w:color w:val="auto"/>
                <w:szCs w:val="21"/>
                <w:highlight w:val="none"/>
              </w:rPr>
            </w:pPr>
          </w:p>
        </w:tc>
        <w:tc>
          <w:tcPr>
            <w:tcW w:w="6333" w:type="dxa"/>
            <w:vAlign w:val="center"/>
          </w:tcPr>
          <w:p w14:paraId="1334881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14:paraId="650A03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5EC494">
            <w:pPr>
              <w:spacing w:line="400" w:lineRule="exact"/>
              <w:jc w:val="center"/>
              <w:rPr>
                <w:rFonts w:ascii="宋体" w:hAnsi="宋体"/>
                <w:color w:val="auto"/>
                <w:szCs w:val="21"/>
                <w:highlight w:val="none"/>
              </w:rPr>
            </w:pPr>
          </w:p>
        </w:tc>
        <w:tc>
          <w:tcPr>
            <w:tcW w:w="1899" w:type="dxa"/>
            <w:vMerge w:val="continue"/>
            <w:vAlign w:val="center"/>
          </w:tcPr>
          <w:p w14:paraId="75A2D052">
            <w:pPr>
              <w:spacing w:line="400" w:lineRule="exact"/>
              <w:jc w:val="center"/>
              <w:rPr>
                <w:rFonts w:ascii="宋体" w:hAnsi="宋体"/>
                <w:color w:val="auto"/>
                <w:szCs w:val="21"/>
                <w:highlight w:val="none"/>
              </w:rPr>
            </w:pPr>
          </w:p>
        </w:tc>
        <w:tc>
          <w:tcPr>
            <w:tcW w:w="6333" w:type="dxa"/>
            <w:vAlign w:val="center"/>
          </w:tcPr>
          <w:p w14:paraId="1C72877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竞选人</w:t>
            </w:r>
            <w:r>
              <w:rPr>
                <w:rFonts w:hint="eastAsia" w:ascii="宋体" w:hAnsi="宋体"/>
                <w:color w:val="auto"/>
                <w:szCs w:val="21"/>
                <w:highlight w:val="none"/>
              </w:rPr>
              <w:t>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448D1A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F381ED">
            <w:pPr>
              <w:spacing w:line="400" w:lineRule="exact"/>
              <w:jc w:val="center"/>
              <w:rPr>
                <w:rFonts w:ascii="宋体" w:hAnsi="宋体"/>
                <w:color w:val="auto"/>
                <w:szCs w:val="21"/>
                <w:highlight w:val="none"/>
              </w:rPr>
            </w:pPr>
          </w:p>
        </w:tc>
        <w:tc>
          <w:tcPr>
            <w:tcW w:w="1899" w:type="dxa"/>
            <w:vMerge w:val="continue"/>
            <w:vAlign w:val="center"/>
          </w:tcPr>
          <w:p w14:paraId="24EA806E">
            <w:pPr>
              <w:spacing w:line="400" w:lineRule="exact"/>
              <w:jc w:val="center"/>
              <w:rPr>
                <w:rFonts w:ascii="宋体" w:hAnsi="宋体"/>
                <w:color w:val="auto"/>
                <w:szCs w:val="21"/>
                <w:highlight w:val="none"/>
              </w:rPr>
            </w:pPr>
          </w:p>
        </w:tc>
        <w:tc>
          <w:tcPr>
            <w:tcW w:w="6333" w:type="dxa"/>
            <w:vAlign w:val="center"/>
          </w:tcPr>
          <w:p w14:paraId="44B2EA8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14:paraId="29A24C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7E0948F">
            <w:pPr>
              <w:spacing w:line="400" w:lineRule="exact"/>
              <w:jc w:val="center"/>
              <w:rPr>
                <w:rFonts w:ascii="宋体" w:hAnsi="宋体"/>
                <w:color w:val="auto"/>
                <w:szCs w:val="21"/>
                <w:highlight w:val="none"/>
              </w:rPr>
            </w:pPr>
          </w:p>
        </w:tc>
        <w:tc>
          <w:tcPr>
            <w:tcW w:w="1899" w:type="dxa"/>
            <w:vMerge w:val="continue"/>
            <w:vAlign w:val="center"/>
          </w:tcPr>
          <w:p w14:paraId="3A5E179B">
            <w:pPr>
              <w:spacing w:line="400" w:lineRule="exact"/>
              <w:jc w:val="center"/>
              <w:rPr>
                <w:rFonts w:ascii="宋体" w:hAnsi="宋体"/>
                <w:color w:val="auto"/>
                <w:szCs w:val="21"/>
                <w:highlight w:val="none"/>
              </w:rPr>
            </w:pPr>
          </w:p>
        </w:tc>
        <w:tc>
          <w:tcPr>
            <w:tcW w:w="6333" w:type="dxa"/>
            <w:vAlign w:val="center"/>
          </w:tcPr>
          <w:p w14:paraId="5FBE2CA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w:t>
            </w:r>
            <w:r>
              <w:rPr>
                <w:rFonts w:hint="eastAsia" w:ascii="宋体" w:hAnsi="宋体"/>
                <w:color w:val="auto"/>
                <w:szCs w:val="21"/>
                <w:highlight w:val="none"/>
                <w:lang w:eastAsia="zh-CN"/>
              </w:rPr>
              <w:t>竞选人</w:t>
            </w:r>
            <w:r>
              <w:rPr>
                <w:rFonts w:hint="eastAsia" w:ascii="宋体" w:hAnsi="宋体"/>
                <w:color w:val="auto"/>
                <w:szCs w:val="21"/>
                <w:highlight w:val="none"/>
              </w:rPr>
              <w:t>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E62E1F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”第1.4.3项规定的任何一种情形的；</w:t>
            </w:r>
          </w:p>
          <w:p w14:paraId="459EE8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619877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6D32A2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6960AA6">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12D25DE7">
            <w:pPr>
              <w:spacing w:line="400" w:lineRule="exact"/>
              <w:jc w:val="center"/>
              <w:rPr>
                <w:rFonts w:ascii="宋体" w:hAnsi="宋体"/>
                <w:color w:val="auto"/>
                <w:szCs w:val="21"/>
                <w:highlight w:val="none"/>
              </w:rPr>
            </w:pPr>
          </w:p>
        </w:tc>
        <w:tc>
          <w:tcPr>
            <w:tcW w:w="6333" w:type="dxa"/>
          </w:tcPr>
          <w:p w14:paraId="5C2E0510">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w:t>
            </w:r>
            <w:r>
              <w:rPr>
                <w:rFonts w:hint="eastAsia" w:ascii="宋体" w:hAnsi="宋体"/>
                <w:i/>
                <w:color w:val="auto"/>
                <w:szCs w:val="21"/>
                <w:highlight w:val="none"/>
                <w:lang w:eastAsia="zh-CN"/>
              </w:rPr>
              <w:t>比选人</w:t>
            </w:r>
            <w:r>
              <w:rPr>
                <w:rFonts w:hint="eastAsia" w:ascii="宋体" w:hAnsi="宋体"/>
                <w:i/>
                <w:color w:val="auto"/>
                <w:szCs w:val="21"/>
                <w:highlight w:val="none"/>
              </w:rPr>
              <w:t>必须将所有否决投标条款集中罗列于此表，若无其他否决投标条款则在该条写无。]</w:t>
            </w:r>
          </w:p>
        </w:tc>
      </w:tr>
    </w:tbl>
    <w:p w14:paraId="2C0D991F">
      <w:pPr>
        <w:spacing w:line="480" w:lineRule="auto"/>
        <w:jc w:val="left"/>
        <w:rPr>
          <w:rFonts w:ascii="宋体" w:hAnsi="宋体"/>
          <w:color w:val="auto"/>
          <w:kern w:val="0"/>
          <w:sz w:val="24"/>
          <w:highlight w:val="none"/>
        </w:rPr>
      </w:pPr>
    </w:p>
    <w:p w14:paraId="55F8CBD3">
      <w:pPr>
        <w:autoSpaceDE w:val="0"/>
        <w:autoSpaceDN w:val="0"/>
        <w:adjustRightInd w:val="0"/>
        <w:snapToGrid w:val="0"/>
        <w:spacing w:line="360" w:lineRule="auto"/>
        <w:jc w:val="left"/>
        <w:rPr>
          <w:rFonts w:ascii="宋体" w:hAnsi="宋体"/>
          <w:b/>
          <w:kern w:val="0"/>
          <w:sz w:val="20"/>
          <w:szCs w:val="20"/>
          <w:highlight w:val="none"/>
        </w:rPr>
      </w:pPr>
    </w:p>
    <w:p w14:paraId="42F663AC">
      <w:pPr>
        <w:autoSpaceDE w:val="0"/>
        <w:autoSpaceDN w:val="0"/>
        <w:adjustRightInd w:val="0"/>
        <w:snapToGrid w:val="0"/>
        <w:spacing w:before="340" w:after="330" w:line="360" w:lineRule="auto"/>
        <w:jc w:val="left"/>
        <w:rPr>
          <w:rFonts w:ascii="宋体" w:hAnsi="宋体"/>
          <w:kern w:val="0"/>
          <w:sz w:val="52"/>
          <w:szCs w:val="52"/>
          <w:highlight w:val="none"/>
        </w:rPr>
      </w:pPr>
      <w:r>
        <w:rPr>
          <w:rFonts w:ascii="宋体" w:hAnsi="宋体"/>
          <w:kern w:val="0"/>
          <w:highlight w:val="none"/>
        </w:rPr>
        <w:br w:type="page"/>
      </w:r>
    </w:p>
    <w:p w14:paraId="7A1D63BB">
      <w:pPr>
        <w:pStyle w:val="2"/>
        <w:spacing w:line="360" w:lineRule="auto"/>
        <w:jc w:val="center"/>
        <w:rPr>
          <w:rFonts w:hint="eastAsia" w:ascii="宋体" w:hAnsi="宋体"/>
          <w:kern w:val="0"/>
          <w:highlight w:val="none"/>
        </w:rPr>
        <w:sectPr>
          <w:footerReference r:id="rId7" w:type="default"/>
          <w:pgSz w:w="11906" w:h="16838"/>
          <w:pgMar w:top="1304" w:right="1134" w:bottom="1304" w:left="1304" w:header="851" w:footer="992" w:gutter="0"/>
          <w:cols w:space="720" w:num="1"/>
          <w:docGrid w:type="lines" w:linePitch="312" w:charSpace="0"/>
        </w:sectPr>
      </w:pPr>
      <w:bookmarkStart w:id="356" w:name="_Toc10597"/>
      <w:bookmarkStart w:id="357" w:name="_Toc509218785"/>
      <w:bookmarkStart w:id="358" w:name="_Toc430530509"/>
      <w:bookmarkStart w:id="359" w:name="_Toc8427"/>
      <w:bookmarkStart w:id="360" w:name="_Toc27285"/>
      <w:r>
        <w:rPr>
          <w:rFonts w:hint="eastAsia" w:ascii="宋体" w:hAnsi="宋体"/>
          <w:kern w:val="0"/>
          <w:highlight w:val="none"/>
        </w:rPr>
        <w:t>第四章  合同条款及格式</w:t>
      </w:r>
      <w:bookmarkEnd w:id="356"/>
      <w:bookmarkEnd w:id="357"/>
      <w:bookmarkEnd w:id="358"/>
      <w:bookmarkEnd w:id="359"/>
      <w:bookmarkEnd w:id="360"/>
    </w:p>
    <w:p w14:paraId="55C71785">
      <w:pPr>
        <w:spacing w:line="700" w:lineRule="exact"/>
        <w:ind w:right="594"/>
        <w:jc w:val="center"/>
        <w:rPr>
          <w:sz w:val="43"/>
        </w:rPr>
      </w:pPr>
      <w:r>
        <w:rPr>
          <w:rFonts w:hint="eastAsia" w:ascii="微软雅黑" w:eastAsia="微软雅黑"/>
          <w:b/>
          <w:sz w:val="43"/>
        </w:rPr>
        <w:t>第一部分 合同协议书</w:t>
      </w:r>
    </w:p>
    <w:p w14:paraId="4C41EE0C">
      <w:pPr>
        <w:pStyle w:val="17"/>
        <w:spacing w:before="10"/>
        <w:rPr>
          <w:sz w:val="32"/>
        </w:rPr>
      </w:pPr>
    </w:p>
    <w:p w14:paraId="00F42E4F">
      <w:pPr>
        <w:spacing w:line="300" w:lineRule="exact"/>
        <w:ind w:left="807"/>
        <w:rPr>
          <w:sz w:val="24"/>
        </w:rPr>
      </w:pPr>
      <w:r>
        <w:rPr>
          <w:sz w:val="24"/>
        </w:rPr>
        <w:t xml:space="preserve"> </w:t>
      </w:r>
    </w:p>
    <w:p w14:paraId="54B1A3F7">
      <w:pPr>
        <w:tabs>
          <w:tab w:val="left" w:pos="3315"/>
          <w:tab w:val="left" w:pos="5598"/>
        </w:tabs>
        <w:spacing w:line="380" w:lineRule="exact"/>
        <w:ind w:left="746"/>
        <w:rPr>
          <w:rFonts w:ascii="微软雅黑" w:eastAsia="微软雅黑"/>
          <w:b/>
          <w:sz w:val="21"/>
        </w:rPr>
      </w:pPr>
      <w:r>
        <w:rPr>
          <w:lang w:val="en-US" w:bidi="ar-SA"/>
        </w:rPr>
        <w:drawing>
          <wp:anchor distT="0" distB="0" distL="0" distR="0" simplePos="0" relativeHeight="251660288" behindDoc="1" locked="0" layoutInCell="1" allowOverlap="1">
            <wp:simplePos x="0" y="0"/>
            <wp:positionH relativeFrom="page">
              <wp:posOffset>2193290</wp:posOffset>
            </wp:positionH>
            <wp:positionV relativeFrom="paragraph">
              <wp:posOffset>57150</wp:posOffset>
            </wp:positionV>
            <wp:extent cx="667385" cy="1333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661312" behindDoc="1" locked="0" layoutInCell="1" allowOverlap="1">
            <wp:simplePos x="0" y="0"/>
            <wp:positionH relativeFrom="page">
              <wp:posOffset>3909695</wp:posOffset>
            </wp:positionH>
            <wp:positionV relativeFrom="paragraph">
              <wp:posOffset>57150</wp:posOffset>
            </wp:positionV>
            <wp:extent cx="400685" cy="1333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sz w:val="21"/>
        </w:rPr>
        <w:t>发</w:t>
      </w:r>
      <w:r>
        <w:rPr>
          <w:rFonts w:hint="eastAsia" w:ascii="微软雅黑" w:eastAsia="微软雅黑"/>
          <w:b/>
          <w:spacing w:val="15"/>
          <w:sz w:val="21"/>
        </w:rPr>
        <w:t>包人</w:t>
      </w:r>
      <w:r>
        <w:rPr>
          <w:rFonts w:hint="eastAsia" w:ascii="微软雅黑" w:eastAsia="微软雅黑"/>
          <w:b/>
          <w:sz w:val="21"/>
        </w:rPr>
        <w:t>（全称）：</w:t>
      </w:r>
      <w:r>
        <w:rPr>
          <w:rFonts w:hint="eastAsia"/>
          <w:color w:val="000000"/>
          <w:sz w:val="21"/>
          <w:u w:val="single"/>
        </w:rPr>
        <w:t xml:space="preserve">重庆经开区开发建设有限公司 </w:t>
      </w:r>
      <w:r>
        <w:rPr>
          <w:sz w:val="21"/>
          <w:u w:val="single"/>
        </w:rPr>
        <w:tab/>
      </w:r>
    </w:p>
    <w:p w14:paraId="7EC47F4A">
      <w:pPr>
        <w:pStyle w:val="17"/>
        <w:tabs>
          <w:tab w:val="left" w:pos="3315"/>
          <w:tab w:val="left" w:pos="5598"/>
        </w:tabs>
        <w:spacing w:before="19"/>
        <w:ind w:left="746"/>
        <w:rPr>
          <w:rFonts w:ascii="微软雅黑" w:eastAsia="微软雅黑"/>
          <w:b/>
        </w:rPr>
      </w:pPr>
      <w:r>
        <w:rPr>
          <w:lang w:val="en-US" w:bidi="ar-SA"/>
        </w:rPr>
        <w:drawing>
          <wp:anchor distT="0" distB="0" distL="0" distR="0" simplePos="0" relativeHeight="251662336" behindDoc="1" locked="0" layoutInCell="1" allowOverlap="1">
            <wp:simplePos x="0" y="0"/>
            <wp:positionH relativeFrom="page">
              <wp:posOffset>2193290</wp:posOffset>
            </wp:positionH>
            <wp:positionV relativeFrom="paragraph">
              <wp:posOffset>73660</wp:posOffset>
            </wp:positionV>
            <wp:extent cx="667385" cy="1333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663360" behindDoc="1" locked="0" layoutInCell="1" allowOverlap="1">
            <wp:simplePos x="0" y="0"/>
            <wp:positionH relativeFrom="page">
              <wp:posOffset>3909695</wp:posOffset>
            </wp:positionH>
            <wp:positionV relativeFrom="paragraph">
              <wp:posOffset>73660</wp:posOffset>
            </wp:positionV>
            <wp:extent cx="400685" cy="13335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rPr>
        <w:t>承</w:t>
      </w:r>
      <w:r>
        <w:rPr>
          <w:rFonts w:hint="eastAsia" w:ascii="微软雅黑" w:eastAsia="微软雅黑"/>
          <w:b/>
          <w:spacing w:val="15"/>
        </w:rPr>
        <w:t>包人</w:t>
      </w:r>
      <w:r>
        <w:rPr>
          <w:rFonts w:hint="eastAsia" w:ascii="微软雅黑" w:eastAsia="微软雅黑"/>
          <w:b/>
        </w:rPr>
        <w:t>（全称）：</w:t>
      </w:r>
      <w:r>
        <w:rPr>
          <w:spacing w:val="-31"/>
          <w:u w:val="single"/>
        </w:rPr>
        <w:t xml:space="preserve"> </w:t>
      </w:r>
      <w:r>
        <w:rPr>
          <w:rFonts w:hint="eastAsia"/>
          <w:spacing w:val="-31"/>
          <w:u w:val="single"/>
        </w:rPr>
        <w:t xml:space="preserve">                                   </w:t>
      </w:r>
      <w:r>
        <w:rPr>
          <w:u w:val="single"/>
        </w:rPr>
        <w:t xml:space="preserve">     </w:t>
      </w:r>
    </w:p>
    <w:p w14:paraId="785915ED">
      <w:pPr>
        <w:pStyle w:val="17"/>
        <w:spacing w:before="9"/>
        <w:rPr>
          <w:rFonts w:ascii="微软雅黑"/>
          <w:b/>
          <w:sz w:val="6"/>
        </w:rPr>
      </w:pPr>
    </w:p>
    <w:p w14:paraId="0BA71427">
      <w:pPr>
        <w:pStyle w:val="17"/>
        <w:tabs>
          <w:tab w:val="left" w:pos="4651"/>
          <w:tab w:val="left" w:pos="7805"/>
        </w:tabs>
        <w:spacing w:before="70" w:line="415" w:lineRule="auto"/>
        <w:ind w:left="326" w:right="1122" w:firstLine="420"/>
      </w:pPr>
      <w:r>
        <w:rPr>
          <w:lang w:val="en-US" w:bidi="ar-SA"/>
        </w:rPr>
        <w:drawing>
          <wp:anchor distT="0" distB="0" distL="0" distR="0" simplePos="0" relativeHeight="251664384" behindDoc="1" locked="0" layoutInCell="1" allowOverlap="1">
            <wp:simplePos x="0" y="0"/>
            <wp:positionH relativeFrom="page">
              <wp:posOffset>3042285</wp:posOffset>
            </wp:positionH>
            <wp:positionV relativeFrom="paragraph">
              <wp:posOffset>358775</wp:posOffset>
            </wp:positionV>
            <wp:extent cx="667385" cy="13335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665408" behindDoc="1" locked="0" layoutInCell="1" allowOverlap="1">
            <wp:simplePos x="0" y="0"/>
            <wp:positionH relativeFrom="page">
              <wp:posOffset>4777740</wp:posOffset>
            </wp:positionH>
            <wp:positionV relativeFrom="paragraph">
              <wp:posOffset>358775</wp:posOffset>
            </wp:positionV>
            <wp:extent cx="934720" cy="13335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13" cstate="print"/>
                    <a:stretch>
                      <a:fillRect/>
                    </a:stretch>
                  </pic:blipFill>
                  <pic:spPr>
                    <a:xfrm>
                      <a:off x="0" y="0"/>
                      <a:ext cx="934554" cy="133350"/>
                    </a:xfrm>
                    <a:prstGeom prst="rect">
                      <a:avLst/>
                    </a:prstGeom>
                  </pic:spPr>
                </pic:pic>
              </a:graphicData>
            </a:graphic>
          </wp:anchor>
        </w:drawing>
      </w:r>
      <w:r>
        <w:t>根据《中华人民共和国民法典》、《中华人民共和国建筑法》及有关法律、法规规定，遵循平等、自愿</w:t>
      </w:r>
      <w:r>
        <w:rPr>
          <w:spacing w:val="-45"/>
        </w:rPr>
        <w:t>、</w:t>
      </w:r>
      <w:r>
        <w:t>公平和诚实信用的原则</w:t>
      </w:r>
      <w:r>
        <w:rPr>
          <w:spacing w:val="-45"/>
        </w:rPr>
        <w:t>，</w:t>
      </w:r>
      <w:r>
        <w:t>双方就</w:t>
      </w:r>
      <w:r>
        <w:rPr>
          <w:u w:val="single"/>
        </w:rPr>
        <w:t xml:space="preserve"> </w:t>
      </w:r>
      <w:r>
        <w:rPr>
          <w:rFonts w:hint="eastAsia"/>
          <w:u w:val="single"/>
        </w:rPr>
        <w:t>开成路、横六路道路交安提升及绿化补栽工程</w:t>
      </w:r>
      <w:r>
        <w:t>施工</w:t>
      </w:r>
      <w:r>
        <w:rPr>
          <w:spacing w:val="-13"/>
        </w:rPr>
        <w:t>及</w:t>
      </w:r>
    </w:p>
    <w:p w14:paraId="6BE0CC54">
      <w:pPr>
        <w:pStyle w:val="17"/>
        <w:spacing w:before="15"/>
        <w:ind w:left="326"/>
        <w:rPr>
          <w:rFonts w:ascii="微软雅黑" w:eastAsia="微软雅黑"/>
          <w:b/>
        </w:rPr>
      </w:pPr>
      <w:r>
        <w:t>有关事项协商一致，共同达成如下协议：</w:t>
      </w:r>
      <w:r>
        <w:rPr>
          <w:rFonts w:hint="eastAsia" w:ascii="微软雅黑" w:eastAsia="微软雅黑"/>
          <w:b/>
          <w:w w:val="167"/>
        </w:rPr>
        <w:t xml:space="preserve"> </w:t>
      </w:r>
    </w:p>
    <w:p w14:paraId="240B92DA">
      <w:pPr>
        <w:pStyle w:val="17"/>
        <w:spacing w:before="12"/>
        <w:rPr>
          <w:rFonts w:ascii="微软雅黑"/>
          <w:b/>
        </w:rPr>
      </w:pPr>
    </w:p>
    <w:p w14:paraId="10532448">
      <w:pPr>
        <w:pStyle w:val="3"/>
        <w:spacing w:before="1"/>
        <w:ind w:left="746" w:firstLine="0"/>
        <w:rPr>
          <w:rFonts w:ascii="微软雅黑"/>
          <w:b/>
          <w:sz w:val="17"/>
        </w:rPr>
      </w:pPr>
      <w:r>
        <w:t>一、工程概况</w:t>
      </w:r>
      <w:r>
        <w:rPr>
          <w:w w:val="167"/>
        </w:rPr>
        <w:t xml:space="preserve"> </w:t>
      </w:r>
    </w:p>
    <w:p w14:paraId="6A40820C">
      <w:pPr>
        <w:pStyle w:val="17"/>
        <w:tabs>
          <w:tab w:val="left" w:pos="4321"/>
        </w:tabs>
        <w:spacing w:before="1"/>
        <w:ind w:firstLine="840" w:firstLineChars="400"/>
      </w:pPr>
      <w:r>
        <w:rPr>
          <w:lang w:val="en-US" w:bidi="ar-SA"/>
        </w:rPr>
        <w:drawing>
          <wp:anchor distT="0" distB="0" distL="0" distR="0" simplePos="0" relativeHeight="251666432" behindDoc="1" locked="0" layoutInCell="1" allowOverlap="1">
            <wp:simplePos x="0" y="0"/>
            <wp:positionH relativeFrom="page">
              <wp:posOffset>3099435</wp:posOffset>
            </wp:positionH>
            <wp:positionV relativeFrom="paragraph">
              <wp:posOffset>19685</wp:posOffset>
            </wp:positionV>
            <wp:extent cx="400685" cy="13335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2" cstate="print"/>
                    <a:stretch>
                      <a:fillRect/>
                    </a:stretch>
                  </pic:blipFill>
                  <pic:spPr>
                    <a:xfrm>
                      <a:off x="0" y="0"/>
                      <a:ext cx="400519" cy="133350"/>
                    </a:xfrm>
                    <a:prstGeom prst="rect">
                      <a:avLst/>
                    </a:prstGeom>
                  </pic:spPr>
                </pic:pic>
              </a:graphicData>
            </a:graphic>
          </wp:anchor>
        </w:drawing>
      </w:r>
      <w:r>
        <w:t>1.工程名称：</w:t>
      </w:r>
      <w:r>
        <w:rPr>
          <w:u w:val="single"/>
        </w:rPr>
        <w:t xml:space="preserve"> </w:t>
      </w:r>
      <w:r>
        <w:rPr>
          <w:rFonts w:hint="eastAsia"/>
          <w:u w:val="single"/>
        </w:rPr>
        <w:t>开成路、横六路道路交安提升及绿化补栽工程</w:t>
      </w:r>
      <w:r>
        <w:rPr>
          <w:u w:val="single"/>
        </w:rPr>
        <w:tab/>
      </w:r>
      <w:r>
        <w:t xml:space="preserve">。 </w:t>
      </w:r>
    </w:p>
    <w:p w14:paraId="22349B8F">
      <w:pPr>
        <w:pStyle w:val="17"/>
        <w:tabs>
          <w:tab w:val="left" w:pos="4321"/>
        </w:tabs>
        <w:spacing w:before="151"/>
        <w:ind w:left="746"/>
      </w:pPr>
      <w:r>
        <w:rPr>
          <w:lang w:val="en-US" w:bidi="ar-SA"/>
        </w:rPr>
        <w:drawing>
          <wp:anchor distT="0" distB="0" distL="0" distR="0" simplePos="0" relativeHeight="251667456" behindDoc="1" locked="0" layoutInCell="1" allowOverlap="1">
            <wp:simplePos x="0" y="0"/>
            <wp:positionH relativeFrom="page">
              <wp:posOffset>3099435</wp:posOffset>
            </wp:positionH>
            <wp:positionV relativeFrom="paragraph">
              <wp:posOffset>114935</wp:posOffset>
            </wp:positionV>
            <wp:extent cx="400685" cy="13335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12" cstate="print"/>
                    <a:stretch>
                      <a:fillRect/>
                    </a:stretch>
                  </pic:blipFill>
                  <pic:spPr>
                    <a:xfrm>
                      <a:off x="0" y="0"/>
                      <a:ext cx="400519" cy="133350"/>
                    </a:xfrm>
                    <a:prstGeom prst="rect">
                      <a:avLst/>
                    </a:prstGeom>
                  </pic:spPr>
                </pic:pic>
              </a:graphicData>
            </a:graphic>
          </wp:anchor>
        </w:drawing>
      </w:r>
      <w:r>
        <w:t>2.工程地点：</w:t>
      </w:r>
      <w:r>
        <w:rPr>
          <w:u w:val="single"/>
        </w:rPr>
        <w:t xml:space="preserve"> </w:t>
      </w:r>
      <w:r>
        <w:rPr>
          <w:rFonts w:hint="eastAsia"/>
          <w:u w:val="single"/>
        </w:rPr>
        <w:t>重庆市经开区</w:t>
      </w:r>
      <w:r>
        <w:rPr>
          <w:u w:val="single"/>
        </w:rPr>
        <w:t>广阳湾生态城范围内</w:t>
      </w:r>
      <w:r>
        <w:rPr>
          <w:rFonts w:hint="eastAsia"/>
          <w:u w:val="single"/>
        </w:rPr>
        <w:t>。</w:t>
      </w:r>
    </w:p>
    <w:p w14:paraId="1747B14C">
      <w:pPr>
        <w:pStyle w:val="17"/>
        <w:tabs>
          <w:tab w:val="left" w:pos="5162"/>
        </w:tabs>
        <w:spacing w:before="137"/>
        <w:ind w:left="746"/>
      </w:pPr>
      <w:r>
        <w:rPr>
          <w:lang w:val="en-US" w:bidi="ar-SA"/>
        </w:rPr>
        <w:drawing>
          <wp:anchor distT="0" distB="0" distL="0" distR="0" simplePos="0" relativeHeight="251668480" behindDoc="1" locked="0" layoutInCell="1" allowOverlap="1">
            <wp:simplePos x="0" y="0"/>
            <wp:positionH relativeFrom="page">
              <wp:posOffset>3633470</wp:posOffset>
            </wp:positionH>
            <wp:positionV relativeFrom="paragraph">
              <wp:posOffset>105410</wp:posOffset>
            </wp:positionV>
            <wp:extent cx="400685" cy="13335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t>3.工程立项批准文号：</w:t>
      </w:r>
      <w:r>
        <w:rPr>
          <w:u w:val="single"/>
        </w:rPr>
        <w:t xml:space="preserve"> </w:t>
      </w:r>
      <w:r>
        <w:rPr>
          <w:rFonts w:hint="eastAsia"/>
          <w:u w:val="single"/>
        </w:rPr>
        <w:t>渝经开经发【2011】</w:t>
      </w:r>
      <w:r>
        <w:rPr>
          <w:u w:val="single"/>
        </w:rPr>
        <w:t xml:space="preserve"> 13 号</w:t>
      </w:r>
      <w:r>
        <w:rPr>
          <w:rFonts w:hint="eastAsia"/>
          <w:u w:val="single"/>
        </w:rPr>
        <w:t>、渝经开经发【2012】</w:t>
      </w:r>
      <w:r>
        <w:rPr>
          <w:u w:val="single"/>
        </w:rPr>
        <w:t>71号。</w:t>
      </w:r>
    </w:p>
    <w:p w14:paraId="51C44075">
      <w:pPr>
        <w:pStyle w:val="17"/>
        <w:tabs>
          <w:tab w:val="left" w:pos="4321"/>
        </w:tabs>
        <w:spacing w:before="136"/>
        <w:ind w:left="746"/>
      </w:pPr>
      <w:r>
        <w:rPr>
          <w:lang w:val="en-US" w:bidi="ar-SA"/>
        </w:rPr>
        <w:drawing>
          <wp:anchor distT="0" distB="0" distL="0" distR="0" simplePos="0" relativeHeight="251669504" behindDoc="1" locked="0" layoutInCell="1" allowOverlap="1">
            <wp:simplePos x="0" y="0"/>
            <wp:positionH relativeFrom="page">
              <wp:posOffset>3099435</wp:posOffset>
            </wp:positionH>
            <wp:positionV relativeFrom="paragraph">
              <wp:posOffset>105410</wp:posOffset>
            </wp:positionV>
            <wp:extent cx="400685" cy="13335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12" cstate="print"/>
                    <a:stretch>
                      <a:fillRect/>
                    </a:stretch>
                  </pic:blipFill>
                  <pic:spPr>
                    <a:xfrm>
                      <a:off x="0" y="0"/>
                      <a:ext cx="400519" cy="133350"/>
                    </a:xfrm>
                    <a:prstGeom prst="rect">
                      <a:avLst/>
                    </a:prstGeom>
                  </pic:spPr>
                </pic:pic>
              </a:graphicData>
            </a:graphic>
          </wp:anchor>
        </w:drawing>
      </w:r>
      <w:r>
        <w:t>4.资金来源：</w:t>
      </w:r>
      <w:r>
        <w:rPr>
          <w:u w:val="single"/>
        </w:rPr>
        <w:t xml:space="preserve"> </w:t>
      </w:r>
      <w:r>
        <w:rPr>
          <w:rFonts w:hint="eastAsia"/>
          <w:color w:val="000000"/>
          <w:u w:val="single"/>
        </w:rPr>
        <w:t>业主自筹</w:t>
      </w:r>
      <w:r>
        <w:rPr>
          <w:u w:val="single"/>
        </w:rPr>
        <w:tab/>
      </w:r>
      <w:r>
        <w:t xml:space="preserve">。 </w:t>
      </w:r>
    </w:p>
    <w:p w14:paraId="38DF56B9">
      <w:pPr>
        <w:pStyle w:val="17"/>
        <w:tabs>
          <w:tab w:val="left" w:pos="4321"/>
        </w:tabs>
        <w:spacing w:before="136"/>
        <w:ind w:left="746"/>
        <w:rPr>
          <w:u w:val="single"/>
        </w:rPr>
      </w:pPr>
      <w:r>
        <w:rPr>
          <w:lang w:val="en-US" w:bidi="ar-SA"/>
        </w:rPr>
        <w:drawing>
          <wp:anchor distT="0" distB="0" distL="0" distR="0" simplePos="0" relativeHeight="251670528" behindDoc="1" locked="0" layoutInCell="1" allowOverlap="1">
            <wp:simplePos x="0" y="0"/>
            <wp:positionH relativeFrom="page">
              <wp:posOffset>3099435</wp:posOffset>
            </wp:positionH>
            <wp:positionV relativeFrom="paragraph">
              <wp:posOffset>105410</wp:posOffset>
            </wp:positionV>
            <wp:extent cx="400685" cy="13335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12" cstate="print"/>
                    <a:stretch>
                      <a:fillRect/>
                    </a:stretch>
                  </pic:blipFill>
                  <pic:spPr>
                    <a:xfrm>
                      <a:off x="0" y="0"/>
                      <a:ext cx="400519" cy="133350"/>
                    </a:xfrm>
                    <a:prstGeom prst="rect">
                      <a:avLst/>
                    </a:prstGeom>
                  </pic:spPr>
                </pic:pic>
              </a:graphicData>
            </a:graphic>
          </wp:anchor>
        </w:drawing>
      </w:r>
      <w:r>
        <w:t>5.工程内容：</w:t>
      </w:r>
      <w:r>
        <w:rPr>
          <w:u w:val="single"/>
        </w:rPr>
        <w:t xml:space="preserve"> </w:t>
      </w:r>
      <w:r>
        <w:rPr>
          <w:rFonts w:hint="eastAsia"/>
          <w:u w:val="single"/>
        </w:rPr>
        <w:t>本项目位于重庆市经开区</w:t>
      </w:r>
      <w:r>
        <w:rPr>
          <w:u w:val="single"/>
        </w:rPr>
        <w:t>广阳湾生态城范围内</w:t>
      </w:r>
      <w:r>
        <w:rPr>
          <w:rFonts w:hint="eastAsia"/>
          <w:u w:val="single"/>
        </w:rPr>
        <w:t>，开成路北段、横六路东段交安提升及绿化补栽工程等相关工程内容，交安提升包含交通标志、标线、突起路标、隔离墩、轮廓标、防撞护栏、信号灯、电子警察、不避让行人处理单元、违停抓拍、全景监控、照明工程、箱变等；绿化补栽包含香樟</w:t>
      </w:r>
      <w:r>
        <w:rPr>
          <w:u w:val="single"/>
        </w:rPr>
        <w:t xml:space="preserve"> 、小叶榕 、帚桃 、天竺桂等</w:t>
      </w:r>
      <w:r>
        <w:rPr>
          <w:rFonts w:hint="eastAsia"/>
          <w:u w:val="single"/>
        </w:rPr>
        <w:t>。</w:t>
      </w:r>
      <w:r>
        <w:rPr>
          <w:u w:val="single"/>
        </w:rPr>
        <w:tab/>
      </w:r>
      <w:r>
        <w:t xml:space="preserve">。 </w:t>
      </w:r>
    </w:p>
    <w:p w14:paraId="33E541FE">
      <w:pPr>
        <w:pStyle w:val="17"/>
        <w:tabs>
          <w:tab w:val="left" w:pos="3270"/>
          <w:tab w:val="left" w:pos="4742"/>
        </w:tabs>
        <w:spacing w:before="151"/>
        <w:ind w:left="746"/>
      </w:pPr>
      <w:r>
        <w:rPr>
          <w:lang w:val="en-US" w:bidi="ar-SA"/>
        </w:rPr>
        <w:drawing>
          <wp:anchor distT="0" distB="0" distL="0" distR="0" simplePos="0" relativeHeight="251671552" behindDoc="1" locked="0" layoutInCell="1" allowOverlap="1">
            <wp:simplePos x="0" y="0"/>
            <wp:positionH relativeFrom="page">
              <wp:posOffset>2164715</wp:posOffset>
            </wp:positionH>
            <wp:positionV relativeFrom="paragraph">
              <wp:posOffset>114935</wp:posOffset>
            </wp:positionV>
            <wp:extent cx="667385" cy="13335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672576" behindDoc="1" locked="0" layoutInCell="1" allowOverlap="1">
            <wp:simplePos x="0" y="0"/>
            <wp:positionH relativeFrom="page">
              <wp:posOffset>3366135</wp:posOffset>
            </wp:positionH>
            <wp:positionV relativeFrom="paragraph">
              <wp:posOffset>114935</wp:posOffset>
            </wp:positionV>
            <wp:extent cx="400685" cy="13335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t>6.工程承包范围：</w:t>
      </w:r>
      <w:r>
        <w:rPr>
          <w:u w:val="single"/>
        </w:rPr>
        <w:t xml:space="preserve"> </w:t>
      </w:r>
      <w:r>
        <w:rPr>
          <w:rFonts w:hint="eastAsia"/>
          <w:u w:val="single"/>
        </w:rPr>
        <w:t>具体详见发布的施工图、程量清单招标文件补遗答疑中 具体详见发布的施工图、程量清单招标文件补遗答疑中 补充的全部工程内容 。</w:t>
      </w:r>
      <w:r>
        <w:rPr>
          <w:u w:val="single"/>
        </w:rPr>
        <w:tab/>
      </w:r>
      <w:r>
        <w:rPr>
          <w:u w:val="single"/>
        </w:rPr>
        <w:tab/>
      </w:r>
      <w:r>
        <w:t xml:space="preserve">。 </w:t>
      </w:r>
    </w:p>
    <w:p w14:paraId="55C6A652">
      <w:pPr>
        <w:pStyle w:val="17"/>
        <w:rPr>
          <w:sz w:val="20"/>
        </w:rPr>
      </w:pPr>
    </w:p>
    <w:p w14:paraId="7AE78409">
      <w:pPr>
        <w:pStyle w:val="17"/>
        <w:spacing w:before="5"/>
        <w:rPr>
          <w:sz w:val="14"/>
        </w:rPr>
      </w:pPr>
    </w:p>
    <w:p w14:paraId="2C301D36">
      <w:pPr>
        <w:pStyle w:val="3"/>
        <w:spacing w:before="4"/>
        <w:ind w:left="746" w:firstLine="0"/>
      </w:pPr>
      <w:r>
        <w:t>二、合同工期</w:t>
      </w:r>
      <w:r>
        <w:rPr>
          <w:w w:val="167"/>
        </w:rPr>
        <w:t xml:space="preserve"> </w:t>
      </w:r>
    </w:p>
    <w:p w14:paraId="158918BF">
      <w:pPr>
        <w:pStyle w:val="17"/>
        <w:tabs>
          <w:tab w:val="left" w:pos="4742"/>
        </w:tabs>
        <w:ind w:left="746"/>
      </w:pPr>
      <w:r>
        <w:rPr>
          <w:lang w:val="en-US" w:bidi="ar-SA"/>
        </w:rPr>
        <w:drawing>
          <wp:anchor distT="0" distB="0" distL="0" distR="0" simplePos="0" relativeHeight="251673600" behindDoc="1" locked="0" layoutInCell="1" allowOverlap="1">
            <wp:simplePos x="0" y="0"/>
            <wp:positionH relativeFrom="page">
              <wp:posOffset>2832100</wp:posOffset>
            </wp:positionH>
            <wp:positionV relativeFrom="paragraph">
              <wp:posOffset>18415</wp:posOffset>
            </wp:positionV>
            <wp:extent cx="934720" cy="13335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png"/>
                    <pic:cNvPicPr>
                      <a:picLocks noChangeAspect="1"/>
                    </pic:cNvPicPr>
                  </pic:nvPicPr>
                  <pic:blipFill>
                    <a:blip r:embed="rId14" cstate="print"/>
                    <a:stretch>
                      <a:fillRect/>
                    </a:stretch>
                  </pic:blipFill>
                  <pic:spPr>
                    <a:xfrm>
                      <a:off x="0" y="0"/>
                      <a:ext cx="934554" cy="133350"/>
                    </a:xfrm>
                    <a:prstGeom prst="rect">
                      <a:avLst/>
                    </a:prstGeom>
                  </pic:spPr>
                </pic:pic>
              </a:graphicData>
            </a:graphic>
          </wp:anchor>
        </w:drawing>
      </w:r>
      <w:r>
        <w:t>承包人投标函中承诺的工期</w:t>
      </w:r>
      <w:r>
        <w:rPr>
          <w:spacing w:val="-3"/>
        </w:rPr>
        <w:t>：</w:t>
      </w:r>
      <w:r>
        <w:rPr>
          <w:spacing w:val="-3"/>
          <w:u w:val="single"/>
        </w:rPr>
        <w:t xml:space="preserve"> </w:t>
      </w:r>
      <w:r>
        <w:rPr>
          <w:rFonts w:hint="eastAsia"/>
          <w:spacing w:val="-3"/>
          <w:u w:val="single"/>
          <w:lang w:val="en-US"/>
        </w:rPr>
        <w:t>90</w:t>
      </w:r>
      <w:r>
        <w:rPr>
          <w:spacing w:val="-3"/>
          <w:u w:val="single"/>
        </w:rPr>
        <w:tab/>
      </w:r>
      <w:r>
        <w:t xml:space="preserve">。 </w:t>
      </w:r>
    </w:p>
    <w:p w14:paraId="1675284C">
      <w:pPr>
        <w:pStyle w:val="17"/>
        <w:spacing w:before="6"/>
        <w:rPr>
          <w:sz w:val="10"/>
        </w:rPr>
      </w:pPr>
    </w:p>
    <w:p w14:paraId="5E749BAF">
      <w:pPr>
        <w:pStyle w:val="17"/>
        <w:spacing w:before="71"/>
        <w:ind w:left="326"/>
      </w:pPr>
      <w:r>
        <w:rPr>
          <w:lang w:val="en-US" w:bidi="ar-SA"/>
        </w:rPr>
        <mc:AlternateContent>
          <mc:Choice Requires="wpg">
            <w:drawing>
              <wp:anchor distT="0" distB="0" distL="114300" distR="114300" simplePos="0" relativeHeight="251674624" behindDoc="1" locked="0" layoutInCell="1" allowOverlap="1">
                <wp:simplePos x="0" y="0"/>
                <wp:positionH relativeFrom="page">
                  <wp:posOffset>2030730</wp:posOffset>
                </wp:positionH>
                <wp:positionV relativeFrom="paragraph">
                  <wp:posOffset>67945</wp:posOffset>
                </wp:positionV>
                <wp:extent cx="1869440" cy="133350"/>
                <wp:effectExtent l="0" t="0" r="0" b="0"/>
                <wp:wrapNone/>
                <wp:docPr id="2" name="Group 2"/>
                <wp:cNvGraphicFramePr/>
                <a:graphic xmlns:a="http://schemas.openxmlformats.org/drawingml/2006/main">
                  <a:graphicData uri="http://schemas.microsoft.com/office/word/2010/wordprocessingGroup">
                    <wpg:wgp>
                      <wpg:cNvGrpSpPr/>
                      <wpg:grpSpPr>
                        <a:xfrm>
                          <a:off x="0" y="0"/>
                          <a:ext cx="1869440" cy="133350"/>
                          <a:chOff x="3199" y="107"/>
                          <a:chExt cx="2944" cy="210"/>
                        </a:xfrm>
                      </wpg:grpSpPr>
                      <pic:pic xmlns:pic="http://schemas.openxmlformats.org/drawingml/2006/picture">
                        <pic:nvPicPr>
                          <pic:cNvPr id="38"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3199" y="107"/>
                            <a:ext cx="1262" cy="210"/>
                          </a:xfrm>
                          <a:prstGeom prst="rect">
                            <a:avLst/>
                          </a:prstGeom>
                          <a:noFill/>
                          <a:ln>
                            <a:noFill/>
                          </a:ln>
                        </pic:spPr>
                      </pic:pic>
                      <pic:pic xmlns:pic="http://schemas.openxmlformats.org/drawingml/2006/picture">
                        <pic:nvPicPr>
                          <pic:cNvPr id="4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4460" y="107"/>
                            <a:ext cx="842" cy="210"/>
                          </a:xfrm>
                          <a:prstGeom prst="rect">
                            <a:avLst/>
                          </a:prstGeom>
                          <a:noFill/>
                          <a:ln>
                            <a:noFill/>
                          </a:ln>
                        </pic:spPr>
                      </pic:pic>
                      <pic:pic xmlns:pic="http://schemas.openxmlformats.org/drawingml/2006/picture">
                        <pic:nvPicPr>
                          <pic:cNvPr id="42"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5301" y="107"/>
                            <a:ext cx="842" cy="210"/>
                          </a:xfrm>
                          <a:prstGeom prst="rect">
                            <a:avLst/>
                          </a:prstGeom>
                          <a:noFill/>
                          <a:ln>
                            <a:noFill/>
                          </a:ln>
                        </pic:spPr>
                      </pic:pic>
                    </wpg:wgp>
                  </a:graphicData>
                </a:graphic>
              </wp:anchor>
            </w:drawing>
          </mc:Choice>
          <mc:Fallback>
            <w:pict>
              <v:group id="Group 2" o:spid="_x0000_s1026" o:spt="203" style="position:absolute;left:0pt;margin-left:159.9pt;margin-top:5.35pt;height:10.5pt;width:147.2pt;mso-position-horizontal-relative:page;z-index:-251641856;mso-width-relative:page;mso-height-relative:page;" coordorigin="3199,107" coordsize="2944,210" o:gfxdata="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">
                <o:lock v:ext="edit" aspectratio="f"/>
                <v:shape id="Picture 3" o:spid="_x0000_s1026" o:spt="75" type="#_x0000_t75" style="position:absolute;left:3199;top:107;height:210;width:1262;" filled="f" o:preferrelative="t" stroked="f" coordsize="21600,21600" o:gfxdata="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fGKugAAANsA&#10;AAAPAAAAAAAAAAEAIAAAACIAAABkcnMvZG93bnJldi54bWxQSwECFAAUAAAACACHTuJAMy8FnjsA&#10;AAA5AAAAEAAAAAAAAAABACAAAAAJAQAAZHJzL3NoYXBleG1sLnhtbFBLBQYAAAAABgAGAFsBAACz&#10;AwAAAAA=&#10;">
                  <v:fill on="f" focussize="0,0"/>
                  <v:stroke on="f"/>
                  <v:imagedata r:id="rId15" o:title=""/>
                  <o:lock v:ext="edit" aspectratio="t"/>
                </v:shape>
                <v:shape id="Picture 4" o:spid="_x0000_s1026" o:spt="75" type="#_x0000_t75" style="position:absolute;left:4460;top:107;height:210;width:842;" filled="f" o:preferrelative="t" stroked="f" coordsize="21600,21600" o:gfxdata="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kYl8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Picture 5" o:spid="_x0000_s1026" o:spt="75" type="#_x0000_t75" style="position:absolute;left:5301;top:107;height:210;width:842;" filled="f" o:preferrelative="t" stroked="f" coordsize="21600,21600" o:gfxdata="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D7KQ&#10;wAAAANsAAAAPAAAAAAAAAAEAIAAAACIAAABkcnMvZG93bnJldi54bWxQSwECFAAUAAAACACHTuJA&#10;My8FnjsAAAA5AAAAEAAAAAAAAAABACAAAAAPAQAAZHJzL3NoYXBleG1sLnhtbFBLBQYAAAAABgAG&#10;AFsBAAC5AwAAAAA=&#10;">
                  <v:fill on="f" focussize="0,0"/>
                  <v:stroke on="f"/>
                  <v:imagedata r:id="rId16" o:title=""/>
                  <o:lock v:ext="edit" aspectratio="t"/>
                </v:shape>
              </v:group>
            </w:pict>
          </mc:Fallback>
        </mc:AlternateContent>
      </w:r>
      <w:r>
        <w:t>计划开工日期：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rFonts w:hint="eastAsia"/>
          <w:lang w:val="en-US" w:eastAsia="zh-CN"/>
        </w:rPr>
        <w:t>以中标通知书发出日期</w:t>
      </w:r>
      <w:r>
        <w:t xml:space="preserve">为准。 </w:t>
      </w:r>
    </w:p>
    <w:p w14:paraId="1658669D">
      <w:pPr>
        <w:pStyle w:val="17"/>
        <w:spacing w:before="4"/>
        <w:rPr>
          <w:sz w:val="15"/>
        </w:rPr>
      </w:pPr>
    </w:p>
    <w:p w14:paraId="6BFC86E6">
      <w:pPr>
        <w:pStyle w:val="17"/>
        <w:tabs>
          <w:tab w:val="left" w:pos="3270"/>
          <w:tab w:val="left" w:pos="4111"/>
          <w:tab w:val="left" w:pos="4952"/>
        </w:tabs>
        <w:ind w:left="746"/>
      </w:pPr>
      <w:r>
        <w:rPr>
          <w:lang w:val="en-US" w:bidi="ar-SA"/>
        </w:rPr>
        <mc:AlternateContent>
          <mc:Choice Requires="wpg">
            <w:drawing>
              <wp:anchor distT="0" distB="0" distL="114300" distR="114300" simplePos="0" relativeHeight="251675648" behindDoc="1" locked="0" layoutInCell="1" allowOverlap="1">
                <wp:simplePos x="0" y="0"/>
                <wp:positionH relativeFrom="page">
                  <wp:posOffset>2030730</wp:posOffset>
                </wp:positionH>
                <wp:positionV relativeFrom="paragraph">
                  <wp:posOffset>19050</wp:posOffset>
                </wp:positionV>
                <wp:extent cx="1869440" cy="133350"/>
                <wp:effectExtent l="0" t="0" r="0" b="0"/>
                <wp:wrapNone/>
                <wp:docPr id="6" name="Group 6"/>
                <wp:cNvGraphicFramePr/>
                <a:graphic xmlns:a="http://schemas.openxmlformats.org/drawingml/2006/main">
                  <a:graphicData uri="http://schemas.microsoft.com/office/word/2010/wordprocessingGroup">
                    <wpg:wgp>
                      <wpg:cNvGrpSpPr/>
                      <wpg:grpSpPr>
                        <a:xfrm>
                          <a:off x="0" y="0"/>
                          <a:ext cx="1869440" cy="133350"/>
                          <a:chOff x="3199" y="30"/>
                          <a:chExt cx="2944" cy="210"/>
                        </a:xfrm>
                      </wpg:grpSpPr>
                      <pic:pic xmlns:pic="http://schemas.openxmlformats.org/drawingml/2006/picture">
                        <pic:nvPicPr>
                          <pic:cNvPr id="3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3199" y="30"/>
                            <a:ext cx="1262" cy="210"/>
                          </a:xfrm>
                          <a:prstGeom prst="rect">
                            <a:avLst/>
                          </a:prstGeom>
                          <a:noFill/>
                          <a:ln>
                            <a:noFill/>
                          </a:ln>
                        </pic:spPr>
                      </pic:pic>
                      <pic:pic xmlns:pic="http://schemas.openxmlformats.org/drawingml/2006/picture">
                        <pic:nvPicPr>
                          <pic:cNvPr id="32"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4460" y="30"/>
                            <a:ext cx="842" cy="210"/>
                          </a:xfrm>
                          <a:prstGeom prst="rect">
                            <a:avLst/>
                          </a:prstGeom>
                          <a:noFill/>
                          <a:ln>
                            <a:noFill/>
                          </a:ln>
                        </pic:spPr>
                      </pic:pic>
                      <pic:pic xmlns:pic="http://schemas.openxmlformats.org/drawingml/2006/picture">
                        <pic:nvPicPr>
                          <pic:cNvPr id="34"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5301" y="30"/>
                            <a:ext cx="842" cy="210"/>
                          </a:xfrm>
                          <a:prstGeom prst="rect">
                            <a:avLst/>
                          </a:prstGeom>
                          <a:noFill/>
                          <a:ln>
                            <a:noFill/>
                          </a:ln>
                        </pic:spPr>
                      </pic:pic>
                    </wpg:wgp>
                  </a:graphicData>
                </a:graphic>
              </wp:anchor>
            </w:drawing>
          </mc:Choice>
          <mc:Fallback>
            <w:pict>
              <v:group id="Group 6" o:spid="_x0000_s1026" o:spt="203" style="position:absolute;left:0pt;margin-left:159.9pt;margin-top:1.5pt;height:10.5pt;width:147.2pt;mso-position-horizontal-relative:page;z-index:-251640832;mso-width-relative:page;mso-height-relative:page;" coordorigin="3199,30" coordsize="2944,210" o:gfxdata="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">
                <o:lock v:ext="edit" aspectratio="f"/>
                <v:shape id="Picture 7" o:spid="_x0000_s1026" o:spt="75" type="#_x0000_t75" style="position:absolute;left:3199;top:30;height:210;width:1262;" filled="f" o:preferrelative="t" stroked="f" coordsize="21600,21600" o:gfxdata="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2MugAAANsA&#10;AAAPAAAAAAAAAAEAIAAAACIAAABkcnMvZG93bnJldi54bWxQSwECFAAUAAAACACHTuJAMy8FnjsA&#10;AAA5AAAAEAAAAAAAAAABACAAAAAJAQAAZHJzL3NoYXBleG1sLnhtbFBLBQYAAAAABgAGAFsBAACz&#10;AwAAAAA=&#10;">
                  <v:fill on="f" focussize="0,0"/>
                  <v:stroke on="f"/>
                  <v:imagedata r:id="rId15" o:title=""/>
                  <o:lock v:ext="edit" aspectratio="t"/>
                </v:shape>
                <v:shape id="Picture 8" o:spid="_x0000_s1026" o:spt="75" type="#_x0000_t75" style="position:absolute;left:4460;top:30;height:210;width:842;" filled="f" o:preferrelative="t" stroked="f" coordsize="21600,21600" o:gfxdata="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CcHt&#10;wAAAANsAAAAPAAAAAAAAAAEAIAAAACIAAABkcnMvZG93bnJldi54bWxQSwECFAAUAAAACACHTuJA&#10;My8FnjsAAAA5AAAAEAAAAAAAAAABACAAAAAPAQAAZHJzL3NoYXBleG1sLnhtbFBLBQYAAAAABgAG&#10;AFsBAAC5AwAAAAA=&#10;">
                  <v:fill on="f" focussize="0,0"/>
                  <v:stroke on="f"/>
                  <v:imagedata r:id="rId16" o:title=""/>
                  <o:lock v:ext="edit" aspectratio="t"/>
                </v:shape>
                <v:shape id="Picture 9" o:spid="_x0000_s1026" o:spt="75" type="#_x0000_t75" style="position:absolute;left:5301;top:30;height:210;width:842;" filled="f" o:preferrelative="t" stroked="f" coordsize="21600,21600" o:gfxdata="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rPwC&#10;wAAAANsAAAAPAAAAAAAAAAEAIAAAACIAAABkcnMvZG93bnJldi54bWxQSwECFAAUAAAACACHTuJA&#10;My8FnjsAAAA5AAAAEAAAAAAAAAABACAAAAAPAQAAZHJzL3NoYXBleG1sLnhtbFBLBQYAAAAABgAG&#10;AFsBAAC5AwAAAAA=&#10;">
                  <v:fill on="f" focussize="0,0"/>
                  <v:stroke on="f"/>
                  <v:imagedata r:id="rId16" o:title=""/>
                  <o:lock v:ext="edit" aspectratio="t"/>
                </v:shape>
              </v:group>
            </w:pict>
          </mc:Fallback>
        </mc:AlternateContent>
      </w:r>
      <w:r>
        <w:t>计划竣工日期：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rFonts w:hint="eastAsia"/>
          <w:lang w:val="en-US" w:eastAsia="zh-CN"/>
        </w:rPr>
        <w:t>以中标通知书发出</w:t>
      </w:r>
      <w:r>
        <w:t>之日为准</w:t>
      </w:r>
      <w:r>
        <w:rPr>
          <w:spacing w:val="-5"/>
        </w:rPr>
        <w:t>。</w:t>
      </w:r>
      <w:r>
        <w:t xml:space="preserve"> </w:t>
      </w:r>
    </w:p>
    <w:p w14:paraId="6FCCB0F4">
      <w:pPr>
        <w:pStyle w:val="17"/>
        <w:spacing w:before="4"/>
        <w:rPr>
          <w:sz w:val="9"/>
        </w:rPr>
      </w:pPr>
    </w:p>
    <w:p w14:paraId="0C0DFA59">
      <w:pPr>
        <w:pStyle w:val="17"/>
        <w:tabs>
          <w:tab w:val="left" w:pos="3270"/>
        </w:tabs>
        <w:spacing w:before="77"/>
        <w:ind w:left="746"/>
      </w:pPr>
      <w:r>
        <w:rPr>
          <w:lang w:val="en-US" w:bidi="ar-SA"/>
        </w:rPr>
        <w:drawing>
          <wp:anchor distT="0" distB="0" distL="0" distR="0" simplePos="0" relativeHeight="251676672" behindDoc="1" locked="0" layoutInCell="1" allowOverlap="1">
            <wp:simplePos x="0" y="0"/>
            <wp:positionH relativeFrom="page">
              <wp:posOffset>2030730</wp:posOffset>
            </wp:positionH>
            <wp:positionV relativeFrom="paragraph">
              <wp:posOffset>67310</wp:posOffset>
            </wp:positionV>
            <wp:extent cx="801370" cy="133350"/>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a:picLocks noChangeAspect="1"/>
                    </pic:cNvPicPr>
                  </pic:nvPicPr>
                  <pic:blipFill>
                    <a:blip r:embed="rId17" cstate="print"/>
                    <a:stretch>
                      <a:fillRect/>
                    </a:stretch>
                  </pic:blipFill>
                  <pic:spPr>
                    <a:xfrm>
                      <a:off x="0" y="0"/>
                      <a:ext cx="801243" cy="133350"/>
                    </a:xfrm>
                    <a:prstGeom prst="rect">
                      <a:avLst/>
                    </a:prstGeom>
                  </pic:spPr>
                </pic:pic>
              </a:graphicData>
            </a:graphic>
          </wp:anchor>
        </w:drawing>
      </w:r>
      <w:r>
        <w:t>工期总日历天数</w:t>
      </w:r>
      <w:r>
        <w:rPr>
          <w:u w:val="single"/>
        </w:rPr>
        <w:t xml:space="preserve"> </w:t>
      </w:r>
      <w:r>
        <w:rPr>
          <w:rFonts w:hint="eastAsia"/>
          <w:u w:val="single"/>
          <w:lang w:val="en-US"/>
        </w:rPr>
        <w:t xml:space="preserve">  90</w:t>
      </w:r>
      <w:r>
        <w:rPr>
          <w:u w:val="single"/>
        </w:rPr>
        <w:tab/>
      </w:r>
      <w:r>
        <w:t>天。工期总日历天数与根据前述计划开竣工日期计算的工期天数不</w:t>
      </w:r>
      <w:r>
        <w:rPr>
          <w:spacing w:val="-7"/>
        </w:rPr>
        <w:t>一</w:t>
      </w:r>
      <w:r>
        <w:t>致</w:t>
      </w:r>
    </w:p>
    <w:p w14:paraId="6D32C756">
      <w:pPr>
        <w:pStyle w:val="17"/>
        <w:spacing w:before="11"/>
        <w:rPr>
          <w:sz w:val="9"/>
        </w:rPr>
      </w:pPr>
    </w:p>
    <w:p w14:paraId="41EA2DFF">
      <w:pPr>
        <w:pStyle w:val="17"/>
        <w:spacing w:before="71"/>
        <w:ind w:left="326"/>
      </w:pPr>
      <w:r>
        <w:t xml:space="preserve">的，以工期总日历天数为准。 </w:t>
      </w:r>
    </w:p>
    <w:p w14:paraId="11CAC9FA">
      <w:pPr>
        <w:pStyle w:val="17"/>
        <w:rPr>
          <w:sz w:val="20"/>
        </w:rPr>
      </w:pPr>
    </w:p>
    <w:p w14:paraId="5997274B">
      <w:pPr>
        <w:pStyle w:val="3"/>
        <w:spacing w:before="158"/>
        <w:ind w:left="746" w:firstLine="0"/>
        <w:rPr>
          <w:rFonts w:ascii="微软雅黑"/>
          <w:b/>
          <w:sz w:val="17"/>
        </w:rPr>
      </w:pPr>
      <w:r>
        <w:t>三、质量标准</w:t>
      </w:r>
      <w:r>
        <w:rPr>
          <w:w w:val="167"/>
        </w:rPr>
        <w:t xml:space="preserve"> </w:t>
      </w:r>
    </w:p>
    <w:p w14:paraId="153B72B8">
      <w:pPr>
        <w:pStyle w:val="17"/>
        <w:ind w:left="746"/>
      </w:pPr>
      <w:r>
        <w:t>工程质量</w:t>
      </w:r>
      <w:r>
        <w:rPr>
          <w:u w:val="single"/>
        </w:rPr>
        <w:t>符合国家和重庆市现行有关施工质量验收规范要求，并达到合格</w:t>
      </w:r>
      <w:r>
        <w:t xml:space="preserve">标准。 </w:t>
      </w:r>
    </w:p>
    <w:p w14:paraId="08481C10">
      <w:pPr>
        <w:pStyle w:val="17"/>
        <w:ind w:left="746"/>
      </w:pPr>
    </w:p>
    <w:p w14:paraId="30BE4ECE">
      <w:pPr>
        <w:pStyle w:val="3"/>
        <w:tabs>
          <w:tab w:val="left" w:pos="3946"/>
        </w:tabs>
        <w:spacing w:line="372" w:lineRule="exact"/>
        <w:ind w:left="581" w:firstLine="0"/>
      </w:pPr>
      <w:r>
        <w:rPr>
          <w:spacing w:val="14"/>
        </w:rPr>
        <w:t>四、</w:t>
      </w:r>
      <w:r>
        <w:rPr>
          <w:spacing w:val="15"/>
        </w:rPr>
        <w:t>签</w:t>
      </w:r>
      <w:r>
        <w:t>约合同价与</w:t>
      </w:r>
      <w:r>
        <w:rPr>
          <w:spacing w:val="15"/>
        </w:rPr>
        <w:t>合</w:t>
      </w:r>
      <w:r>
        <w:t>同价格形式</w:t>
      </w:r>
      <w:r>
        <w:rPr>
          <w:w w:val="167"/>
        </w:rPr>
        <w:t xml:space="preserve"> </w:t>
      </w:r>
      <w:r>
        <w:tab/>
      </w:r>
      <w:r>
        <w:rPr>
          <w:w w:val="167"/>
        </w:rPr>
        <w:t xml:space="preserve"> </w:t>
      </w:r>
    </w:p>
    <w:p w14:paraId="382A62F2">
      <w:pPr>
        <w:pStyle w:val="17"/>
        <w:spacing w:before="3"/>
        <w:rPr>
          <w:rFonts w:ascii="微软雅黑"/>
          <w:b/>
          <w:sz w:val="24"/>
        </w:rPr>
      </w:pPr>
    </w:p>
    <w:p w14:paraId="50BA0DB4">
      <w:pPr>
        <w:pStyle w:val="317"/>
        <w:numPr>
          <w:ilvl w:val="0"/>
          <w:numId w:val="2"/>
        </w:numPr>
        <w:tabs>
          <w:tab w:val="left" w:pos="793"/>
        </w:tabs>
        <w:ind w:hanging="212"/>
        <w:rPr>
          <w:sz w:val="21"/>
        </w:rPr>
      </w:pPr>
      <w:r>
        <w:rPr>
          <w:spacing w:val="-1"/>
          <w:sz w:val="21"/>
        </w:rPr>
        <w:t>承包人投标函中承诺的中标价为：</w:t>
      </w:r>
      <w:r>
        <w:rPr>
          <w:sz w:val="21"/>
        </w:rPr>
        <w:t xml:space="preserve"> </w:t>
      </w:r>
    </w:p>
    <w:p w14:paraId="0A57EEBA">
      <w:pPr>
        <w:pStyle w:val="17"/>
        <w:spacing w:before="4"/>
        <w:rPr>
          <w:sz w:val="15"/>
        </w:rPr>
      </w:pPr>
    </w:p>
    <w:p w14:paraId="218A142E">
      <w:pPr>
        <w:pStyle w:val="17"/>
        <w:ind w:left="581"/>
      </w:pPr>
      <w:r>
        <w:t>人 民 币 （ 大 写 ）</w:t>
      </w:r>
      <w:r>
        <w:rPr>
          <w:rFonts w:hint="eastAsia"/>
          <w:u w:val="single"/>
        </w:rPr>
        <w:t xml:space="preserve"> </w:t>
      </w:r>
      <w:r>
        <w:rPr>
          <w:u w:val="single"/>
        </w:rPr>
        <w:t xml:space="preserve">                           </w:t>
      </w:r>
      <w:r>
        <w:t>（¥</w:t>
      </w:r>
      <w:r>
        <w:rPr>
          <w:u w:val="single"/>
        </w:rPr>
        <w:t xml:space="preserve">             </w:t>
      </w:r>
      <w:r>
        <w:t xml:space="preserve">元 ）； </w:t>
      </w:r>
    </w:p>
    <w:p w14:paraId="62408804">
      <w:pPr>
        <w:pStyle w:val="17"/>
        <w:spacing w:before="11"/>
        <w:rPr>
          <w:sz w:val="9"/>
        </w:rPr>
      </w:pPr>
    </w:p>
    <w:p w14:paraId="305D9F53">
      <w:pPr>
        <w:pStyle w:val="317"/>
        <w:numPr>
          <w:ilvl w:val="0"/>
          <w:numId w:val="2"/>
        </w:numPr>
        <w:tabs>
          <w:tab w:val="left" w:pos="793"/>
        </w:tabs>
        <w:spacing w:before="70"/>
        <w:ind w:hanging="212"/>
        <w:rPr>
          <w:sz w:val="21"/>
        </w:rPr>
      </w:pPr>
      <w:r>
        <w:rPr>
          <w:sz w:val="21"/>
          <w:highlight w:val="yellow"/>
        </w:rPr>
        <w:t>签约合同价为：</w:t>
      </w:r>
      <w:r>
        <w:rPr>
          <w:sz w:val="21"/>
        </w:rPr>
        <w:t xml:space="preserve"> </w:t>
      </w:r>
    </w:p>
    <w:p w14:paraId="5DCDDF2E">
      <w:pPr>
        <w:pStyle w:val="17"/>
        <w:tabs>
          <w:tab w:val="left" w:pos="3270"/>
          <w:tab w:val="left" w:pos="4111"/>
          <w:tab w:val="left" w:pos="4952"/>
        </w:tabs>
        <w:ind w:left="746"/>
        <w:rPr>
          <w:highlight w:val="yellow"/>
        </w:rPr>
      </w:pPr>
      <w:r>
        <w:rPr>
          <w:highlight w:val="yellow"/>
        </w:rPr>
        <w:t>人 民 币 （ 大 写 ）</w:t>
      </w:r>
      <w:r>
        <w:rPr>
          <w:rFonts w:hint="eastAsia"/>
          <w:highlight w:val="yellow"/>
          <w:u w:val="single"/>
        </w:rPr>
        <w:t xml:space="preserve"> </w:t>
      </w:r>
      <w:r>
        <w:rPr>
          <w:highlight w:val="yellow"/>
          <w:u w:val="single"/>
        </w:rPr>
        <w:t xml:space="preserve">             </w:t>
      </w:r>
      <w:r>
        <w:rPr>
          <w:highlight w:val="yellow"/>
        </w:rPr>
        <w:t>（¥</w:t>
      </w:r>
      <w:r>
        <w:rPr>
          <w:highlight w:val="yellow"/>
          <w:u w:val="single"/>
        </w:rPr>
        <w:t xml:space="preserve">           </w:t>
      </w:r>
      <w:r>
        <w:rPr>
          <w:highlight w:val="yellow"/>
        </w:rPr>
        <w:t>元 ）（含税），</w:t>
      </w:r>
      <w:r>
        <w:rPr>
          <w:rFonts w:hint="eastAsia"/>
          <w:highlight w:val="yellow"/>
        </w:rPr>
        <w:t xml:space="preserve">税率 </w:t>
      </w:r>
      <w:r>
        <w:rPr>
          <w:rFonts w:hint="eastAsia"/>
          <w:highlight w:val="yellow"/>
          <w:u w:val="single"/>
        </w:rPr>
        <w:t>9</w:t>
      </w:r>
      <w:r>
        <w:rPr>
          <w:highlight w:val="yellow"/>
          <w:u w:val="single"/>
        </w:rPr>
        <w:t xml:space="preserve"> </w:t>
      </w:r>
      <w:r>
        <w:rPr>
          <w:rFonts w:hint="eastAsia"/>
          <w:highlight w:val="yellow"/>
        </w:rPr>
        <w:t>%。</w:t>
      </w:r>
      <w:r>
        <w:rPr>
          <w:highlight w:val="yellow"/>
        </w:rPr>
        <w:t>； 其中，</w:t>
      </w:r>
      <w:r>
        <w:rPr>
          <w:rFonts w:hint="eastAsia"/>
          <w:highlight w:val="yellow"/>
        </w:rPr>
        <w:t>不含税暂定建安费为人民币（大写）</w:t>
      </w:r>
      <w:r>
        <w:rPr>
          <w:rFonts w:hint="eastAsia"/>
          <w:highlight w:val="yellow"/>
          <w:u w:val="single"/>
        </w:rPr>
        <w:t xml:space="preserve"> </w:t>
      </w:r>
      <w:r>
        <w:rPr>
          <w:highlight w:val="yellow"/>
          <w:u w:val="single"/>
        </w:rPr>
        <w:t xml:space="preserve">                </w:t>
      </w:r>
      <w:r>
        <w:rPr>
          <w:rFonts w:hint="eastAsia"/>
          <w:highlight w:val="yellow"/>
        </w:rPr>
        <w:t>（小写：￥</w:t>
      </w:r>
      <w:r>
        <w:rPr>
          <w:highlight w:val="yellow"/>
          <w:u w:val="single"/>
        </w:rPr>
        <w:t xml:space="preserve">        </w:t>
      </w:r>
      <w:r>
        <w:rPr>
          <w:rFonts w:hint="eastAsia"/>
          <w:highlight w:val="yellow"/>
        </w:rPr>
        <w:t>元）；增值税金额为人民币（大写）</w:t>
      </w:r>
      <w:r>
        <w:rPr>
          <w:rFonts w:hint="eastAsia"/>
          <w:highlight w:val="yellow"/>
          <w:u w:val="single"/>
        </w:rPr>
        <w:t xml:space="preserve"> </w:t>
      </w:r>
      <w:r>
        <w:rPr>
          <w:highlight w:val="yellow"/>
          <w:u w:val="single"/>
        </w:rPr>
        <w:t xml:space="preserve">          </w:t>
      </w:r>
      <w:r>
        <w:rPr>
          <w:highlight w:val="yellow"/>
        </w:rPr>
        <w:t xml:space="preserve">    </w:t>
      </w:r>
      <w:r>
        <w:rPr>
          <w:rFonts w:hint="eastAsia"/>
          <w:highlight w:val="yellow"/>
        </w:rPr>
        <w:t>（小写：￥</w:t>
      </w:r>
      <w:r>
        <w:rPr>
          <w:highlight w:val="yellow"/>
          <w:u w:val="single"/>
        </w:rPr>
        <w:t xml:space="preserve">       </w:t>
      </w:r>
      <w:r>
        <w:rPr>
          <w:rFonts w:hint="eastAsia"/>
          <w:highlight w:val="yellow"/>
        </w:rPr>
        <w:t>）。如遇国家税率调整，税率按照最新政策执行。</w:t>
      </w:r>
      <w:r>
        <w:t xml:space="preserve"> </w:t>
      </w:r>
    </w:p>
    <w:p w14:paraId="3FB03CA1">
      <w:pPr>
        <w:pStyle w:val="17"/>
        <w:spacing w:before="11"/>
        <w:rPr>
          <w:sz w:val="18"/>
        </w:rPr>
      </w:pPr>
    </w:p>
    <w:p w14:paraId="5FC6729F">
      <w:pPr>
        <w:pStyle w:val="317"/>
        <w:numPr>
          <w:ilvl w:val="0"/>
          <w:numId w:val="3"/>
        </w:numPr>
        <w:tabs>
          <w:tab w:val="left" w:pos="1109"/>
        </w:tabs>
        <w:ind w:hanging="528"/>
        <w:rPr>
          <w:sz w:val="21"/>
        </w:rPr>
      </w:pPr>
      <w:r>
        <w:rPr>
          <w:sz w:val="21"/>
        </w:rPr>
        <w:t xml:space="preserve">安全文明施工费： </w:t>
      </w:r>
    </w:p>
    <w:p w14:paraId="1463CF1E">
      <w:pPr>
        <w:pStyle w:val="17"/>
        <w:spacing w:before="4"/>
        <w:rPr>
          <w:sz w:val="15"/>
        </w:rPr>
      </w:pPr>
    </w:p>
    <w:p w14:paraId="3011AD7E">
      <w:pPr>
        <w:pStyle w:val="17"/>
        <w:spacing w:before="1"/>
        <w:ind w:left="581"/>
      </w:pPr>
      <w:r>
        <w:rPr>
          <w:rFonts w:hint="eastAsia"/>
        </w:rPr>
        <w:t>人</w:t>
      </w:r>
      <w:r>
        <w:t xml:space="preserve"> 民 币 （ 大 写 ）     （¥     元 ）；  </w:t>
      </w:r>
    </w:p>
    <w:p w14:paraId="79929142">
      <w:pPr>
        <w:pStyle w:val="17"/>
        <w:spacing w:before="10"/>
        <w:rPr>
          <w:sz w:val="9"/>
        </w:rPr>
      </w:pPr>
    </w:p>
    <w:p w14:paraId="38D8372F">
      <w:pPr>
        <w:pStyle w:val="317"/>
        <w:numPr>
          <w:ilvl w:val="0"/>
          <w:numId w:val="3"/>
        </w:numPr>
        <w:tabs>
          <w:tab w:val="left" w:pos="1109"/>
        </w:tabs>
        <w:spacing w:before="71"/>
        <w:ind w:hanging="528"/>
        <w:rPr>
          <w:sz w:val="21"/>
        </w:rPr>
      </w:pPr>
      <w:r>
        <w:rPr>
          <w:spacing w:val="-1"/>
          <w:sz w:val="21"/>
        </w:rPr>
        <w:t>材料和工程设备暂估价金额：</w:t>
      </w:r>
      <w:r>
        <w:rPr>
          <w:sz w:val="21"/>
        </w:rPr>
        <w:t xml:space="preserve"> </w:t>
      </w:r>
    </w:p>
    <w:p w14:paraId="7F776AD9">
      <w:pPr>
        <w:pStyle w:val="17"/>
        <w:spacing w:before="3"/>
        <w:rPr>
          <w:sz w:val="15"/>
        </w:rPr>
      </w:pPr>
    </w:p>
    <w:p w14:paraId="7C737F9D">
      <w:pPr>
        <w:pStyle w:val="17"/>
        <w:ind w:left="581"/>
      </w:pPr>
      <w:r>
        <w:t>人 民 币 （ 大 写 ）</w:t>
      </w:r>
      <w:r>
        <w:rPr>
          <w:u w:val="single"/>
        </w:rPr>
        <w:t xml:space="preserve"> </w:t>
      </w:r>
      <w:r>
        <w:rPr>
          <w:rFonts w:hint="eastAsia"/>
          <w:u w:val="single"/>
          <w:lang w:val="en-US"/>
        </w:rPr>
        <w:t xml:space="preserve">    </w:t>
      </w:r>
      <w:r>
        <w:t>（¥</w:t>
      </w:r>
      <w:r>
        <w:rPr>
          <w:u w:val="single"/>
        </w:rPr>
        <w:t xml:space="preserve"> </w:t>
      </w:r>
      <w:r>
        <w:rPr>
          <w:rFonts w:hint="eastAsia"/>
          <w:u w:val="single"/>
          <w:lang w:val="en-US"/>
        </w:rPr>
        <w:t xml:space="preserve">    </w:t>
      </w:r>
      <w:r>
        <w:t xml:space="preserve">元 ）； </w:t>
      </w:r>
    </w:p>
    <w:p w14:paraId="2169DAB1">
      <w:pPr>
        <w:pStyle w:val="17"/>
        <w:rPr>
          <w:sz w:val="11"/>
        </w:rPr>
      </w:pPr>
    </w:p>
    <w:p w14:paraId="67CE88A9">
      <w:pPr>
        <w:pStyle w:val="317"/>
        <w:numPr>
          <w:ilvl w:val="0"/>
          <w:numId w:val="3"/>
        </w:numPr>
        <w:tabs>
          <w:tab w:val="left" w:pos="1109"/>
        </w:tabs>
        <w:spacing w:before="71"/>
        <w:ind w:hanging="528"/>
        <w:rPr>
          <w:sz w:val="21"/>
        </w:rPr>
      </w:pPr>
      <w:r>
        <w:rPr>
          <w:sz w:val="21"/>
        </w:rPr>
        <w:t xml:space="preserve">专业工程暂估价金额： </w:t>
      </w:r>
    </w:p>
    <w:p w14:paraId="0A668374">
      <w:pPr>
        <w:pStyle w:val="17"/>
        <w:spacing w:before="4"/>
        <w:rPr>
          <w:sz w:val="15"/>
        </w:rPr>
      </w:pPr>
    </w:p>
    <w:p w14:paraId="236BD0F8">
      <w:pPr>
        <w:pStyle w:val="17"/>
        <w:ind w:left="581"/>
      </w:pPr>
      <w:r>
        <w:t>人 民 币 （ 大 写 ）</w:t>
      </w:r>
      <w:r>
        <w:rPr>
          <w:u w:val="single"/>
        </w:rPr>
        <w:t xml:space="preserve"> </w:t>
      </w:r>
      <w:r>
        <w:rPr>
          <w:rFonts w:hint="eastAsia"/>
          <w:u w:val="single"/>
          <w:lang w:val="en-US"/>
        </w:rPr>
        <w:t xml:space="preserve">    </w:t>
      </w:r>
      <w:r>
        <w:t>（¥</w:t>
      </w:r>
      <w:r>
        <w:rPr>
          <w:u w:val="single"/>
        </w:rPr>
        <w:t xml:space="preserve"> </w:t>
      </w:r>
      <w:r>
        <w:rPr>
          <w:rFonts w:hint="eastAsia"/>
          <w:u w:val="single"/>
          <w:lang w:val="en-US"/>
        </w:rPr>
        <w:t xml:space="preserve">   </w:t>
      </w:r>
      <w:r>
        <w:t xml:space="preserve">元 ）； </w:t>
      </w:r>
    </w:p>
    <w:p w14:paraId="50FA0042">
      <w:pPr>
        <w:pStyle w:val="17"/>
        <w:spacing w:before="11"/>
        <w:rPr>
          <w:sz w:val="9"/>
        </w:rPr>
      </w:pPr>
    </w:p>
    <w:p w14:paraId="7D19C548">
      <w:pPr>
        <w:pStyle w:val="317"/>
        <w:numPr>
          <w:ilvl w:val="0"/>
          <w:numId w:val="3"/>
        </w:numPr>
        <w:tabs>
          <w:tab w:val="left" w:pos="1109"/>
        </w:tabs>
        <w:spacing w:before="70"/>
        <w:ind w:hanging="528"/>
        <w:rPr>
          <w:sz w:val="21"/>
        </w:rPr>
      </w:pPr>
      <w:r>
        <w:rPr>
          <w:sz w:val="21"/>
        </w:rPr>
        <w:t xml:space="preserve">暂列金额： </w:t>
      </w:r>
    </w:p>
    <w:p w14:paraId="07DA23B3">
      <w:pPr>
        <w:pStyle w:val="17"/>
        <w:spacing w:before="4"/>
        <w:rPr>
          <w:sz w:val="15"/>
        </w:rPr>
      </w:pPr>
    </w:p>
    <w:p w14:paraId="5C0F033D">
      <w:pPr>
        <w:pStyle w:val="17"/>
        <w:spacing w:before="1"/>
        <w:ind w:left="581"/>
      </w:pPr>
      <w:r>
        <w:t>人 民 币 （ 大 写 ）</w:t>
      </w:r>
      <w:r>
        <w:rPr>
          <w:u w:val="single"/>
        </w:rPr>
        <w:t xml:space="preserve"> </w:t>
      </w:r>
      <w:r>
        <w:rPr>
          <w:rFonts w:hint="eastAsia"/>
          <w:u w:val="single"/>
          <w:lang w:val="en-US"/>
        </w:rPr>
        <w:t xml:space="preserve">   </w:t>
      </w:r>
      <w:r>
        <w:t>（¥</w:t>
      </w:r>
      <w:r>
        <w:rPr>
          <w:u w:val="single"/>
        </w:rPr>
        <w:t xml:space="preserve"> </w:t>
      </w:r>
      <w:r>
        <w:rPr>
          <w:rFonts w:hint="eastAsia"/>
          <w:u w:val="single"/>
          <w:lang w:val="en-US"/>
        </w:rPr>
        <w:t xml:space="preserve">   </w:t>
      </w:r>
      <w:r>
        <w:t xml:space="preserve">元 ） 。 </w:t>
      </w:r>
    </w:p>
    <w:p w14:paraId="23E9D38A">
      <w:pPr>
        <w:pStyle w:val="17"/>
        <w:spacing w:before="10"/>
        <w:rPr>
          <w:sz w:val="9"/>
        </w:rPr>
      </w:pPr>
    </w:p>
    <w:p w14:paraId="26BDE786">
      <w:pPr>
        <w:pStyle w:val="317"/>
        <w:numPr>
          <w:ilvl w:val="0"/>
          <w:numId w:val="3"/>
        </w:numPr>
        <w:tabs>
          <w:tab w:val="left" w:pos="1109"/>
        </w:tabs>
        <w:spacing w:before="71"/>
        <w:ind w:hanging="528"/>
        <w:rPr>
          <w:sz w:val="21"/>
        </w:rPr>
      </w:pPr>
      <w:r>
        <w:rPr>
          <w:sz w:val="21"/>
        </w:rPr>
        <w:t xml:space="preserve">人工费（工资款） </w:t>
      </w:r>
    </w:p>
    <w:p w14:paraId="34D25E37">
      <w:pPr>
        <w:pStyle w:val="17"/>
        <w:spacing w:before="5"/>
        <w:rPr>
          <w:sz w:val="16"/>
        </w:rPr>
      </w:pPr>
    </w:p>
    <w:p w14:paraId="30610E58">
      <w:pPr>
        <w:pStyle w:val="17"/>
        <w:spacing w:before="1" w:line="415" w:lineRule="auto"/>
        <w:ind w:left="161" w:right="1095" w:firstLine="420"/>
      </w:pPr>
      <w:r>
        <w:t>该项目实行人工费（工资款）与其他工程款分账管理，发包人将应付工程款中的人工费（工资款）， 以不低于已完成合同价款的</w:t>
      </w:r>
      <w:r>
        <w:rPr>
          <w:u w:val="single"/>
        </w:rPr>
        <w:t xml:space="preserve"> </w:t>
      </w:r>
      <w:r>
        <w:rPr>
          <w:rFonts w:hint="eastAsia"/>
          <w:u w:val="single"/>
          <w:lang w:val="en-US"/>
        </w:rPr>
        <w:t xml:space="preserve">    </w:t>
      </w:r>
      <w:r>
        <w:t>（不低于 25%，以设备采购为主的工程项目不受此限制），农民工工资</w:t>
      </w:r>
    </w:p>
    <w:p w14:paraId="00B5C894">
      <w:pPr>
        <w:pStyle w:val="17"/>
        <w:spacing w:line="415" w:lineRule="auto"/>
        <w:ind w:left="581" w:right="6247" w:hanging="421"/>
      </w:pPr>
      <w:r>
        <w:t>单独支付至承包人设立的农民工工资专用账户。3. 合 同 价 格 形 式 ：</w:t>
      </w:r>
      <w:r>
        <w:rPr>
          <w:u w:val="single"/>
        </w:rPr>
        <w:t xml:space="preserve"> </w:t>
      </w:r>
      <w:r>
        <w:rPr>
          <w:rFonts w:hint="eastAsia"/>
          <w:u w:val="single"/>
          <w:lang w:val="en-US"/>
        </w:rPr>
        <w:t xml:space="preserve">     </w:t>
      </w:r>
      <w:r>
        <w:t xml:space="preserve">。 </w:t>
      </w:r>
    </w:p>
    <w:p w14:paraId="0B00EA58">
      <w:pPr>
        <w:pStyle w:val="17"/>
        <w:spacing w:before="7"/>
        <w:rPr>
          <w:sz w:val="15"/>
        </w:rPr>
      </w:pPr>
    </w:p>
    <w:p w14:paraId="77A8BA89">
      <w:pPr>
        <w:pStyle w:val="3"/>
        <w:spacing w:before="3"/>
        <w:ind w:left="581" w:firstLine="0"/>
      </w:pPr>
      <w:r>
        <w:t>五、项目经理及技术负责人</w:t>
      </w:r>
      <w:r>
        <w:rPr>
          <w:w w:val="167"/>
        </w:rPr>
        <w:t xml:space="preserve"> </w:t>
      </w:r>
    </w:p>
    <w:p w14:paraId="3FF97656">
      <w:pPr>
        <w:pStyle w:val="17"/>
        <w:spacing w:before="4"/>
        <w:rPr>
          <w:rFonts w:ascii="微软雅黑"/>
          <w:b/>
          <w:sz w:val="24"/>
        </w:rPr>
      </w:pPr>
    </w:p>
    <w:p w14:paraId="30D8CFDF">
      <w:pPr>
        <w:pStyle w:val="17"/>
        <w:ind w:left="581"/>
      </w:pPr>
      <w:r>
        <w:t xml:space="preserve">承包人投标文件中承诺的项目经理： </w:t>
      </w:r>
    </w:p>
    <w:p w14:paraId="7A78936E">
      <w:pPr>
        <w:pStyle w:val="17"/>
        <w:spacing w:before="4"/>
        <w:rPr>
          <w:sz w:val="15"/>
        </w:rPr>
      </w:pPr>
    </w:p>
    <w:p w14:paraId="7BF5FFA5">
      <w:pPr>
        <w:pStyle w:val="17"/>
        <w:ind w:left="581"/>
      </w:pPr>
      <w:r>
        <w:t>姓 名 ：</w:t>
      </w:r>
      <w:r>
        <w:rPr>
          <w:u w:val="single"/>
        </w:rPr>
        <w:t xml:space="preserve"> </w:t>
      </w:r>
      <w:r>
        <w:rPr>
          <w:rFonts w:hint="eastAsia"/>
          <w:u w:val="single"/>
        </w:rPr>
        <w:t xml:space="preserve"> </w:t>
      </w:r>
      <w:r>
        <w:rPr>
          <w:u w:val="single"/>
        </w:rPr>
        <w:t xml:space="preserve">      </w:t>
      </w:r>
      <w:r>
        <w:t xml:space="preserve">， </w:t>
      </w:r>
    </w:p>
    <w:p w14:paraId="35D0DEA9">
      <w:pPr>
        <w:pStyle w:val="17"/>
        <w:spacing w:before="10"/>
        <w:rPr>
          <w:sz w:val="9"/>
        </w:rPr>
      </w:pPr>
    </w:p>
    <w:p w14:paraId="59B3C277">
      <w:pPr>
        <w:pStyle w:val="17"/>
        <w:spacing w:before="71"/>
        <w:ind w:left="581"/>
      </w:pPr>
      <w:r>
        <w:t>身 份 证 号 码 ：</w:t>
      </w:r>
      <w:r>
        <w:rPr>
          <w:u w:val="single"/>
        </w:rPr>
        <w:t xml:space="preserve">                     </w:t>
      </w:r>
      <w:r>
        <w:t xml:space="preserve">， </w:t>
      </w:r>
    </w:p>
    <w:p w14:paraId="4CC8A916">
      <w:pPr>
        <w:pStyle w:val="17"/>
        <w:rPr>
          <w:sz w:val="11"/>
        </w:rPr>
      </w:pPr>
    </w:p>
    <w:p w14:paraId="0108D345">
      <w:pPr>
        <w:pStyle w:val="17"/>
        <w:spacing w:before="71"/>
        <w:ind w:left="581"/>
      </w:pPr>
      <w:r>
        <w:t>建 造 师 注 册 证 书 号 ：</w:t>
      </w:r>
      <w:r>
        <w:rPr>
          <w:u w:val="single"/>
          <w:lang w:val="en-US"/>
        </w:rPr>
        <w:t xml:space="preserve">            </w:t>
      </w:r>
      <w:r>
        <w:t xml:space="preserve">。 </w:t>
      </w:r>
    </w:p>
    <w:p w14:paraId="6ECD19D5">
      <w:pPr>
        <w:pStyle w:val="17"/>
        <w:spacing w:before="10"/>
        <w:rPr>
          <w:sz w:val="9"/>
        </w:rPr>
      </w:pPr>
    </w:p>
    <w:p w14:paraId="6568B43D">
      <w:pPr>
        <w:pStyle w:val="17"/>
        <w:spacing w:before="71"/>
        <w:ind w:left="581"/>
      </w:pPr>
      <w:r>
        <w:t xml:space="preserve">承包人投标文件中承诺的技术负责人： </w:t>
      </w:r>
    </w:p>
    <w:p w14:paraId="287C58BF">
      <w:pPr>
        <w:pStyle w:val="17"/>
        <w:spacing w:before="4"/>
        <w:rPr>
          <w:sz w:val="15"/>
        </w:rPr>
      </w:pPr>
    </w:p>
    <w:p w14:paraId="505BAFC6">
      <w:pPr>
        <w:pStyle w:val="17"/>
        <w:ind w:left="581"/>
      </w:pPr>
      <w:r>
        <w:t>姓 名 ：</w:t>
      </w:r>
      <w:r>
        <w:rPr>
          <w:u w:val="single"/>
        </w:rPr>
        <w:t xml:space="preserve"> </w:t>
      </w:r>
      <w:r>
        <w:rPr>
          <w:rFonts w:hint="eastAsia"/>
          <w:u w:val="single"/>
        </w:rPr>
        <w:t xml:space="preserve"> </w:t>
      </w:r>
      <w:r>
        <w:rPr>
          <w:u w:val="single"/>
        </w:rPr>
        <w:t xml:space="preserve">      </w:t>
      </w:r>
      <w:r>
        <w:t xml:space="preserve">， </w:t>
      </w:r>
    </w:p>
    <w:p w14:paraId="42364E04">
      <w:pPr>
        <w:pStyle w:val="17"/>
        <w:spacing w:before="10"/>
        <w:rPr>
          <w:sz w:val="9"/>
        </w:rPr>
      </w:pPr>
    </w:p>
    <w:p w14:paraId="766E99B7">
      <w:pPr>
        <w:pStyle w:val="17"/>
        <w:spacing w:before="71"/>
        <w:ind w:left="581"/>
      </w:pPr>
      <w:r>
        <w:t>身 份 证 号 码 ：</w:t>
      </w:r>
      <w:r>
        <w:rPr>
          <w:u w:val="single"/>
        </w:rPr>
        <w:t xml:space="preserve">                     </w:t>
      </w:r>
      <w:r>
        <w:t xml:space="preserve">，  </w:t>
      </w:r>
    </w:p>
    <w:p w14:paraId="0ECE7A30">
      <w:pPr>
        <w:pStyle w:val="17"/>
        <w:spacing w:before="10"/>
        <w:rPr>
          <w:sz w:val="9"/>
        </w:rPr>
      </w:pPr>
    </w:p>
    <w:p w14:paraId="55A4C3EA">
      <w:pPr>
        <w:pStyle w:val="17"/>
        <w:spacing w:before="71"/>
        <w:ind w:left="161"/>
      </w:pPr>
      <w:r>
        <w:t xml:space="preserve">    证 书 名 称 及 号 码 ：</w:t>
      </w:r>
      <w:r>
        <w:rPr>
          <w:u w:val="single"/>
        </w:rPr>
        <w:t xml:space="preserve"> </w:t>
      </w:r>
      <w:r>
        <w:rPr>
          <w:u w:val="single"/>
          <w:lang w:val="en-US"/>
        </w:rPr>
        <w:t xml:space="preserve">            </w:t>
      </w:r>
      <w:r>
        <w:t xml:space="preserve">。 </w:t>
      </w:r>
    </w:p>
    <w:p w14:paraId="43913DE8">
      <w:pPr>
        <w:sectPr>
          <w:footerReference r:id="rId8" w:type="default"/>
          <w:pgSz w:w="11910" w:h="16850"/>
          <w:pgMar w:top="1440" w:right="1080" w:bottom="1440" w:left="1080" w:header="0" w:footer="996" w:gutter="0"/>
          <w:pgNumType w:start="1"/>
          <w:cols w:space="720" w:num="1"/>
        </w:sectPr>
      </w:pPr>
    </w:p>
    <w:p w14:paraId="6C5025C2">
      <w:pPr>
        <w:pStyle w:val="3"/>
        <w:spacing w:line="372" w:lineRule="exact"/>
      </w:pPr>
      <w:r>
        <w:t>六、合同文件构成</w:t>
      </w:r>
      <w:r>
        <w:rPr>
          <w:w w:val="167"/>
        </w:rPr>
        <w:t xml:space="preserve"> </w:t>
      </w:r>
    </w:p>
    <w:p w14:paraId="145A88CA">
      <w:pPr>
        <w:pStyle w:val="17"/>
        <w:spacing w:before="3"/>
        <w:rPr>
          <w:rFonts w:ascii="微软雅黑"/>
          <w:b/>
          <w:sz w:val="24"/>
        </w:rPr>
      </w:pPr>
    </w:p>
    <w:p w14:paraId="34FDBFF6">
      <w:pPr>
        <w:pStyle w:val="17"/>
        <w:ind w:left="746"/>
      </w:pPr>
      <w:r>
        <w:t xml:space="preserve">合同由以下文件构成： </w:t>
      </w:r>
    </w:p>
    <w:p w14:paraId="67DBA4C6">
      <w:pPr>
        <w:pStyle w:val="17"/>
        <w:spacing w:before="4"/>
        <w:rPr>
          <w:sz w:val="15"/>
        </w:rPr>
      </w:pPr>
    </w:p>
    <w:p w14:paraId="29B99FE0">
      <w:pPr>
        <w:pStyle w:val="317"/>
        <w:numPr>
          <w:ilvl w:val="1"/>
          <w:numId w:val="3"/>
        </w:numPr>
        <w:tabs>
          <w:tab w:val="left" w:pos="1274"/>
        </w:tabs>
        <w:ind w:hanging="528"/>
        <w:rPr>
          <w:sz w:val="21"/>
        </w:rPr>
      </w:pPr>
      <w:r>
        <w:rPr>
          <w:spacing w:val="-1"/>
          <w:sz w:val="21"/>
        </w:rPr>
        <w:t xml:space="preserve">合同协议书； </w:t>
      </w:r>
    </w:p>
    <w:p w14:paraId="57800B74">
      <w:pPr>
        <w:pStyle w:val="17"/>
        <w:spacing w:before="4"/>
        <w:rPr>
          <w:sz w:val="15"/>
        </w:rPr>
      </w:pPr>
    </w:p>
    <w:p w14:paraId="6E0D4B7D">
      <w:pPr>
        <w:pStyle w:val="317"/>
        <w:numPr>
          <w:ilvl w:val="1"/>
          <w:numId w:val="3"/>
        </w:numPr>
        <w:tabs>
          <w:tab w:val="left" w:pos="1274"/>
        </w:tabs>
        <w:ind w:hanging="528"/>
        <w:rPr>
          <w:sz w:val="21"/>
        </w:rPr>
      </w:pPr>
      <w:r>
        <w:rPr>
          <w:spacing w:val="-1"/>
          <w:sz w:val="21"/>
        </w:rPr>
        <w:t xml:space="preserve">中标通知书； </w:t>
      </w:r>
    </w:p>
    <w:p w14:paraId="0665AB73">
      <w:pPr>
        <w:pStyle w:val="17"/>
        <w:spacing w:before="4"/>
        <w:rPr>
          <w:sz w:val="15"/>
        </w:rPr>
      </w:pPr>
    </w:p>
    <w:p w14:paraId="04125E49">
      <w:pPr>
        <w:pStyle w:val="317"/>
        <w:numPr>
          <w:ilvl w:val="1"/>
          <w:numId w:val="3"/>
        </w:numPr>
        <w:tabs>
          <w:tab w:val="left" w:pos="1274"/>
        </w:tabs>
        <w:ind w:hanging="528"/>
        <w:rPr>
          <w:sz w:val="21"/>
        </w:rPr>
      </w:pPr>
      <w:r>
        <w:rPr>
          <w:sz w:val="21"/>
        </w:rPr>
        <w:t xml:space="preserve">投标函及投标函附录； </w:t>
      </w:r>
    </w:p>
    <w:p w14:paraId="291F1671">
      <w:pPr>
        <w:pStyle w:val="17"/>
        <w:spacing w:before="6"/>
        <w:rPr>
          <w:sz w:val="16"/>
        </w:rPr>
      </w:pPr>
    </w:p>
    <w:p w14:paraId="20B0AB86">
      <w:pPr>
        <w:pStyle w:val="317"/>
        <w:numPr>
          <w:ilvl w:val="1"/>
          <w:numId w:val="3"/>
        </w:numPr>
        <w:tabs>
          <w:tab w:val="left" w:pos="1274"/>
        </w:tabs>
        <w:ind w:hanging="528"/>
        <w:rPr>
          <w:sz w:val="21"/>
        </w:rPr>
      </w:pPr>
      <w:r>
        <w:rPr>
          <w:sz w:val="21"/>
        </w:rPr>
        <w:t xml:space="preserve">专用合同条款及其附件； </w:t>
      </w:r>
    </w:p>
    <w:p w14:paraId="244E6EAF">
      <w:pPr>
        <w:pStyle w:val="17"/>
        <w:spacing w:before="5"/>
        <w:rPr>
          <w:sz w:val="15"/>
        </w:rPr>
      </w:pPr>
    </w:p>
    <w:p w14:paraId="5775590E">
      <w:pPr>
        <w:pStyle w:val="317"/>
        <w:numPr>
          <w:ilvl w:val="1"/>
          <w:numId w:val="3"/>
        </w:numPr>
        <w:tabs>
          <w:tab w:val="left" w:pos="1274"/>
        </w:tabs>
        <w:ind w:hanging="528"/>
        <w:rPr>
          <w:sz w:val="21"/>
        </w:rPr>
      </w:pPr>
      <w:r>
        <w:rPr>
          <w:sz w:val="21"/>
        </w:rPr>
        <w:t xml:space="preserve">通用合同条款； </w:t>
      </w:r>
    </w:p>
    <w:p w14:paraId="5C3C20F6">
      <w:pPr>
        <w:pStyle w:val="17"/>
        <w:spacing w:before="4"/>
        <w:rPr>
          <w:sz w:val="15"/>
        </w:rPr>
      </w:pPr>
    </w:p>
    <w:p w14:paraId="1DEBD9C0">
      <w:pPr>
        <w:pStyle w:val="317"/>
        <w:numPr>
          <w:ilvl w:val="1"/>
          <w:numId w:val="3"/>
        </w:numPr>
        <w:tabs>
          <w:tab w:val="left" w:pos="1274"/>
        </w:tabs>
        <w:ind w:hanging="528"/>
        <w:rPr>
          <w:sz w:val="21"/>
        </w:rPr>
      </w:pPr>
      <w:r>
        <w:rPr>
          <w:sz w:val="21"/>
        </w:rPr>
        <w:t xml:space="preserve">投标文件（投标函及投标函附录除外）； </w:t>
      </w:r>
    </w:p>
    <w:p w14:paraId="1D752448">
      <w:pPr>
        <w:pStyle w:val="17"/>
        <w:spacing w:before="4"/>
        <w:rPr>
          <w:sz w:val="15"/>
        </w:rPr>
      </w:pPr>
    </w:p>
    <w:p w14:paraId="4421BE82">
      <w:pPr>
        <w:pStyle w:val="317"/>
        <w:numPr>
          <w:ilvl w:val="1"/>
          <w:numId w:val="3"/>
        </w:numPr>
        <w:tabs>
          <w:tab w:val="left" w:pos="1274"/>
        </w:tabs>
        <w:ind w:hanging="528"/>
        <w:rPr>
          <w:sz w:val="21"/>
        </w:rPr>
      </w:pPr>
      <w:r>
        <w:rPr>
          <w:sz w:val="21"/>
        </w:rPr>
        <w:t xml:space="preserve">招标文件及修改文件； </w:t>
      </w:r>
    </w:p>
    <w:p w14:paraId="45BC036A">
      <w:pPr>
        <w:pStyle w:val="17"/>
        <w:spacing w:before="4"/>
        <w:rPr>
          <w:sz w:val="15"/>
        </w:rPr>
      </w:pPr>
    </w:p>
    <w:p w14:paraId="2EA2D7F3">
      <w:pPr>
        <w:pStyle w:val="317"/>
        <w:numPr>
          <w:ilvl w:val="1"/>
          <w:numId w:val="3"/>
        </w:numPr>
        <w:tabs>
          <w:tab w:val="left" w:pos="1274"/>
        </w:tabs>
        <w:spacing w:before="1"/>
        <w:ind w:hanging="528"/>
        <w:rPr>
          <w:sz w:val="21"/>
        </w:rPr>
      </w:pPr>
      <w:r>
        <w:rPr>
          <w:sz w:val="21"/>
        </w:rPr>
        <w:t xml:space="preserve">技术标准和要求； </w:t>
      </w:r>
    </w:p>
    <w:p w14:paraId="4271B5AA">
      <w:pPr>
        <w:pStyle w:val="17"/>
        <w:spacing w:before="6"/>
        <w:rPr>
          <w:sz w:val="16"/>
        </w:rPr>
      </w:pPr>
    </w:p>
    <w:p w14:paraId="484DB304">
      <w:pPr>
        <w:pStyle w:val="317"/>
        <w:numPr>
          <w:ilvl w:val="1"/>
          <w:numId w:val="3"/>
        </w:numPr>
        <w:tabs>
          <w:tab w:val="left" w:pos="1274"/>
        </w:tabs>
        <w:ind w:hanging="528"/>
        <w:rPr>
          <w:sz w:val="21"/>
        </w:rPr>
      </w:pPr>
      <w:r>
        <w:rPr>
          <w:sz w:val="21"/>
        </w:rPr>
        <w:t xml:space="preserve">图纸； </w:t>
      </w:r>
    </w:p>
    <w:p w14:paraId="7E44B6BD">
      <w:pPr>
        <w:pStyle w:val="17"/>
        <w:spacing w:before="3"/>
        <w:rPr>
          <w:sz w:val="15"/>
        </w:rPr>
      </w:pPr>
    </w:p>
    <w:p w14:paraId="5BEA4164">
      <w:pPr>
        <w:pStyle w:val="317"/>
        <w:numPr>
          <w:ilvl w:val="1"/>
          <w:numId w:val="3"/>
        </w:numPr>
        <w:tabs>
          <w:tab w:val="left" w:pos="1379"/>
        </w:tabs>
        <w:spacing w:before="1"/>
        <w:ind w:left="1378" w:hanging="633"/>
        <w:rPr>
          <w:sz w:val="21"/>
        </w:rPr>
      </w:pPr>
      <w:r>
        <w:rPr>
          <w:sz w:val="21"/>
        </w:rPr>
        <w:t xml:space="preserve">其他合同文件。 </w:t>
      </w:r>
    </w:p>
    <w:p w14:paraId="3F3A51D4">
      <w:pPr>
        <w:pStyle w:val="17"/>
        <w:spacing w:before="4"/>
        <w:rPr>
          <w:sz w:val="15"/>
        </w:rPr>
      </w:pPr>
    </w:p>
    <w:p w14:paraId="6E3DF03B">
      <w:pPr>
        <w:pStyle w:val="17"/>
        <w:ind w:left="746"/>
      </w:pPr>
      <w:r>
        <w:t xml:space="preserve">在合同订立、履行过程中形成的与合同有关的书面形式的文件均构成合同文件组成部分。 </w:t>
      </w:r>
    </w:p>
    <w:p w14:paraId="5D6F1B1A">
      <w:pPr>
        <w:pStyle w:val="17"/>
        <w:spacing w:before="4"/>
        <w:rPr>
          <w:sz w:val="15"/>
        </w:rPr>
      </w:pPr>
    </w:p>
    <w:p w14:paraId="1851D85A">
      <w:pPr>
        <w:pStyle w:val="17"/>
        <w:spacing w:line="415" w:lineRule="auto"/>
        <w:ind w:left="326" w:right="1138" w:firstLine="420"/>
      </w:pPr>
      <w:r>
        <w:t xml:space="preserve">上述各项合同文件包括合同当事人就该项合同文件所作出的补充和修改，属于同一类内容的文件， 应以最新签署的为准。专用合同条款及其附件须经合同当事人签字或盖章。 </w:t>
      </w:r>
    </w:p>
    <w:p w14:paraId="4FF6470D">
      <w:pPr>
        <w:pStyle w:val="17"/>
        <w:rPr>
          <w:sz w:val="17"/>
        </w:rPr>
      </w:pPr>
    </w:p>
    <w:p w14:paraId="07003D68">
      <w:pPr>
        <w:pStyle w:val="3"/>
        <w:ind w:left="746" w:firstLine="0"/>
      </w:pPr>
      <w:r>
        <w:t>七、承诺</w:t>
      </w:r>
      <w:r>
        <w:rPr>
          <w:w w:val="167"/>
        </w:rPr>
        <w:t xml:space="preserve"> </w:t>
      </w:r>
    </w:p>
    <w:p w14:paraId="57663C64">
      <w:pPr>
        <w:pStyle w:val="17"/>
        <w:spacing w:before="7"/>
        <w:rPr>
          <w:rFonts w:ascii="微软雅黑"/>
          <w:b/>
          <w:sz w:val="23"/>
        </w:rPr>
      </w:pPr>
    </w:p>
    <w:p w14:paraId="4C997EE1">
      <w:pPr>
        <w:pStyle w:val="317"/>
        <w:numPr>
          <w:ilvl w:val="0"/>
          <w:numId w:val="4"/>
        </w:numPr>
        <w:tabs>
          <w:tab w:val="left" w:pos="958"/>
        </w:tabs>
        <w:spacing w:line="415" w:lineRule="auto"/>
        <w:ind w:right="1129" w:firstLine="420"/>
        <w:rPr>
          <w:sz w:val="21"/>
        </w:rPr>
      </w:pPr>
      <w:r>
        <w:rPr>
          <w:sz w:val="21"/>
        </w:rPr>
        <w:t xml:space="preserve">发包人承诺按照法律规定履行项目审批手续、筹集工程建设资金并按照合同约定的期限和方式支付合同价款。 </w:t>
      </w:r>
    </w:p>
    <w:p w14:paraId="63E7AC93">
      <w:pPr>
        <w:pStyle w:val="317"/>
        <w:numPr>
          <w:ilvl w:val="0"/>
          <w:numId w:val="4"/>
        </w:numPr>
        <w:tabs>
          <w:tab w:val="left" w:pos="958"/>
        </w:tabs>
        <w:spacing w:before="15" w:line="415" w:lineRule="auto"/>
        <w:ind w:right="1129" w:firstLine="420"/>
        <w:rPr>
          <w:sz w:val="21"/>
        </w:rPr>
      </w:pPr>
      <w:r>
        <w:rPr>
          <w:sz w:val="21"/>
        </w:rPr>
        <w:t>承包人承诺按照法律规定及合同约定组织完成工程施工，确保工程质量和安全，不进行转包及违</w:t>
      </w:r>
      <w:r>
        <w:rPr>
          <w:spacing w:val="-1"/>
          <w:sz w:val="21"/>
        </w:rPr>
        <w:t xml:space="preserve">法分包，并在缺陷责任期及保修期内承担相应的工程维修责任。 </w:t>
      </w:r>
    </w:p>
    <w:p w14:paraId="25143B01">
      <w:pPr>
        <w:pStyle w:val="317"/>
        <w:numPr>
          <w:ilvl w:val="0"/>
          <w:numId w:val="4"/>
        </w:numPr>
        <w:tabs>
          <w:tab w:val="left" w:pos="958"/>
        </w:tabs>
        <w:spacing w:line="415" w:lineRule="auto"/>
        <w:ind w:right="1129" w:firstLine="420"/>
        <w:rPr>
          <w:sz w:val="21"/>
        </w:rPr>
      </w:pPr>
      <w:r>
        <w:rPr>
          <w:sz w:val="21"/>
        </w:rPr>
        <w:t xml:space="preserve">发包人和承包人通过招投标形式签订合同的，双方理解并承诺不再就同一工程另行签订与合同实质性内容相背离的协议。 </w:t>
      </w:r>
    </w:p>
    <w:p w14:paraId="429B3036">
      <w:pPr>
        <w:pStyle w:val="17"/>
        <w:spacing w:before="11"/>
        <w:rPr>
          <w:sz w:val="15"/>
        </w:rPr>
      </w:pPr>
    </w:p>
    <w:p w14:paraId="2F8CA906">
      <w:pPr>
        <w:pStyle w:val="3"/>
        <w:ind w:left="746" w:firstLine="0"/>
      </w:pPr>
      <w:r>
        <w:rPr>
          <w:spacing w:val="6"/>
        </w:rPr>
        <w:t>八、词语含义</w:t>
      </w:r>
      <w:r>
        <w:rPr>
          <w:spacing w:val="6"/>
          <w:w w:val="167"/>
        </w:rPr>
        <w:t xml:space="preserve"> </w:t>
      </w:r>
    </w:p>
    <w:p w14:paraId="5DB67409">
      <w:pPr>
        <w:pStyle w:val="17"/>
        <w:spacing w:before="66" w:line="736" w:lineRule="exact"/>
        <w:ind w:left="746" w:right="3347"/>
        <w:rPr>
          <w:rFonts w:ascii="微软雅黑" w:eastAsia="微软雅黑"/>
          <w:b/>
        </w:rPr>
      </w:pPr>
      <w:r>
        <w:rPr>
          <w:spacing w:val="-1"/>
        </w:rPr>
        <w:t>本协议书中词语含义与专用合同条款及通用合同条款中赋予的含义相同。</w:t>
      </w:r>
      <w:r>
        <w:rPr>
          <w:rFonts w:hint="eastAsia" w:ascii="微软雅黑" w:eastAsia="微软雅黑"/>
          <w:b/>
          <w:spacing w:val="6"/>
        </w:rPr>
        <w:t>九、签订时间</w:t>
      </w:r>
      <w:r>
        <w:rPr>
          <w:rFonts w:hint="eastAsia" w:ascii="微软雅黑" w:eastAsia="微软雅黑"/>
          <w:b/>
          <w:spacing w:val="6"/>
          <w:w w:val="167"/>
        </w:rPr>
        <w:t xml:space="preserve"> </w:t>
      </w:r>
    </w:p>
    <w:p w14:paraId="1DA5AA41">
      <w:pPr>
        <w:pStyle w:val="17"/>
        <w:spacing w:before="3"/>
        <w:rPr>
          <w:rFonts w:ascii="微软雅黑"/>
          <w:b/>
          <w:sz w:val="22"/>
        </w:rPr>
      </w:pPr>
    </w:p>
    <w:p w14:paraId="6CE1DCB8">
      <w:pPr>
        <w:pStyle w:val="17"/>
        <w:ind w:left="746"/>
      </w:pPr>
      <w:r>
        <w:t>合同于</w:t>
      </w:r>
      <w:r>
        <w:rPr>
          <w:rFonts w:hint="eastAsia"/>
          <w:lang w:val="en-US"/>
        </w:rPr>
        <w:t xml:space="preserve"> </w:t>
      </w:r>
      <w:r>
        <w:rPr>
          <w:rFonts w:hint="eastAsia"/>
          <w:u w:val="single"/>
          <w:lang w:val="en-US"/>
        </w:rPr>
        <w:t xml:space="preserve">   </w:t>
      </w:r>
      <w:r>
        <w:rPr>
          <w:u w:val="single"/>
        </w:rPr>
        <w:t xml:space="preserve"> </w:t>
      </w:r>
      <w:r>
        <w:t>年</w:t>
      </w:r>
      <w:r>
        <w:rPr>
          <w:u w:val="single"/>
        </w:rPr>
        <w:t xml:space="preserve"> </w:t>
      </w:r>
      <w:r>
        <w:rPr>
          <w:rFonts w:hint="eastAsia"/>
          <w:u w:val="single"/>
          <w:lang w:val="en-US"/>
        </w:rPr>
        <w:t xml:space="preserve">    </w:t>
      </w:r>
      <w:r>
        <w:t>月</w:t>
      </w:r>
      <w:r>
        <w:rPr>
          <w:rFonts w:hint="eastAsia"/>
          <w:u w:val="single"/>
          <w:lang w:val="en-US"/>
        </w:rPr>
        <w:t xml:space="preserve">    </w:t>
      </w:r>
      <w:r>
        <w:rPr>
          <w:u w:val="single"/>
        </w:rPr>
        <w:t xml:space="preserve"> </w:t>
      </w:r>
      <w:r>
        <w:t xml:space="preserve">日签订 </w:t>
      </w:r>
    </w:p>
    <w:p w14:paraId="065F0306">
      <w:pPr>
        <w:sectPr>
          <w:pgSz w:w="11910" w:h="16850"/>
          <w:pgMar w:top="1440" w:right="1080" w:bottom="1440" w:left="1080" w:header="0" w:footer="996" w:gutter="0"/>
          <w:cols w:space="720" w:num="1"/>
        </w:sectPr>
      </w:pPr>
    </w:p>
    <w:p w14:paraId="4F47EBDD">
      <w:pPr>
        <w:pStyle w:val="3"/>
        <w:spacing w:line="372" w:lineRule="exact"/>
        <w:ind w:left="581" w:firstLine="0"/>
      </w:pPr>
      <w:r>
        <w:t>十、签订地点</w:t>
      </w:r>
      <w:r>
        <w:rPr>
          <w:w w:val="167"/>
        </w:rPr>
        <w:t xml:space="preserve"> </w:t>
      </w:r>
    </w:p>
    <w:p w14:paraId="22348073">
      <w:pPr>
        <w:pStyle w:val="17"/>
        <w:spacing w:before="3"/>
        <w:rPr>
          <w:rFonts w:ascii="微软雅黑"/>
          <w:b/>
          <w:sz w:val="24"/>
        </w:rPr>
      </w:pPr>
    </w:p>
    <w:p w14:paraId="274F4A3E">
      <w:pPr>
        <w:pStyle w:val="17"/>
        <w:ind w:left="581"/>
      </w:pPr>
      <w:r>
        <w:t>合 同 在</w:t>
      </w:r>
      <w:r>
        <w:rPr>
          <w:rFonts w:hint="eastAsia"/>
          <w:u w:val="single"/>
          <w:lang w:val="en-US"/>
        </w:rPr>
        <w:t xml:space="preserve">         </w:t>
      </w:r>
      <w:r>
        <w:rPr>
          <w:u w:val="single"/>
        </w:rPr>
        <w:t xml:space="preserve"> </w:t>
      </w:r>
      <w:r>
        <w:t xml:space="preserve">签 订 。 </w:t>
      </w:r>
    </w:p>
    <w:p w14:paraId="4D8C44B4">
      <w:pPr>
        <w:pStyle w:val="17"/>
        <w:rPr>
          <w:sz w:val="20"/>
        </w:rPr>
      </w:pPr>
    </w:p>
    <w:p w14:paraId="3ACE97FD">
      <w:pPr>
        <w:pStyle w:val="3"/>
        <w:spacing w:before="143"/>
        <w:ind w:left="581" w:firstLine="0"/>
      </w:pPr>
      <w:r>
        <w:rPr>
          <w:spacing w:val="5"/>
        </w:rPr>
        <w:t>十一、补充协议</w:t>
      </w:r>
      <w:r>
        <w:rPr>
          <w:spacing w:val="5"/>
          <w:w w:val="167"/>
        </w:rPr>
        <w:t xml:space="preserve"> </w:t>
      </w:r>
    </w:p>
    <w:p w14:paraId="7CF75B35">
      <w:pPr>
        <w:pStyle w:val="17"/>
        <w:spacing w:before="67" w:line="736" w:lineRule="exact"/>
        <w:ind w:left="581" w:right="3093"/>
        <w:rPr>
          <w:rFonts w:ascii="微软雅黑" w:eastAsia="微软雅黑"/>
          <w:b/>
        </w:rPr>
      </w:pPr>
      <w:r>
        <w:rPr>
          <w:spacing w:val="-1"/>
        </w:rPr>
        <w:t>合同未尽事宜，合同当事人另行签订补充协议，补充协议是合同的组成部分。</w:t>
      </w:r>
      <w:r>
        <w:rPr>
          <w:rFonts w:hint="eastAsia" w:ascii="微软雅黑" w:eastAsia="微软雅黑"/>
          <w:b/>
          <w:spacing w:val="5"/>
        </w:rPr>
        <w:t>十二、合同生效</w:t>
      </w:r>
      <w:r>
        <w:rPr>
          <w:rFonts w:hint="eastAsia" w:ascii="微软雅黑" w:eastAsia="微软雅黑"/>
          <w:b/>
          <w:spacing w:val="5"/>
          <w:w w:val="167"/>
        </w:rPr>
        <w:t xml:space="preserve"> </w:t>
      </w:r>
    </w:p>
    <w:p w14:paraId="20D7FB8C">
      <w:pPr>
        <w:pStyle w:val="17"/>
        <w:spacing w:before="6"/>
        <w:rPr>
          <w:rFonts w:ascii="微软雅黑"/>
          <w:b/>
        </w:rPr>
      </w:pPr>
    </w:p>
    <w:p w14:paraId="1A117D5F">
      <w:pPr>
        <w:pStyle w:val="17"/>
        <w:ind w:left="581"/>
      </w:pPr>
      <w:r>
        <w:t xml:space="preserve">合同在以下条件全部满足之后生效： </w:t>
      </w:r>
    </w:p>
    <w:p w14:paraId="68C30275">
      <w:pPr>
        <w:pStyle w:val="17"/>
        <w:spacing w:before="4"/>
        <w:rPr>
          <w:sz w:val="15"/>
        </w:rPr>
      </w:pPr>
    </w:p>
    <w:p w14:paraId="7877C357">
      <w:pPr>
        <w:pStyle w:val="17"/>
        <w:ind w:left="581"/>
      </w:pPr>
      <w:r>
        <w:t xml:space="preserve">1.合同经双方法定代表人或其委托代理人签字并加盖公章或合同专用章； </w:t>
      </w:r>
    </w:p>
    <w:p w14:paraId="20158E2F">
      <w:pPr>
        <w:pStyle w:val="17"/>
        <w:spacing w:before="6"/>
        <w:rPr>
          <w:sz w:val="16"/>
        </w:rPr>
      </w:pPr>
    </w:p>
    <w:p w14:paraId="77184103">
      <w:pPr>
        <w:pStyle w:val="17"/>
        <w:spacing w:before="1"/>
        <w:ind w:left="581"/>
      </w:pPr>
      <w:r>
        <w:t>2.</w:t>
      </w:r>
      <w:r>
        <w:rPr>
          <w:u w:val="single"/>
        </w:rPr>
        <w:t xml:space="preserve"> </w:t>
      </w:r>
      <w:r>
        <w:t xml:space="preserve">。 </w:t>
      </w:r>
    </w:p>
    <w:p w14:paraId="581B5F2F">
      <w:pPr>
        <w:pStyle w:val="17"/>
        <w:rPr>
          <w:sz w:val="20"/>
        </w:rPr>
      </w:pPr>
    </w:p>
    <w:p w14:paraId="28D456B2">
      <w:pPr>
        <w:pStyle w:val="3"/>
        <w:spacing w:before="143"/>
        <w:ind w:left="581" w:firstLine="0"/>
      </w:pPr>
      <w:r>
        <w:t>十三、合同份数</w:t>
      </w:r>
      <w:r>
        <w:rPr>
          <w:w w:val="167"/>
        </w:rPr>
        <w:t xml:space="preserve"> </w:t>
      </w:r>
    </w:p>
    <w:p w14:paraId="5AD06CCD">
      <w:pPr>
        <w:pStyle w:val="17"/>
        <w:spacing w:before="6"/>
        <w:rPr>
          <w:rFonts w:ascii="微软雅黑"/>
          <w:b/>
          <w:sz w:val="23"/>
        </w:rPr>
      </w:pPr>
    </w:p>
    <w:p w14:paraId="539A11AF">
      <w:pPr>
        <w:pStyle w:val="17"/>
        <w:spacing w:before="1"/>
        <w:ind w:left="581"/>
      </w:pPr>
      <w:r>
        <w:t>合同一式</w:t>
      </w:r>
      <w:r>
        <w:rPr>
          <w:spacing w:val="104"/>
          <w:u w:val="single"/>
        </w:rPr>
        <w:t xml:space="preserve"> </w:t>
      </w:r>
      <w:r>
        <w:rPr>
          <w:spacing w:val="-4"/>
        </w:rPr>
        <w:t>份，其中正本</w:t>
      </w:r>
      <w:r>
        <w:rPr>
          <w:u w:val="single"/>
        </w:rPr>
        <w:t xml:space="preserve">  </w:t>
      </w:r>
      <w:r>
        <w:rPr>
          <w:spacing w:val="-4"/>
        </w:rPr>
        <w:t>份，双方各持</w:t>
      </w:r>
      <w:r>
        <w:rPr>
          <w:u w:val="single"/>
        </w:rPr>
        <w:t xml:space="preserve">  </w:t>
      </w:r>
      <w:r>
        <w:rPr>
          <w:spacing w:val="-5"/>
        </w:rPr>
        <w:t>份，副本</w:t>
      </w:r>
      <w:r>
        <w:rPr>
          <w:u w:val="single"/>
        </w:rPr>
        <w:t xml:space="preserve">  </w:t>
      </w:r>
      <w:r>
        <w:rPr>
          <w:spacing w:val="-4"/>
        </w:rPr>
        <w:t>份，双方各执</w:t>
      </w:r>
      <w:r>
        <w:rPr>
          <w:u w:val="single"/>
        </w:rPr>
        <w:t xml:space="preserve">  </w:t>
      </w:r>
      <w:r>
        <w:rPr>
          <w:spacing w:val="-4"/>
        </w:rPr>
        <w:t>份。副本与正本</w:t>
      </w:r>
    </w:p>
    <w:p w14:paraId="472D2C32">
      <w:pPr>
        <w:pStyle w:val="17"/>
        <w:spacing w:before="12"/>
        <w:rPr>
          <w:sz w:val="10"/>
        </w:rPr>
      </w:pPr>
    </w:p>
    <w:p w14:paraId="1A035851">
      <w:pPr>
        <w:pStyle w:val="17"/>
        <w:spacing w:before="70"/>
        <w:ind w:left="161"/>
      </w:pPr>
      <w:r>
        <w:t xml:space="preserve">不一致时，以正本为准。 </w:t>
      </w:r>
    </w:p>
    <w:p w14:paraId="1728989A">
      <w:pPr>
        <w:pStyle w:val="17"/>
        <w:spacing w:before="2"/>
        <w:rPr>
          <w:sz w:val="26"/>
        </w:rPr>
      </w:pPr>
    </w:p>
    <w:p w14:paraId="25697490">
      <w:pPr>
        <w:pStyle w:val="17"/>
        <w:spacing w:before="71"/>
        <w:ind w:left="581"/>
      </w:pPr>
      <w:r>
        <w:t xml:space="preserve">（以下为签字盖章页）。 </w:t>
      </w:r>
    </w:p>
    <w:p w14:paraId="5955371B">
      <w:pPr>
        <w:pStyle w:val="17"/>
        <w:rPr>
          <w:sz w:val="20"/>
        </w:rPr>
      </w:pPr>
    </w:p>
    <w:p w14:paraId="215D8998">
      <w:pPr>
        <w:pStyle w:val="17"/>
        <w:spacing w:before="5"/>
        <w:rPr>
          <w:sz w:val="22"/>
        </w:rPr>
      </w:pPr>
    </w:p>
    <w:p w14:paraId="468B8536">
      <w:pPr>
        <w:pStyle w:val="17"/>
        <w:spacing w:before="70"/>
        <w:ind w:left="581"/>
      </w:pPr>
      <w:r>
        <w:t>发 包 人 ：</w:t>
      </w:r>
      <w:r>
        <w:rPr>
          <w:rFonts w:hint="eastAsia"/>
          <w:color w:val="000000"/>
          <w:u w:val="single"/>
        </w:rPr>
        <w:t>重庆经开区开发建设有限公司</w:t>
      </w:r>
      <w:r>
        <w:t xml:space="preserve">（ 公 章 或 合 同 专 用 章 ） </w:t>
      </w:r>
    </w:p>
    <w:p w14:paraId="49D4CECB">
      <w:pPr>
        <w:pStyle w:val="17"/>
        <w:spacing w:before="11"/>
        <w:rPr>
          <w:sz w:val="9"/>
        </w:rPr>
      </w:pPr>
    </w:p>
    <w:p w14:paraId="50ECFA24">
      <w:pPr>
        <w:pStyle w:val="17"/>
        <w:spacing w:before="71"/>
        <w:ind w:left="581"/>
      </w:pPr>
      <w:r>
        <w:rPr>
          <w:spacing w:val="-1"/>
        </w:rPr>
        <w:t>法定代表人或其委托代理人：</w:t>
      </w:r>
      <w:r>
        <w:rPr>
          <w:rFonts w:hint="eastAsia"/>
          <w:spacing w:val="-1"/>
          <w:u w:val="single"/>
          <w:lang w:val="en-US"/>
        </w:rPr>
        <w:t xml:space="preserve">         </w:t>
      </w:r>
      <w:r>
        <w:rPr>
          <w:spacing w:val="57"/>
          <w:u w:val="single"/>
        </w:rPr>
        <w:t xml:space="preserve"> </w:t>
      </w:r>
      <w:r>
        <w:t xml:space="preserve">（签字） </w:t>
      </w:r>
    </w:p>
    <w:p w14:paraId="3C2D42CF">
      <w:pPr>
        <w:pStyle w:val="17"/>
        <w:spacing w:before="10"/>
        <w:rPr>
          <w:sz w:val="9"/>
        </w:rPr>
      </w:pPr>
    </w:p>
    <w:p w14:paraId="4D15E708">
      <w:pPr>
        <w:pStyle w:val="17"/>
        <w:spacing w:before="71"/>
        <w:ind w:left="581"/>
      </w:pPr>
      <w:r>
        <w:t>统一社会信用代码：</w:t>
      </w:r>
      <w:r>
        <w:rPr>
          <w:w w:val="200"/>
          <w:u w:val="single"/>
        </w:rPr>
        <w:t xml:space="preserve"> </w:t>
      </w:r>
      <w:r>
        <w:rPr>
          <w:u w:val="single"/>
        </w:rPr>
        <w:t xml:space="preserve">                          </w:t>
      </w:r>
      <w:r>
        <w:t xml:space="preserve"> </w:t>
      </w:r>
    </w:p>
    <w:p w14:paraId="6BAEF0DB">
      <w:pPr>
        <w:pStyle w:val="17"/>
        <w:spacing w:before="10"/>
        <w:rPr>
          <w:sz w:val="9"/>
        </w:rPr>
      </w:pPr>
    </w:p>
    <w:p w14:paraId="0938353D">
      <w:pPr>
        <w:pStyle w:val="17"/>
        <w:spacing w:before="71"/>
        <w:ind w:left="581"/>
      </w:pPr>
      <w:r>
        <w:t>纳税人识别号：</w:t>
      </w:r>
      <w:r>
        <w:rPr>
          <w:w w:val="200"/>
          <w:u w:val="single"/>
        </w:rPr>
        <w:t xml:space="preserve"> </w:t>
      </w:r>
      <w:r>
        <w:rPr>
          <w:u w:val="single"/>
        </w:rPr>
        <w:t xml:space="preserve">                              </w:t>
      </w:r>
      <w:r>
        <w:t xml:space="preserve"> </w:t>
      </w:r>
    </w:p>
    <w:p w14:paraId="18FACA14">
      <w:pPr>
        <w:pStyle w:val="17"/>
        <w:spacing w:before="10"/>
        <w:rPr>
          <w:sz w:val="9"/>
        </w:rPr>
      </w:pPr>
    </w:p>
    <w:p w14:paraId="6A0F7CD2">
      <w:pPr>
        <w:pStyle w:val="17"/>
        <w:spacing w:before="71"/>
        <w:ind w:left="581"/>
      </w:pPr>
      <w:r>
        <w:t>地   址 ：</w:t>
      </w:r>
      <w:r>
        <w:rPr>
          <w:w w:val="200"/>
          <w:u w:val="single"/>
        </w:rPr>
        <w:t xml:space="preserve"> </w:t>
      </w:r>
      <w:r>
        <w:rPr>
          <w:u w:val="single"/>
        </w:rPr>
        <w:t xml:space="preserve">                                 </w:t>
      </w:r>
      <w:r>
        <w:rPr>
          <w:spacing w:val="4"/>
          <w:u w:val="single"/>
        </w:rPr>
        <w:t xml:space="preserve"> </w:t>
      </w:r>
      <w:r>
        <w:t xml:space="preserve"> </w:t>
      </w:r>
    </w:p>
    <w:p w14:paraId="2EA40643">
      <w:pPr>
        <w:pStyle w:val="17"/>
        <w:rPr>
          <w:sz w:val="11"/>
        </w:rPr>
      </w:pPr>
    </w:p>
    <w:p w14:paraId="40CAC1D0">
      <w:pPr>
        <w:pStyle w:val="17"/>
        <w:spacing w:before="70"/>
        <w:ind w:left="581"/>
      </w:pPr>
      <w:r>
        <w:t>电   话 ：</w:t>
      </w:r>
      <w:r>
        <w:rPr>
          <w:w w:val="200"/>
          <w:u w:val="single"/>
        </w:rPr>
        <w:t xml:space="preserve"> </w:t>
      </w:r>
      <w:r>
        <w:rPr>
          <w:u w:val="single"/>
        </w:rPr>
        <w:t xml:space="preserve">                              </w:t>
      </w:r>
      <w:r>
        <w:rPr>
          <w:spacing w:val="4"/>
          <w:u w:val="single"/>
        </w:rPr>
        <w:t xml:space="preserve"> </w:t>
      </w:r>
      <w:r>
        <w:rPr>
          <w:u w:val="single"/>
        </w:rPr>
        <w:t xml:space="preserve">   </w:t>
      </w:r>
      <w:r>
        <w:t xml:space="preserve"> </w:t>
      </w:r>
    </w:p>
    <w:p w14:paraId="35848708">
      <w:pPr>
        <w:pStyle w:val="17"/>
        <w:spacing w:before="11"/>
        <w:rPr>
          <w:sz w:val="9"/>
        </w:rPr>
      </w:pPr>
    </w:p>
    <w:p w14:paraId="1A885F7A">
      <w:pPr>
        <w:pStyle w:val="17"/>
        <w:spacing w:before="70"/>
        <w:ind w:left="581"/>
      </w:pPr>
      <w:r>
        <w:rPr>
          <w:spacing w:val="-1"/>
        </w:rPr>
        <w:t>开户银行：</w:t>
      </w:r>
      <w:r>
        <w:rPr>
          <w:spacing w:val="-1"/>
          <w:w w:val="200"/>
          <w:u w:val="single"/>
        </w:rPr>
        <w:t xml:space="preserve"> </w:t>
      </w:r>
      <w:r>
        <w:rPr>
          <w:spacing w:val="-1"/>
          <w:u w:val="single"/>
        </w:rPr>
        <w:t xml:space="preserve">                                 </w:t>
      </w:r>
      <w:r>
        <w:rPr>
          <w:spacing w:val="4"/>
          <w:u w:val="single"/>
        </w:rPr>
        <w:t xml:space="preserve"> </w:t>
      </w:r>
      <w:r>
        <w:t xml:space="preserve"> </w:t>
      </w:r>
    </w:p>
    <w:p w14:paraId="45C807B3">
      <w:pPr>
        <w:pStyle w:val="17"/>
        <w:spacing w:before="11"/>
        <w:rPr>
          <w:sz w:val="9"/>
        </w:rPr>
      </w:pPr>
    </w:p>
    <w:p w14:paraId="0EA09D5E">
      <w:pPr>
        <w:pStyle w:val="17"/>
        <w:spacing w:before="70"/>
        <w:ind w:left="581"/>
      </w:pPr>
      <w:r>
        <w:t>账   号 ：</w:t>
      </w:r>
      <w:r>
        <w:rPr>
          <w:w w:val="200"/>
          <w:u w:val="single"/>
        </w:rPr>
        <w:t xml:space="preserve"> </w:t>
      </w:r>
      <w:r>
        <w:rPr>
          <w:u w:val="single"/>
        </w:rPr>
        <w:t xml:space="preserve">                                 </w:t>
      </w:r>
      <w:r>
        <w:rPr>
          <w:spacing w:val="4"/>
          <w:u w:val="single"/>
        </w:rPr>
        <w:t xml:space="preserve"> </w:t>
      </w:r>
      <w:r>
        <w:t xml:space="preserve"> </w:t>
      </w:r>
    </w:p>
    <w:p w14:paraId="58E20107">
      <w:pPr>
        <w:pStyle w:val="17"/>
        <w:rPr>
          <w:sz w:val="20"/>
        </w:rPr>
      </w:pPr>
    </w:p>
    <w:p w14:paraId="3DA0FDE2">
      <w:pPr>
        <w:pStyle w:val="17"/>
        <w:spacing w:before="2"/>
        <w:rPr>
          <w:sz w:val="26"/>
        </w:rPr>
      </w:pPr>
    </w:p>
    <w:p w14:paraId="6D031976">
      <w:pPr>
        <w:pStyle w:val="17"/>
        <w:spacing w:before="70"/>
        <w:ind w:left="581" w:firstLine="210" w:firstLineChars="100"/>
      </w:pPr>
      <w:r>
        <w:t>承 包 人 ：</w:t>
      </w:r>
      <w:r>
        <w:rPr>
          <w:u w:val="single"/>
        </w:rPr>
        <w:t xml:space="preserve"> </w:t>
      </w:r>
      <w:r>
        <w:rPr>
          <w:rFonts w:hint="eastAsia"/>
          <w:u w:val="single"/>
        </w:rPr>
        <w:t xml:space="preserve"> </w:t>
      </w:r>
      <w:r>
        <w:rPr>
          <w:u w:val="single"/>
        </w:rPr>
        <w:t xml:space="preserve">                         </w:t>
      </w:r>
      <w:r>
        <w:t xml:space="preserve">（ 公 章 或 合 同 专 用 章 ） </w:t>
      </w:r>
    </w:p>
    <w:p w14:paraId="7B21EA8E">
      <w:pPr>
        <w:pStyle w:val="17"/>
        <w:spacing w:before="70"/>
        <w:ind w:left="581"/>
      </w:pPr>
    </w:p>
    <w:p w14:paraId="64C3631F">
      <w:pPr>
        <w:pStyle w:val="17"/>
        <w:spacing w:before="46"/>
        <w:ind w:firstLine="832" w:firstLineChars="400"/>
      </w:pPr>
      <w:r>
        <w:rPr>
          <w:spacing w:val="-1"/>
        </w:rPr>
        <w:t>法定代表人或其委托代理人：</w:t>
      </w:r>
      <w:r>
        <w:rPr>
          <w:spacing w:val="54"/>
          <w:u w:val="single"/>
        </w:rPr>
        <w:t xml:space="preserve"> </w:t>
      </w:r>
      <w:r>
        <w:rPr>
          <w:rFonts w:hint="eastAsia"/>
          <w:spacing w:val="54"/>
          <w:u w:val="single"/>
          <w:lang w:val="en-US"/>
        </w:rPr>
        <w:t xml:space="preserve">       </w:t>
      </w:r>
      <w:r>
        <w:t xml:space="preserve">（签字） </w:t>
      </w:r>
    </w:p>
    <w:p w14:paraId="1747267F">
      <w:pPr>
        <w:pStyle w:val="17"/>
        <w:spacing w:before="11"/>
        <w:rPr>
          <w:sz w:val="9"/>
        </w:rPr>
      </w:pPr>
    </w:p>
    <w:p w14:paraId="3F474E4E">
      <w:pPr>
        <w:pStyle w:val="17"/>
        <w:spacing w:before="70"/>
        <w:ind w:left="746"/>
      </w:pPr>
      <w:r>
        <w:t>统一社会信用代码：</w:t>
      </w:r>
      <w:r>
        <w:rPr>
          <w:u w:val="single"/>
          <w:lang w:val="en-US"/>
        </w:rPr>
        <w:t xml:space="preserve">                   </w:t>
      </w:r>
      <w:r>
        <w:rPr>
          <w:u w:val="single"/>
        </w:rPr>
        <w:t xml:space="preserve">  </w:t>
      </w:r>
    </w:p>
    <w:p w14:paraId="546BF898">
      <w:pPr>
        <w:pStyle w:val="17"/>
        <w:spacing w:before="10"/>
        <w:rPr>
          <w:sz w:val="9"/>
        </w:rPr>
      </w:pPr>
    </w:p>
    <w:p w14:paraId="4451A521">
      <w:pPr>
        <w:pStyle w:val="17"/>
        <w:spacing w:before="71"/>
        <w:ind w:left="746"/>
      </w:pPr>
      <w:r>
        <w:t>纳税人识别号：</w:t>
      </w:r>
      <w:r>
        <w:rPr>
          <w:rFonts w:hint="eastAsia"/>
          <w:lang w:val="en-US"/>
        </w:rPr>
        <w:t xml:space="preserve"> </w:t>
      </w:r>
      <w:r>
        <w:rPr>
          <w:u w:val="single"/>
          <w:lang w:val="en-US"/>
        </w:rPr>
        <w:t xml:space="preserve">                   </w:t>
      </w:r>
      <w:r>
        <w:rPr>
          <w:u w:val="single"/>
        </w:rPr>
        <w:t xml:space="preserve">     </w:t>
      </w:r>
    </w:p>
    <w:p w14:paraId="22F73570">
      <w:pPr>
        <w:pStyle w:val="17"/>
        <w:rPr>
          <w:sz w:val="11"/>
        </w:rPr>
      </w:pPr>
    </w:p>
    <w:p w14:paraId="69A0351E">
      <w:pPr>
        <w:pStyle w:val="17"/>
        <w:spacing w:before="70"/>
        <w:ind w:left="746"/>
      </w:pPr>
      <w:r>
        <w:t>地   址 ：</w:t>
      </w:r>
      <w:r>
        <w:rPr>
          <w:u w:val="single"/>
          <w:lang w:val="en-US"/>
        </w:rPr>
        <w:t xml:space="preserve">                   </w:t>
      </w:r>
      <w:r>
        <w:rPr>
          <w:u w:val="single"/>
        </w:rPr>
        <w:t xml:space="preserve">       </w:t>
      </w:r>
      <w:r>
        <w:rPr>
          <w:rFonts w:hint="eastAsia"/>
          <w:u w:val="single"/>
          <w:lang w:val="en-US"/>
        </w:rPr>
        <w:t xml:space="preserve">    </w:t>
      </w:r>
    </w:p>
    <w:p w14:paraId="3F913B03">
      <w:pPr>
        <w:pStyle w:val="17"/>
        <w:spacing w:before="11"/>
        <w:rPr>
          <w:sz w:val="9"/>
        </w:rPr>
      </w:pPr>
    </w:p>
    <w:p w14:paraId="4534410B">
      <w:pPr>
        <w:pStyle w:val="17"/>
        <w:spacing w:before="71"/>
        <w:ind w:left="746"/>
      </w:pPr>
      <w:r>
        <w:t>电   话 ：</w:t>
      </w:r>
      <w:r>
        <w:rPr>
          <w:u w:val="single"/>
          <w:lang w:val="en-US"/>
        </w:rPr>
        <w:t xml:space="preserve">                   </w:t>
      </w:r>
      <w:r>
        <w:rPr>
          <w:u w:val="single"/>
        </w:rPr>
        <w:t xml:space="preserve">           </w:t>
      </w:r>
    </w:p>
    <w:p w14:paraId="2E37E68A">
      <w:pPr>
        <w:pStyle w:val="17"/>
        <w:spacing w:before="10"/>
        <w:rPr>
          <w:sz w:val="9"/>
        </w:rPr>
      </w:pPr>
    </w:p>
    <w:p w14:paraId="333A5FC5">
      <w:pPr>
        <w:pStyle w:val="17"/>
        <w:spacing w:before="71"/>
        <w:ind w:left="746"/>
        <w:rPr>
          <w:sz w:val="9"/>
        </w:rPr>
      </w:pPr>
      <w:r>
        <w:rPr>
          <w:spacing w:val="-1"/>
        </w:rPr>
        <w:t>开户银行：</w:t>
      </w:r>
      <w:r>
        <w:rPr>
          <w:u w:val="single"/>
          <w:lang w:val="en-US"/>
        </w:rPr>
        <w:t xml:space="preserve">                            </w:t>
      </w:r>
      <w:r>
        <w:rPr>
          <w:u w:val="single"/>
        </w:rPr>
        <w:t xml:space="preserve">  </w:t>
      </w:r>
    </w:p>
    <w:p w14:paraId="18D20C90">
      <w:pPr>
        <w:pStyle w:val="17"/>
        <w:spacing w:before="71"/>
        <w:ind w:left="746"/>
      </w:pPr>
      <w:r>
        <w:t>账   号 ：</w:t>
      </w:r>
      <w:r>
        <w:rPr>
          <w:u w:val="single"/>
          <w:lang w:val="en-US"/>
        </w:rPr>
        <w:t xml:space="preserve">                   </w:t>
      </w:r>
      <w:r>
        <w:rPr>
          <w:u w:val="single"/>
        </w:rPr>
        <w:t xml:space="preserve">          </w:t>
      </w:r>
      <w:r>
        <w:rPr>
          <w:rFonts w:hint="eastAsia"/>
          <w:u w:val="single"/>
          <w:lang w:val="en-US"/>
        </w:rPr>
        <w:t xml:space="preserve"> </w:t>
      </w:r>
    </w:p>
    <w:p w14:paraId="4FFEC811">
      <w:pPr>
        <w:pStyle w:val="17"/>
        <w:rPr>
          <w:sz w:val="20"/>
        </w:rPr>
      </w:pPr>
    </w:p>
    <w:p w14:paraId="1B823FCE">
      <w:pPr>
        <w:pStyle w:val="17"/>
        <w:rPr>
          <w:sz w:val="20"/>
        </w:rPr>
      </w:pPr>
    </w:p>
    <w:p w14:paraId="69F40029">
      <w:pPr>
        <w:pStyle w:val="17"/>
        <w:rPr>
          <w:sz w:val="20"/>
        </w:rPr>
      </w:pPr>
    </w:p>
    <w:p w14:paraId="1BCF3349">
      <w:pPr>
        <w:pStyle w:val="17"/>
        <w:rPr>
          <w:sz w:val="20"/>
        </w:rPr>
      </w:pPr>
    </w:p>
    <w:p w14:paraId="75316156">
      <w:pPr>
        <w:pStyle w:val="17"/>
        <w:rPr>
          <w:sz w:val="20"/>
        </w:rPr>
      </w:pPr>
    </w:p>
    <w:p w14:paraId="00CB7786">
      <w:pPr>
        <w:pStyle w:val="17"/>
        <w:spacing w:before="4"/>
        <w:rPr>
          <w:sz w:val="29"/>
        </w:rPr>
      </w:pPr>
    </w:p>
    <w:p w14:paraId="784128DB">
      <w:pPr>
        <w:pStyle w:val="17"/>
        <w:spacing w:before="71"/>
        <w:ind w:left="6544"/>
      </w:pPr>
      <w:r>
        <w:t>签约时间：</w:t>
      </w:r>
      <w:r>
        <w:rPr>
          <w:spacing w:val="104"/>
          <w:u w:val="single"/>
        </w:rPr>
        <w:t xml:space="preserve"> </w:t>
      </w:r>
      <w:r>
        <w:rPr>
          <w:rFonts w:hint="eastAsia"/>
          <w:spacing w:val="104"/>
          <w:u w:val="single"/>
          <w:lang w:val="en-US"/>
        </w:rPr>
        <w:t xml:space="preserve"> </w:t>
      </w:r>
      <w:r>
        <w:t>年</w:t>
      </w:r>
      <w:r>
        <w:rPr>
          <w:u w:val="single"/>
        </w:rPr>
        <w:t xml:space="preserve">  </w:t>
      </w:r>
      <w:r>
        <w:rPr>
          <w:rFonts w:hint="eastAsia"/>
          <w:u w:val="single"/>
          <w:lang w:val="en-US"/>
        </w:rPr>
        <w:t xml:space="preserve"> </w:t>
      </w:r>
      <w:r>
        <w:t>月</w:t>
      </w:r>
      <w:r>
        <w:rPr>
          <w:u w:val="single"/>
        </w:rPr>
        <w:t xml:space="preserve"> </w:t>
      </w:r>
      <w:r>
        <w:rPr>
          <w:rFonts w:hint="eastAsia"/>
          <w:u w:val="single"/>
          <w:lang w:val="en-US"/>
        </w:rPr>
        <w:t xml:space="preserve"> </w:t>
      </w:r>
      <w:r>
        <w:rPr>
          <w:u w:val="single"/>
        </w:rPr>
        <w:t xml:space="preserve"> </w:t>
      </w:r>
      <w:r>
        <w:t xml:space="preserve">日 </w:t>
      </w:r>
    </w:p>
    <w:p w14:paraId="4B73A371">
      <w:pPr>
        <w:sectPr>
          <w:pgSz w:w="11910" w:h="16850"/>
          <w:pgMar w:top="1440" w:right="1080" w:bottom="1440" w:left="1080" w:header="0" w:footer="996" w:gutter="0"/>
          <w:cols w:space="720" w:num="1"/>
        </w:sectPr>
      </w:pPr>
    </w:p>
    <w:p w14:paraId="6DD853BF">
      <w:pPr>
        <w:pStyle w:val="2"/>
        <w:spacing w:line="682" w:lineRule="exact"/>
        <w:ind w:firstLine="2650" w:firstLineChars="600"/>
        <w:jc w:val="both"/>
        <w:rPr>
          <w:sz w:val="21"/>
        </w:rPr>
      </w:pPr>
      <w:r>
        <w:t>第二部分 通用合同条款</w:t>
      </w:r>
    </w:p>
    <w:p w14:paraId="4F9277D9">
      <w:pPr>
        <w:pStyle w:val="17"/>
        <w:jc w:val="center"/>
      </w:pPr>
    </w:p>
    <w:p w14:paraId="25842CE2">
      <w:pPr>
        <w:pStyle w:val="2"/>
        <w:tabs>
          <w:tab w:val="left" w:pos="2012"/>
        </w:tabs>
        <w:spacing w:line="699" w:lineRule="exact"/>
        <w:ind w:right="813"/>
        <w:jc w:val="center"/>
      </w:pPr>
      <w:r>
        <w:rPr>
          <w:spacing w:val="15"/>
        </w:rPr>
        <w:t>第三部</w:t>
      </w:r>
      <w:r>
        <w:t>分</w:t>
      </w:r>
      <w:r>
        <w:rPr>
          <w:rFonts w:hint="eastAsia"/>
          <w:lang w:val="en-US" w:eastAsia="zh-CN"/>
        </w:rPr>
        <w:t xml:space="preserve"> </w:t>
      </w:r>
      <w:r>
        <w:rPr>
          <w:spacing w:val="15"/>
        </w:rPr>
        <w:t>专用合同条款</w:t>
      </w:r>
    </w:p>
    <w:p w14:paraId="35C6150F">
      <w:pPr>
        <w:pStyle w:val="17"/>
        <w:spacing w:before="8"/>
        <w:rPr>
          <w:rFonts w:ascii="微软雅黑"/>
          <w:b/>
          <w:sz w:val="12"/>
        </w:rPr>
      </w:pPr>
    </w:p>
    <w:p w14:paraId="1DD4D287">
      <w:pPr>
        <w:pStyle w:val="3"/>
        <w:numPr>
          <w:ilvl w:val="0"/>
          <w:numId w:val="5"/>
        </w:numPr>
        <w:tabs>
          <w:tab w:val="left" w:pos="567"/>
        </w:tabs>
        <w:spacing w:before="4"/>
        <w:ind w:hanging="241"/>
        <w:jc w:val="left"/>
      </w:pPr>
      <w:r>
        <w:rPr>
          <w:spacing w:val="11"/>
        </w:rPr>
        <w:t>一般约定</w:t>
      </w:r>
      <w:r>
        <w:rPr>
          <w:spacing w:val="11"/>
          <w:w w:val="167"/>
        </w:rPr>
        <w:t xml:space="preserve"> </w:t>
      </w:r>
    </w:p>
    <w:p w14:paraId="607482AD">
      <w:pPr>
        <w:pStyle w:val="17"/>
        <w:spacing w:before="7"/>
        <w:rPr>
          <w:rFonts w:ascii="微软雅黑"/>
          <w:b/>
          <w:sz w:val="12"/>
        </w:rPr>
      </w:pPr>
    </w:p>
    <w:p w14:paraId="6A4D939D">
      <w:pPr>
        <w:pStyle w:val="317"/>
        <w:numPr>
          <w:ilvl w:val="1"/>
          <w:numId w:val="5"/>
        </w:numPr>
        <w:tabs>
          <w:tab w:val="left" w:pos="1168"/>
        </w:tabs>
        <w:spacing w:line="340" w:lineRule="auto"/>
        <w:ind w:left="746" w:right="8183" w:firstLine="0"/>
        <w:rPr>
          <w:sz w:val="21"/>
        </w:rPr>
      </w:pPr>
      <w:r>
        <w:rPr>
          <w:rFonts w:hint="eastAsia" w:ascii="微软雅黑" w:eastAsia="微软雅黑"/>
          <w:b/>
          <w:sz w:val="21"/>
        </w:rPr>
        <w:t>词语定义与解释</w:t>
      </w:r>
      <w:r>
        <w:rPr>
          <w:sz w:val="21"/>
        </w:rPr>
        <w:t xml:space="preserve">1.1.1 合同 </w:t>
      </w:r>
    </w:p>
    <w:p w14:paraId="76ED8674">
      <w:pPr>
        <w:pStyle w:val="17"/>
        <w:spacing w:before="81"/>
        <w:ind w:left="746"/>
      </w:pPr>
      <w:r>
        <w:t>1.1.1.6 技术标准和要求：</w:t>
      </w:r>
      <w:r>
        <w:rPr>
          <w:u w:val="single"/>
        </w:rPr>
        <w:t>本目中的技术标准和要求是指技术规范，即合同所约定的技术标准和要</w:t>
      </w:r>
    </w:p>
    <w:p w14:paraId="06CAE22E">
      <w:pPr>
        <w:pStyle w:val="17"/>
        <w:spacing w:before="11"/>
        <w:rPr>
          <w:sz w:val="9"/>
        </w:rPr>
      </w:pPr>
    </w:p>
    <w:p w14:paraId="5CAFDFDD">
      <w:pPr>
        <w:pStyle w:val="17"/>
        <w:spacing w:before="71"/>
        <w:ind w:left="326"/>
      </w:pPr>
      <w:r>
        <w:rPr>
          <w:u w:val="single"/>
        </w:rPr>
        <w:t>求，是合同文件的组成部分。与通用合同条款中“技术标准和要求”一词具有相同含义，包括合同双方</w:t>
      </w:r>
    </w:p>
    <w:p w14:paraId="281451E2">
      <w:pPr>
        <w:pStyle w:val="17"/>
        <w:spacing w:before="10"/>
        <w:rPr>
          <w:sz w:val="9"/>
        </w:rPr>
      </w:pPr>
    </w:p>
    <w:p w14:paraId="48BEE010">
      <w:pPr>
        <w:pStyle w:val="17"/>
        <w:spacing w:before="70"/>
        <w:ind w:left="326"/>
      </w:pPr>
      <w:r>
        <w:rPr>
          <w:u w:val="single"/>
        </w:rPr>
        <w:t>当事人约定对其所作的修改或补充</w:t>
      </w:r>
      <w:r>
        <w:t xml:space="preserve">。 </w:t>
      </w:r>
    </w:p>
    <w:p w14:paraId="7F1D6346">
      <w:pPr>
        <w:pStyle w:val="17"/>
        <w:spacing w:before="11"/>
        <w:rPr>
          <w:sz w:val="9"/>
        </w:rPr>
      </w:pPr>
    </w:p>
    <w:p w14:paraId="34FF34D6">
      <w:pPr>
        <w:pStyle w:val="17"/>
        <w:spacing w:before="71"/>
        <w:ind w:left="746"/>
      </w:pPr>
      <w:r>
        <w:t>1.1.1.8 已标价工程量清单：</w:t>
      </w:r>
      <w:r>
        <w:rPr>
          <w:u w:val="single"/>
        </w:rPr>
        <w:t>指构成合同的由承包人按照发包人规定的格式和要求填写并标明价格、</w:t>
      </w:r>
    </w:p>
    <w:p w14:paraId="0CFA15FA">
      <w:pPr>
        <w:pStyle w:val="17"/>
        <w:spacing w:before="12"/>
        <w:rPr>
          <w:sz w:val="10"/>
        </w:rPr>
      </w:pPr>
    </w:p>
    <w:p w14:paraId="2460A906">
      <w:pPr>
        <w:pStyle w:val="17"/>
        <w:spacing w:before="71"/>
        <w:ind w:left="326"/>
      </w:pPr>
      <w:r>
        <w:rPr>
          <w:u w:val="single"/>
        </w:rPr>
        <w:t>经算术性错误修订及其他错误修订（如有）且承包人已确认的工程量清单</w:t>
      </w:r>
      <w:r>
        <w:t xml:space="preserve">。 </w:t>
      </w:r>
    </w:p>
    <w:p w14:paraId="13B0E812">
      <w:pPr>
        <w:pStyle w:val="17"/>
        <w:spacing w:before="10"/>
        <w:rPr>
          <w:sz w:val="9"/>
        </w:rPr>
      </w:pPr>
    </w:p>
    <w:p w14:paraId="60DF81D0">
      <w:pPr>
        <w:pStyle w:val="317"/>
        <w:numPr>
          <w:ilvl w:val="3"/>
          <w:numId w:val="6"/>
        </w:numPr>
        <w:tabs>
          <w:tab w:val="left" w:pos="1588"/>
        </w:tabs>
        <w:spacing w:before="71"/>
        <w:ind w:hanging="842"/>
        <w:rPr>
          <w:sz w:val="21"/>
        </w:rPr>
      </w:pPr>
      <w:r>
        <w:rPr>
          <w:sz w:val="21"/>
        </w:rPr>
        <w:t>其他合同文件包括：</w:t>
      </w:r>
      <w:r>
        <w:rPr>
          <w:sz w:val="21"/>
          <w:u w:val="single"/>
        </w:rPr>
        <w:t>按照合同协议书〔第六条〕约定执行</w:t>
      </w:r>
      <w:r>
        <w:rPr>
          <w:sz w:val="21"/>
        </w:rPr>
        <w:t xml:space="preserve">。 </w:t>
      </w:r>
    </w:p>
    <w:p w14:paraId="7C848EFB">
      <w:pPr>
        <w:pStyle w:val="17"/>
        <w:spacing w:before="10"/>
        <w:rPr>
          <w:sz w:val="9"/>
        </w:rPr>
      </w:pPr>
    </w:p>
    <w:p w14:paraId="016BE674">
      <w:pPr>
        <w:pStyle w:val="17"/>
        <w:spacing w:before="71"/>
        <w:ind w:left="746"/>
      </w:pPr>
      <w:r>
        <w:t xml:space="preserve">本项补充 1.1.1.11～1.1.1.16 目： </w:t>
      </w:r>
    </w:p>
    <w:p w14:paraId="316CDEBC">
      <w:pPr>
        <w:pStyle w:val="17"/>
        <w:spacing w:before="4"/>
        <w:rPr>
          <w:sz w:val="15"/>
        </w:rPr>
      </w:pPr>
    </w:p>
    <w:p w14:paraId="7A51A228">
      <w:pPr>
        <w:pStyle w:val="317"/>
        <w:numPr>
          <w:ilvl w:val="3"/>
          <w:numId w:val="6"/>
        </w:numPr>
        <w:tabs>
          <w:tab w:val="left" w:pos="1588"/>
        </w:tabs>
        <w:ind w:hanging="842"/>
        <w:rPr>
          <w:sz w:val="21"/>
        </w:rPr>
      </w:pPr>
      <w:r>
        <w:rPr>
          <w:spacing w:val="-7"/>
          <w:sz w:val="21"/>
        </w:rPr>
        <w:t>招标文件：</w:t>
      </w:r>
      <w:r>
        <w:rPr>
          <w:spacing w:val="-6"/>
          <w:sz w:val="21"/>
          <w:u w:val="single"/>
        </w:rPr>
        <w:t>指本工程的招标文件、图纸、其他技术资料及招标人发出的对招标文件所作的</w:t>
      </w:r>
    </w:p>
    <w:p w14:paraId="00530AD0">
      <w:pPr>
        <w:pStyle w:val="17"/>
        <w:spacing w:before="10"/>
        <w:rPr>
          <w:sz w:val="9"/>
        </w:rPr>
      </w:pPr>
    </w:p>
    <w:p w14:paraId="4DF949E2">
      <w:pPr>
        <w:pStyle w:val="17"/>
        <w:spacing w:before="71"/>
        <w:ind w:left="326"/>
      </w:pPr>
      <w:r>
        <w:rPr>
          <w:u w:val="single"/>
        </w:rPr>
        <w:t>澄清、修改等资料</w:t>
      </w:r>
      <w:r>
        <w:t xml:space="preserve">。 </w:t>
      </w:r>
    </w:p>
    <w:p w14:paraId="3B6A11C7">
      <w:pPr>
        <w:pStyle w:val="17"/>
        <w:rPr>
          <w:sz w:val="11"/>
        </w:rPr>
      </w:pPr>
    </w:p>
    <w:p w14:paraId="785DA707">
      <w:pPr>
        <w:pStyle w:val="317"/>
        <w:numPr>
          <w:ilvl w:val="3"/>
          <w:numId w:val="6"/>
        </w:numPr>
        <w:tabs>
          <w:tab w:val="left" w:pos="1588"/>
        </w:tabs>
        <w:spacing w:before="70"/>
        <w:ind w:hanging="842"/>
        <w:rPr>
          <w:sz w:val="21"/>
        </w:rPr>
      </w:pPr>
      <w:r>
        <w:rPr>
          <w:spacing w:val="-6"/>
          <w:sz w:val="21"/>
        </w:rPr>
        <w:t>工作：</w:t>
      </w:r>
      <w:r>
        <w:rPr>
          <w:spacing w:val="-5"/>
          <w:sz w:val="21"/>
          <w:u w:val="single"/>
        </w:rPr>
        <w:t>指根据合同条款规定，或根据合同合理推及的，为本工程</w:t>
      </w:r>
      <w:r>
        <w:rPr>
          <w:sz w:val="21"/>
          <w:u w:val="single"/>
        </w:rPr>
        <w:t>（包括永久工程和临时工</w:t>
      </w:r>
    </w:p>
    <w:p w14:paraId="6F88F84D">
      <w:pPr>
        <w:pStyle w:val="17"/>
        <w:spacing w:before="11"/>
        <w:rPr>
          <w:sz w:val="9"/>
        </w:rPr>
      </w:pPr>
    </w:p>
    <w:p w14:paraId="3E7A65A4">
      <w:pPr>
        <w:pStyle w:val="17"/>
        <w:spacing w:before="70"/>
        <w:ind w:left="326"/>
      </w:pPr>
      <w:r>
        <w:rPr>
          <w:u w:val="single"/>
        </w:rPr>
        <w:t>程）施工与维护所需要的管理、劳务、材料、施工设备和其他物品的提供</w:t>
      </w:r>
      <w:r>
        <w:t xml:space="preserve">。 </w:t>
      </w:r>
    </w:p>
    <w:p w14:paraId="2ECC4E3F">
      <w:pPr>
        <w:pStyle w:val="17"/>
        <w:spacing w:before="11"/>
        <w:rPr>
          <w:sz w:val="9"/>
        </w:rPr>
      </w:pPr>
    </w:p>
    <w:p w14:paraId="63B274E3">
      <w:pPr>
        <w:pStyle w:val="317"/>
        <w:numPr>
          <w:ilvl w:val="3"/>
          <w:numId w:val="6"/>
        </w:numPr>
        <w:tabs>
          <w:tab w:val="left" w:pos="1588"/>
        </w:tabs>
        <w:spacing w:before="71"/>
        <w:ind w:hanging="842"/>
        <w:rPr>
          <w:sz w:val="21"/>
        </w:rPr>
      </w:pPr>
      <w:r>
        <w:rPr>
          <w:spacing w:val="-1"/>
          <w:sz w:val="21"/>
        </w:rPr>
        <w:t>重大设计变更：按照规定需要重新报建设行政主管部门批准的设计变更。</w:t>
      </w:r>
      <w:r>
        <w:rPr>
          <w:sz w:val="21"/>
        </w:rPr>
        <w:t xml:space="preserve"> </w:t>
      </w:r>
    </w:p>
    <w:p w14:paraId="7F594510">
      <w:pPr>
        <w:pStyle w:val="17"/>
        <w:spacing w:before="4"/>
        <w:rPr>
          <w:sz w:val="15"/>
        </w:rPr>
      </w:pPr>
    </w:p>
    <w:p w14:paraId="38ABFA8A">
      <w:pPr>
        <w:pStyle w:val="317"/>
        <w:numPr>
          <w:ilvl w:val="3"/>
          <w:numId w:val="6"/>
        </w:numPr>
        <w:tabs>
          <w:tab w:val="left" w:pos="1589"/>
        </w:tabs>
        <w:ind w:left="1589" w:hanging="843"/>
        <w:rPr>
          <w:sz w:val="21"/>
        </w:rPr>
      </w:pPr>
      <w:r>
        <w:rPr>
          <w:spacing w:val="-1"/>
          <w:sz w:val="21"/>
        </w:rPr>
        <w:t xml:space="preserve">公章：专指法定单位名称章。 </w:t>
      </w:r>
    </w:p>
    <w:p w14:paraId="56E9A092">
      <w:pPr>
        <w:pStyle w:val="17"/>
        <w:spacing w:before="3"/>
        <w:rPr>
          <w:sz w:val="15"/>
        </w:rPr>
      </w:pPr>
    </w:p>
    <w:p w14:paraId="4284D280">
      <w:pPr>
        <w:pStyle w:val="317"/>
        <w:numPr>
          <w:ilvl w:val="3"/>
          <w:numId w:val="6"/>
        </w:numPr>
        <w:tabs>
          <w:tab w:val="left" w:pos="1588"/>
        </w:tabs>
        <w:spacing w:line="429" w:lineRule="auto"/>
        <w:ind w:left="326" w:right="1119" w:firstLine="420"/>
        <w:rPr>
          <w:sz w:val="21"/>
        </w:rPr>
      </w:pPr>
      <w:r>
        <w:rPr>
          <w:spacing w:val="-11"/>
          <w:sz w:val="21"/>
        </w:rPr>
        <w:t>到岗：指承包人按照到岗履职承诺安排满足办理施工许可手续相关要求的项目主要管理人员实际到施工现场就职履约的行为。</w:t>
      </w:r>
      <w:r>
        <w:rPr>
          <w:sz w:val="21"/>
        </w:rPr>
        <w:t xml:space="preserve"> </w:t>
      </w:r>
    </w:p>
    <w:p w14:paraId="27F2F5D8">
      <w:pPr>
        <w:pStyle w:val="317"/>
        <w:numPr>
          <w:ilvl w:val="3"/>
          <w:numId w:val="6"/>
        </w:numPr>
        <w:tabs>
          <w:tab w:val="left" w:pos="1588"/>
        </w:tabs>
        <w:spacing w:line="252" w:lineRule="exact"/>
        <w:ind w:hanging="842"/>
        <w:rPr>
          <w:sz w:val="21"/>
        </w:rPr>
      </w:pPr>
      <w:r>
        <w:rPr>
          <w:spacing w:val="-14"/>
          <w:sz w:val="21"/>
        </w:rPr>
        <w:t>项目法人：指具有民事权利能力和民事行为能力，依法独立享有民事权利和承担民事义务，</w:t>
      </w:r>
    </w:p>
    <w:p w14:paraId="1D23DAFA">
      <w:pPr>
        <w:pStyle w:val="17"/>
        <w:spacing w:before="4"/>
        <w:rPr>
          <w:sz w:val="15"/>
        </w:rPr>
      </w:pPr>
    </w:p>
    <w:p w14:paraId="34DA7919">
      <w:pPr>
        <w:pStyle w:val="17"/>
        <w:spacing w:before="1" w:line="415" w:lineRule="auto"/>
        <w:ind w:left="746" w:right="5239" w:hanging="421"/>
      </w:pPr>
      <w:r>
        <w:t xml:space="preserve">以建设项目为目的，从事项目管理的机构、单位或组织。1.1.2 合同当事人及其他相关方 </w:t>
      </w:r>
    </w:p>
    <w:p w14:paraId="42A7EDA3">
      <w:pPr>
        <w:pStyle w:val="317"/>
        <w:numPr>
          <w:ilvl w:val="3"/>
          <w:numId w:val="7"/>
        </w:numPr>
        <w:tabs>
          <w:tab w:val="left" w:pos="1483"/>
        </w:tabs>
        <w:ind w:hanging="737"/>
        <w:rPr>
          <w:sz w:val="21"/>
          <w:highlight w:val="yellow"/>
        </w:rPr>
      </w:pPr>
      <w:r>
        <w:rPr>
          <w:sz w:val="21"/>
          <w:highlight w:val="yellow"/>
        </w:rPr>
        <w:t xml:space="preserve">监理人： </w:t>
      </w:r>
    </w:p>
    <w:p w14:paraId="733C09CB">
      <w:pPr>
        <w:pStyle w:val="17"/>
        <w:spacing w:before="5"/>
        <w:rPr>
          <w:sz w:val="16"/>
          <w:highlight w:val="yellow"/>
        </w:rPr>
      </w:pPr>
    </w:p>
    <w:p w14:paraId="47DC6F47">
      <w:pPr>
        <w:pStyle w:val="17"/>
        <w:tabs>
          <w:tab w:val="left" w:pos="4111"/>
        </w:tabs>
        <w:spacing w:before="1"/>
        <w:ind w:left="746"/>
        <w:rPr>
          <w:highlight w:val="yellow"/>
        </w:rPr>
      </w:pPr>
      <w:r>
        <w:rPr>
          <w:highlight w:val="yellow"/>
          <w:lang w:val="en-US" w:bidi="ar-SA"/>
        </w:rPr>
        <w:drawing>
          <wp:anchor distT="0" distB="0" distL="0" distR="0" simplePos="0" relativeHeight="251677696" behindDoc="1" locked="0" layoutInCell="1" allowOverlap="1">
            <wp:simplePos x="0" y="0"/>
            <wp:positionH relativeFrom="page">
              <wp:posOffset>1764030</wp:posOffset>
            </wp:positionH>
            <wp:positionV relativeFrom="paragraph">
              <wp:posOffset>19050</wp:posOffset>
            </wp:positionV>
            <wp:extent cx="1581785" cy="133350"/>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7.png"/>
                    <pic:cNvPicPr>
                      <a:picLocks noChangeAspect="1"/>
                    </pic:cNvPicPr>
                  </pic:nvPicPr>
                  <pic:blipFill>
                    <a:blip r:embed="rId18" cstate="print"/>
                    <a:stretch>
                      <a:fillRect/>
                    </a:stretch>
                  </pic:blipFill>
                  <pic:spPr>
                    <a:xfrm>
                      <a:off x="0" y="0"/>
                      <a:ext cx="1581785" cy="133350"/>
                    </a:xfrm>
                    <a:prstGeom prst="rect">
                      <a:avLst/>
                    </a:prstGeom>
                  </pic:spPr>
                </pic:pic>
              </a:graphicData>
            </a:graphic>
          </wp:anchor>
        </w:drawing>
      </w:r>
      <w:r>
        <w:rPr>
          <w:highlight w:val="yellow"/>
        </w:rPr>
        <w:t>名    称：</w:t>
      </w:r>
      <w:r>
        <w:rPr>
          <w:highlight w:val="yellow"/>
          <w:u w:val="single"/>
        </w:rPr>
        <w:t xml:space="preserve"> </w:t>
      </w:r>
      <w:r>
        <w:rPr>
          <w:highlight w:val="yellow"/>
          <w:u w:val="single"/>
        </w:rPr>
        <w:tab/>
      </w:r>
      <w:r>
        <w:rPr>
          <w:highlight w:val="yellow"/>
        </w:rPr>
        <w:t xml:space="preserve">； </w:t>
      </w:r>
    </w:p>
    <w:p w14:paraId="25A06C14">
      <w:pPr>
        <w:pStyle w:val="17"/>
        <w:spacing w:before="4"/>
        <w:rPr>
          <w:sz w:val="9"/>
          <w:highlight w:val="yellow"/>
        </w:rPr>
      </w:pPr>
    </w:p>
    <w:p w14:paraId="16075A96">
      <w:pPr>
        <w:pStyle w:val="17"/>
        <w:tabs>
          <w:tab w:val="left" w:pos="4111"/>
        </w:tabs>
        <w:spacing w:before="77"/>
        <w:ind w:left="746"/>
        <w:rPr>
          <w:highlight w:val="yellow"/>
        </w:rPr>
      </w:pPr>
      <w:r>
        <w:rPr>
          <w:highlight w:val="yellow"/>
          <w:lang w:val="en-US" w:bidi="ar-SA"/>
        </w:rPr>
        <w:drawing>
          <wp:anchor distT="0" distB="0" distL="0" distR="0" simplePos="0" relativeHeight="251678720" behindDoc="1" locked="0" layoutInCell="1" allowOverlap="1">
            <wp:simplePos x="0" y="0"/>
            <wp:positionH relativeFrom="page">
              <wp:posOffset>2164715</wp:posOffset>
            </wp:positionH>
            <wp:positionV relativeFrom="paragraph">
              <wp:posOffset>67945</wp:posOffset>
            </wp:positionV>
            <wp:extent cx="1201420" cy="133350"/>
            <wp:effectExtent l="0" t="0" r="0" b="0"/>
            <wp:wrapNone/>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8.png"/>
                    <pic:cNvPicPr>
                      <a:picLocks noChangeAspect="1"/>
                    </pic:cNvPicPr>
                  </pic:nvPicPr>
                  <pic:blipFill>
                    <a:blip r:embed="rId19" cstate="print"/>
                    <a:stretch>
                      <a:fillRect/>
                    </a:stretch>
                  </pic:blipFill>
                  <pic:spPr>
                    <a:xfrm>
                      <a:off x="0" y="0"/>
                      <a:ext cx="1201585" cy="133350"/>
                    </a:xfrm>
                    <a:prstGeom prst="rect">
                      <a:avLst/>
                    </a:prstGeom>
                  </pic:spPr>
                </pic:pic>
              </a:graphicData>
            </a:graphic>
          </wp:anchor>
        </w:drawing>
      </w:r>
      <w:r>
        <w:rPr>
          <w:highlight w:val="yellow"/>
        </w:rPr>
        <w:t>资质类别和等级：</w:t>
      </w:r>
      <w:r>
        <w:rPr>
          <w:highlight w:val="yellow"/>
          <w:u w:val="single"/>
        </w:rPr>
        <w:t xml:space="preserve"> </w:t>
      </w:r>
      <w:r>
        <w:rPr>
          <w:highlight w:val="yellow"/>
          <w:u w:val="single"/>
        </w:rPr>
        <w:tab/>
      </w:r>
      <w:r>
        <w:rPr>
          <w:highlight w:val="yellow"/>
        </w:rPr>
        <w:t xml:space="preserve">； </w:t>
      </w:r>
    </w:p>
    <w:p w14:paraId="7E98C6F8">
      <w:pPr>
        <w:pStyle w:val="17"/>
        <w:spacing w:before="4"/>
        <w:rPr>
          <w:sz w:val="9"/>
          <w:highlight w:val="yellow"/>
        </w:rPr>
      </w:pPr>
    </w:p>
    <w:p w14:paraId="6FF5522B">
      <w:pPr>
        <w:pStyle w:val="17"/>
        <w:tabs>
          <w:tab w:val="left" w:pos="4111"/>
        </w:tabs>
        <w:spacing w:before="77"/>
        <w:ind w:left="746"/>
      </w:pPr>
      <w:r>
        <w:rPr>
          <w:highlight w:val="yellow"/>
          <w:lang w:val="en-US" w:bidi="ar-SA"/>
        </w:rPr>
        <w:drawing>
          <wp:anchor distT="0" distB="0" distL="0" distR="0" simplePos="0" relativeHeight="251679744" behindDoc="1" locked="0" layoutInCell="1" allowOverlap="1">
            <wp:simplePos x="0" y="0"/>
            <wp:positionH relativeFrom="page">
              <wp:posOffset>1764030</wp:posOffset>
            </wp:positionH>
            <wp:positionV relativeFrom="paragraph">
              <wp:posOffset>67310</wp:posOffset>
            </wp:positionV>
            <wp:extent cx="1581785" cy="133350"/>
            <wp:effectExtent l="0" t="0" r="0" b="0"/>
            <wp:wrapNone/>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7.png"/>
                    <pic:cNvPicPr>
                      <a:picLocks noChangeAspect="1"/>
                    </pic:cNvPicPr>
                  </pic:nvPicPr>
                  <pic:blipFill>
                    <a:blip r:embed="rId18" cstate="print"/>
                    <a:stretch>
                      <a:fillRect/>
                    </a:stretch>
                  </pic:blipFill>
                  <pic:spPr>
                    <a:xfrm>
                      <a:off x="0" y="0"/>
                      <a:ext cx="1581785" cy="133350"/>
                    </a:xfrm>
                    <a:prstGeom prst="rect">
                      <a:avLst/>
                    </a:prstGeom>
                  </pic:spPr>
                </pic:pic>
              </a:graphicData>
            </a:graphic>
          </wp:anchor>
        </w:drawing>
      </w:r>
      <w:r>
        <w:rPr>
          <w:highlight w:val="yellow"/>
        </w:rPr>
        <w:t>联系方式：</w:t>
      </w:r>
      <w:r>
        <w:rPr>
          <w:u w:val="single"/>
        </w:rPr>
        <w:t xml:space="preserve"> </w:t>
      </w:r>
      <w:r>
        <w:rPr>
          <w:u w:val="single"/>
        </w:rPr>
        <w:tab/>
      </w:r>
      <w:r>
        <w:t xml:space="preserve">。 </w:t>
      </w:r>
    </w:p>
    <w:p w14:paraId="09E845DC">
      <w:pPr>
        <w:pStyle w:val="17"/>
        <w:spacing w:before="10"/>
        <w:rPr>
          <w:sz w:val="9"/>
        </w:rPr>
      </w:pPr>
    </w:p>
    <w:p w14:paraId="52B9E410">
      <w:pPr>
        <w:pStyle w:val="317"/>
        <w:numPr>
          <w:ilvl w:val="3"/>
          <w:numId w:val="7"/>
        </w:numPr>
        <w:tabs>
          <w:tab w:val="left" w:pos="1483"/>
        </w:tabs>
        <w:spacing w:before="71"/>
        <w:ind w:hanging="737"/>
        <w:rPr>
          <w:sz w:val="21"/>
        </w:rPr>
      </w:pPr>
      <w:r>
        <w:rPr>
          <w:sz w:val="21"/>
        </w:rPr>
        <w:t xml:space="preserve">设计人： </w:t>
      </w:r>
    </w:p>
    <w:p w14:paraId="313CA2C1">
      <w:pPr>
        <w:rPr>
          <w:sz w:val="21"/>
        </w:rPr>
        <w:sectPr>
          <w:pgSz w:w="11910" w:h="16850"/>
          <w:pgMar w:top="1440" w:right="1080" w:bottom="1440" w:left="1080" w:header="0" w:footer="996" w:gutter="0"/>
          <w:cols w:space="720" w:num="1"/>
        </w:sectPr>
      </w:pPr>
    </w:p>
    <w:p w14:paraId="0C3B1924">
      <w:pPr>
        <w:pStyle w:val="17"/>
        <w:tabs>
          <w:tab w:val="left" w:pos="3946"/>
        </w:tabs>
        <w:spacing w:before="46"/>
        <w:ind w:left="581"/>
      </w:pPr>
      <w:r>
        <w:rPr>
          <w:lang w:val="en-US" w:bidi="ar-SA"/>
        </w:rPr>
        <w:drawing>
          <wp:anchor distT="0" distB="0" distL="0" distR="0" simplePos="0" relativeHeight="251680768" behindDoc="1" locked="0" layoutInCell="1" allowOverlap="1">
            <wp:simplePos x="0" y="0"/>
            <wp:positionH relativeFrom="page">
              <wp:posOffset>1659255</wp:posOffset>
            </wp:positionH>
            <wp:positionV relativeFrom="paragraph">
              <wp:posOffset>47625</wp:posOffset>
            </wp:positionV>
            <wp:extent cx="1581785" cy="133350"/>
            <wp:effectExtent l="0" t="0" r="0" b="0"/>
            <wp:wrapNone/>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7.png"/>
                    <pic:cNvPicPr>
                      <a:picLocks noChangeAspect="1"/>
                    </pic:cNvPicPr>
                  </pic:nvPicPr>
                  <pic:blipFill>
                    <a:blip r:embed="rId18" cstate="print"/>
                    <a:stretch>
                      <a:fillRect/>
                    </a:stretch>
                  </pic:blipFill>
                  <pic:spPr>
                    <a:xfrm>
                      <a:off x="0" y="0"/>
                      <a:ext cx="1581785" cy="133350"/>
                    </a:xfrm>
                    <a:prstGeom prst="rect">
                      <a:avLst/>
                    </a:prstGeom>
                  </pic:spPr>
                </pic:pic>
              </a:graphicData>
            </a:graphic>
          </wp:anchor>
        </w:drawing>
      </w:r>
      <w:r>
        <w:t xml:space="preserve">名   </w:t>
      </w:r>
      <w:r>
        <w:rPr>
          <w:spacing w:val="1"/>
        </w:rPr>
        <w:t xml:space="preserve"> </w:t>
      </w:r>
      <w:r>
        <w:t>称：</w:t>
      </w:r>
      <w:r>
        <w:rPr>
          <w:u w:val="single"/>
        </w:rPr>
        <w:t xml:space="preserve"> </w:t>
      </w:r>
      <w:r>
        <w:rPr>
          <w:u w:val="single"/>
        </w:rPr>
        <w:tab/>
      </w:r>
      <w:r>
        <w:t xml:space="preserve">； </w:t>
      </w:r>
    </w:p>
    <w:p w14:paraId="6CEDC139">
      <w:pPr>
        <w:pStyle w:val="17"/>
        <w:spacing w:before="4"/>
        <w:rPr>
          <w:sz w:val="9"/>
        </w:rPr>
      </w:pPr>
    </w:p>
    <w:p w14:paraId="23DAAD34">
      <w:pPr>
        <w:pStyle w:val="17"/>
        <w:tabs>
          <w:tab w:val="left" w:pos="3946"/>
        </w:tabs>
        <w:spacing w:before="77"/>
        <w:ind w:left="581"/>
      </w:pPr>
      <w:r>
        <w:rPr>
          <w:lang w:val="en-US" w:bidi="ar-SA"/>
        </w:rPr>
        <w:drawing>
          <wp:anchor distT="0" distB="0" distL="0" distR="0" simplePos="0" relativeHeight="251681792" behindDoc="1" locked="0" layoutInCell="1" allowOverlap="1">
            <wp:simplePos x="0" y="0"/>
            <wp:positionH relativeFrom="page">
              <wp:posOffset>2059305</wp:posOffset>
            </wp:positionH>
            <wp:positionV relativeFrom="paragraph">
              <wp:posOffset>67945</wp:posOffset>
            </wp:positionV>
            <wp:extent cx="1201420" cy="133350"/>
            <wp:effectExtent l="0" t="0" r="0" b="0"/>
            <wp:wrapNone/>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8.png"/>
                    <pic:cNvPicPr>
                      <a:picLocks noChangeAspect="1"/>
                    </pic:cNvPicPr>
                  </pic:nvPicPr>
                  <pic:blipFill>
                    <a:blip r:embed="rId19" cstate="print"/>
                    <a:stretch>
                      <a:fillRect/>
                    </a:stretch>
                  </pic:blipFill>
                  <pic:spPr>
                    <a:xfrm>
                      <a:off x="0" y="0"/>
                      <a:ext cx="1201585" cy="133350"/>
                    </a:xfrm>
                    <a:prstGeom prst="rect">
                      <a:avLst/>
                    </a:prstGeom>
                  </pic:spPr>
                </pic:pic>
              </a:graphicData>
            </a:graphic>
          </wp:anchor>
        </w:drawing>
      </w:r>
      <w:r>
        <w:t>资质类别和等级：</w:t>
      </w:r>
      <w:r>
        <w:rPr>
          <w:u w:val="single"/>
        </w:rPr>
        <w:t xml:space="preserve"> </w:t>
      </w:r>
      <w:r>
        <w:rPr>
          <w:u w:val="single"/>
        </w:rPr>
        <w:tab/>
      </w:r>
      <w:r>
        <w:t xml:space="preserve">； </w:t>
      </w:r>
    </w:p>
    <w:p w14:paraId="1B6B3AD9">
      <w:pPr>
        <w:pStyle w:val="17"/>
        <w:spacing w:before="4"/>
        <w:rPr>
          <w:sz w:val="9"/>
        </w:rPr>
      </w:pPr>
    </w:p>
    <w:p w14:paraId="6E215D6A">
      <w:pPr>
        <w:pStyle w:val="17"/>
        <w:tabs>
          <w:tab w:val="left" w:pos="3946"/>
        </w:tabs>
        <w:spacing w:before="77"/>
        <w:ind w:left="581"/>
      </w:pPr>
      <w:r>
        <w:rPr>
          <w:lang w:val="en-US" w:bidi="ar-SA"/>
        </w:rPr>
        <w:drawing>
          <wp:anchor distT="0" distB="0" distL="0" distR="0" simplePos="0" relativeHeight="251682816" behindDoc="1" locked="0" layoutInCell="1" allowOverlap="1">
            <wp:simplePos x="0" y="0"/>
            <wp:positionH relativeFrom="page">
              <wp:posOffset>1659255</wp:posOffset>
            </wp:positionH>
            <wp:positionV relativeFrom="paragraph">
              <wp:posOffset>67945</wp:posOffset>
            </wp:positionV>
            <wp:extent cx="1581785" cy="133350"/>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png"/>
                    <pic:cNvPicPr>
                      <a:picLocks noChangeAspect="1"/>
                    </pic:cNvPicPr>
                  </pic:nvPicPr>
                  <pic:blipFill>
                    <a:blip r:embed="rId18" cstate="print"/>
                    <a:stretch>
                      <a:fillRect/>
                    </a:stretch>
                  </pic:blipFill>
                  <pic:spPr>
                    <a:xfrm>
                      <a:off x="0" y="0"/>
                      <a:ext cx="1581785" cy="133350"/>
                    </a:xfrm>
                    <a:prstGeom prst="rect">
                      <a:avLst/>
                    </a:prstGeom>
                  </pic:spPr>
                </pic:pic>
              </a:graphicData>
            </a:graphic>
          </wp:anchor>
        </w:drawing>
      </w:r>
      <w:r>
        <w:t>联系方式：</w:t>
      </w:r>
      <w:r>
        <w:rPr>
          <w:u w:val="single"/>
        </w:rPr>
        <w:t xml:space="preserve"> </w:t>
      </w:r>
      <w:r>
        <w:rPr>
          <w:u w:val="single"/>
        </w:rPr>
        <w:tab/>
      </w:r>
      <w:r>
        <w:t xml:space="preserve">。 </w:t>
      </w:r>
    </w:p>
    <w:p w14:paraId="7B131C1E">
      <w:pPr>
        <w:pStyle w:val="17"/>
        <w:rPr>
          <w:sz w:val="11"/>
        </w:rPr>
      </w:pPr>
    </w:p>
    <w:p w14:paraId="4351BAB3">
      <w:pPr>
        <w:pStyle w:val="17"/>
        <w:spacing w:before="70"/>
        <w:ind w:left="581"/>
      </w:pPr>
      <w:r>
        <w:t xml:space="preserve">1.1.3 工程和设备 </w:t>
      </w:r>
    </w:p>
    <w:p w14:paraId="1ABDEBC0">
      <w:pPr>
        <w:pStyle w:val="17"/>
        <w:spacing w:before="5"/>
        <w:rPr>
          <w:sz w:val="15"/>
        </w:rPr>
      </w:pPr>
    </w:p>
    <w:p w14:paraId="40318033">
      <w:pPr>
        <w:pStyle w:val="17"/>
        <w:ind w:left="581"/>
      </w:pPr>
      <w:r>
        <w:t>1.1.3.7 作为施工现场组成部分的其他场所包括：</w:t>
      </w:r>
      <w:r>
        <w:rPr>
          <w:u w:val="single"/>
        </w:rPr>
        <w:t>永久占地、临时占地以及为修建临时工程而租用、</w:t>
      </w:r>
    </w:p>
    <w:p w14:paraId="1F7C1560">
      <w:pPr>
        <w:pStyle w:val="17"/>
        <w:spacing w:before="10"/>
        <w:rPr>
          <w:sz w:val="9"/>
        </w:rPr>
      </w:pPr>
    </w:p>
    <w:p w14:paraId="384BF47C">
      <w:pPr>
        <w:pStyle w:val="17"/>
        <w:spacing w:before="71"/>
        <w:ind w:left="161"/>
      </w:pPr>
      <w:r>
        <w:rPr>
          <w:u w:val="single"/>
        </w:rPr>
        <w:t>占用的土地</w:t>
      </w:r>
      <w:r>
        <w:t xml:space="preserve">。 </w:t>
      </w:r>
    </w:p>
    <w:p w14:paraId="52004231">
      <w:pPr>
        <w:pStyle w:val="17"/>
        <w:spacing w:before="10"/>
        <w:rPr>
          <w:sz w:val="9"/>
        </w:rPr>
      </w:pPr>
    </w:p>
    <w:p w14:paraId="08B96643">
      <w:pPr>
        <w:pStyle w:val="317"/>
        <w:numPr>
          <w:ilvl w:val="3"/>
          <w:numId w:val="8"/>
        </w:numPr>
        <w:tabs>
          <w:tab w:val="left" w:pos="1318"/>
        </w:tabs>
        <w:spacing w:before="71"/>
        <w:ind w:hanging="737"/>
        <w:rPr>
          <w:sz w:val="21"/>
        </w:rPr>
      </w:pPr>
      <w:r>
        <w:rPr>
          <w:sz w:val="21"/>
        </w:rPr>
        <w:t>永久占地包括：</w:t>
      </w:r>
      <w:r>
        <w:rPr>
          <w:spacing w:val="-1"/>
          <w:sz w:val="21"/>
          <w:u w:val="single"/>
        </w:rPr>
        <w:t>为实施合同工程而需要的一切永久占用的土地，即合同工程用地红线范围</w:t>
      </w:r>
    </w:p>
    <w:p w14:paraId="520974B3">
      <w:pPr>
        <w:pStyle w:val="17"/>
        <w:spacing w:before="10"/>
        <w:rPr>
          <w:sz w:val="9"/>
        </w:rPr>
      </w:pPr>
    </w:p>
    <w:p w14:paraId="1EA2C9B4">
      <w:pPr>
        <w:pStyle w:val="17"/>
        <w:spacing w:before="71"/>
        <w:ind w:left="161"/>
      </w:pPr>
      <w:r>
        <w:rPr>
          <w:u w:val="single"/>
        </w:rPr>
        <w:t>内的土地</w:t>
      </w:r>
      <w:r>
        <w:t xml:space="preserve">。 </w:t>
      </w:r>
    </w:p>
    <w:p w14:paraId="55157600">
      <w:pPr>
        <w:pStyle w:val="17"/>
        <w:spacing w:before="12"/>
        <w:rPr>
          <w:sz w:val="10"/>
        </w:rPr>
      </w:pPr>
    </w:p>
    <w:p w14:paraId="6A61E5D8">
      <w:pPr>
        <w:pStyle w:val="317"/>
        <w:numPr>
          <w:ilvl w:val="3"/>
          <w:numId w:val="8"/>
        </w:numPr>
        <w:tabs>
          <w:tab w:val="left" w:pos="1423"/>
        </w:tabs>
        <w:spacing w:before="71"/>
        <w:ind w:left="1423" w:hanging="842"/>
        <w:rPr>
          <w:sz w:val="21"/>
        </w:rPr>
      </w:pPr>
      <w:r>
        <w:rPr>
          <w:spacing w:val="-7"/>
          <w:sz w:val="21"/>
        </w:rPr>
        <w:t>临时占地包括：</w:t>
      </w:r>
      <w:r>
        <w:rPr>
          <w:spacing w:val="-3"/>
          <w:sz w:val="21"/>
          <w:u w:val="single"/>
        </w:rPr>
        <w:t>为实施合同工程而需要的一切临时占用的土地，包括施工所用的临时便道</w:t>
      </w:r>
    </w:p>
    <w:p w14:paraId="7C5076A2">
      <w:pPr>
        <w:pStyle w:val="17"/>
        <w:spacing w:before="10"/>
        <w:rPr>
          <w:sz w:val="9"/>
        </w:rPr>
      </w:pPr>
    </w:p>
    <w:p w14:paraId="5EC29D11">
      <w:pPr>
        <w:pStyle w:val="17"/>
        <w:spacing w:before="71"/>
        <w:ind w:left="161"/>
      </w:pPr>
      <w:r>
        <w:rPr>
          <w:u w:val="single"/>
        </w:rPr>
        <w:t>等的临时出入道，以及生产（办公）、生活等临时设施用地</w:t>
      </w:r>
      <w:r>
        <w:t xml:space="preserve">。 </w:t>
      </w:r>
    </w:p>
    <w:p w14:paraId="024A4501">
      <w:pPr>
        <w:pStyle w:val="17"/>
        <w:spacing w:before="11"/>
        <w:rPr>
          <w:sz w:val="9"/>
        </w:rPr>
      </w:pPr>
    </w:p>
    <w:p w14:paraId="3218FE9A">
      <w:pPr>
        <w:pStyle w:val="17"/>
        <w:spacing w:before="70"/>
        <w:ind w:left="581"/>
      </w:pPr>
      <w:r>
        <w:t xml:space="preserve">1.1.6 其他 </w:t>
      </w:r>
    </w:p>
    <w:p w14:paraId="6D265BB3">
      <w:pPr>
        <w:pStyle w:val="17"/>
        <w:spacing w:before="4"/>
        <w:rPr>
          <w:sz w:val="15"/>
        </w:rPr>
      </w:pPr>
    </w:p>
    <w:p w14:paraId="5A9BEC13">
      <w:pPr>
        <w:pStyle w:val="17"/>
        <w:ind w:left="581"/>
        <w:jc w:val="both"/>
      </w:pPr>
      <w:r>
        <w:t xml:space="preserve">本项补充 1.1.6.2～1.1.6.3 目： </w:t>
      </w:r>
    </w:p>
    <w:p w14:paraId="0B13BB29">
      <w:pPr>
        <w:pStyle w:val="17"/>
        <w:spacing w:before="5"/>
        <w:rPr>
          <w:sz w:val="15"/>
        </w:rPr>
      </w:pPr>
    </w:p>
    <w:p w14:paraId="577D9CE5">
      <w:pPr>
        <w:pStyle w:val="317"/>
        <w:numPr>
          <w:ilvl w:val="3"/>
          <w:numId w:val="9"/>
        </w:numPr>
        <w:tabs>
          <w:tab w:val="left" w:pos="1318"/>
        </w:tabs>
        <w:spacing w:line="429" w:lineRule="auto"/>
        <w:ind w:right="1295" w:firstLine="420"/>
        <w:jc w:val="both"/>
        <w:rPr>
          <w:sz w:val="21"/>
        </w:rPr>
      </w:pPr>
      <w:r>
        <w:rPr>
          <w:sz w:val="21"/>
        </w:rPr>
        <w:t>转包、违法分包及挂靠：指符合《住房和城乡建设部关于印发建筑工程施工发包与承包违法行为认定查处管理办法的通知》（</w:t>
      </w:r>
      <w:r>
        <w:rPr>
          <w:spacing w:val="-1"/>
          <w:sz w:val="21"/>
        </w:rPr>
        <w:t>建市规〔</w:t>
      </w:r>
      <w:r>
        <w:rPr>
          <w:sz w:val="21"/>
        </w:rPr>
        <w:t>2019〕1</w:t>
      </w:r>
      <w:r>
        <w:rPr>
          <w:spacing w:val="-23"/>
          <w:sz w:val="21"/>
        </w:rPr>
        <w:t xml:space="preserve"> 号</w:t>
      </w:r>
      <w:r>
        <w:rPr>
          <w:sz w:val="21"/>
        </w:rPr>
        <w:t xml:space="preserve">）规定认定条件的违法行为。 </w:t>
      </w:r>
    </w:p>
    <w:p w14:paraId="1D8F889D">
      <w:pPr>
        <w:pStyle w:val="317"/>
        <w:numPr>
          <w:ilvl w:val="3"/>
          <w:numId w:val="9"/>
        </w:numPr>
        <w:tabs>
          <w:tab w:val="left" w:pos="1318"/>
        </w:tabs>
        <w:spacing w:line="251" w:lineRule="exact"/>
        <w:ind w:left="1318" w:hanging="737"/>
        <w:jc w:val="both"/>
        <w:rPr>
          <w:sz w:val="21"/>
        </w:rPr>
      </w:pPr>
      <w:r>
        <w:rPr>
          <w:spacing w:val="-4"/>
          <w:sz w:val="21"/>
        </w:rPr>
        <w:t>危险性较大的分部分项工程</w:t>
      </w:r>
      <w:r>
        <w:rPr>
          <w:sz w:val="21"/>
        </w:rPr>
        <w:t>（</w:t>
      </w:r>
      <w:r>
        <w:rPr>
          <w:spacing w:val="-7"/>
          <w:sz w:val="21"/>
        </w:rPr>
        <w:t>以下简称“危大工程</w:t>
      </w:r>
      <w:r>
        <w:rPr>
          <w:spacing w:val="-46"/>
          <w:sz w:val="21"/>
        </w:rPr>
        <w:t>”）：</w:t>
      </w:r>
      <w:r>
        <w:rPr>
          <w:spacing w:val="-6"/>
          <w:sz w:val="21"/>
        </w:rPr>
        <w:t xml:space="preserve">指住房和城乡建设部令第 </w:t>
      </w:r>
      <w:r>
        <w:rPr>
          <w:sz w:val="21"/>
        </w:rPr>
        <w:t>37</w:t>
      </w:r>
      <w:r>
        <w:rPr>
          <w:spacing w:val="-27"/>
          <w:sz w:val="21"/>
        </w:rPr>
        <w:t xml:space="preserve"> 号《危</w:t>
      </w:r>
    </w:p>
    <w:p w14:paraId="6D7CAA28">
      <w:pPr>
        <w:pStyle w:val="17"/>
        <w:spacing w:before="4"/>
        <w:rPr>
          <w:sz w:val="15"/>
        </w:rPr>
      </w:pPr>
    </w:p>
    <w:p w14:paraId="6A0F50BB">
      <w:pPr>
        <w:pStyle w:val="17"/>
        <w:spacing w:line="415" w:lineRule="auto"/>
        <w:ind w:left="161" w:right="1295"/>
        <w:jc w:val="both"/>
      </w:pPr>
      <w:r>
        <w:t xml:space="preserve">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 </w:t>
      </w:r>
    </w:p>
    <w:p w14:paraId="6784B687">
      <w:pPr>
        <w:pStyle w:val="3"/>
        <w:numPr>
          <w:ilvl w:val="1"/>
          <w:numId w:val="10"/>
        </w:numPr>
        <w:tabs>
          <w:tab w:val="left" w:pos="942"/>
        </w:tabs>
        <w:spacing w:line="335" w:lineRule="exact"/>
        <w:ind w:hanging="361"/>
        <w:jc w:val="left"/>
      </w:pPr>
      <w:r>
        <w:rPr>
          <w:spacing w:val="8"/>
        </w:rPr>
        <w:t>标准和规范</w:t>
      </w:r>
      <w:r>
        <w:rPr>
          <w:w w:val="167"/>
        </w:rPr>
        <w:t xml:space="preserve"> </w:t>
      </w:r>
    </w:p>
    <w:p w14:paraId="38219DF6">
      <w:pPr>
        <w:pStyle w:val="317"/>
        <w:numPr>
          <w:ilvl w:val="2"/>
          <w:numId w:val="10"/>
        </w:numPr>
        <w:tabs>
          <w:tab w:val="left" w:pos="1108"/>
        </w:tabs>
        <w:spacing w:before="145"/>
        <w:ind w:hanging="527"/>
        <w:rPr>
          <w:sz w:val="21"/>
        </w:rPr>
      </w:pPr>
      <w:r>
        <w:rPr>
          <w:spacing w:val="-1"/>
          <w:sz w:val="21"/>
        </w:rPr>
        <w:t>适用于工程的标准规范包括：</w:t>
      </w:r>
      <w:r>
        <w:rPr>
          <w:sz w:val="21"/>
        </w:rPr>
        <w:t xml:space="preserve"> </w:t>
      </w:r>
    </w:p>
    <w:p w14:paraId="483113F1">
      <w:pPr>
        <w:pStyle w:val="17"/>
        <w:spacing w:before="4"/>
        <w:rPr>
          <w:sz w:val="15"/>
        </w:rPr>
      </w:pPr>
    </w:p>
    <w:p w14:paraId="76E5865C">
      <w:pPr>
        <w:pStyle w:val="317"/>
        <w:numPr>
          <w:ilvl w:val="0"/>
          <w:numId w:val="11"/>
        </w:numPr>
        <w:tabs>
          <w:tab w:val="left" w:pos="1109"/>
        </w:tabs>
        <w:ind w:hanging="528"/>
        <w:rPr>
          <w:sz w:val="21"/>
        </w:rPr>
      </w:pPr>
      <w:r>
        <w:rPr>
          <w:spacing w:val="-1"/>
          <w:sz w:val="21"/>
        </w:rPr>
        <w:t>施工图所涉及的技术标准、规范、规程、图集等；</w:t>
      </w:r>
      <w:r>
        <w:rPr>
          <w:sz w:val="21"/>
        </w:rPr>
        <w:t xml:space="preserve"> </w:t>
      </w:r>
    </w:p>
    <w:p w14:paraId="23C4B825">
      <w:pPr>
        <w:pStyle w:val="17"/>
        <w:spacing w:before="4"/>
        <w:rPr>
          <w:sz w:val="15"/>
        </w:rPr>
      </w:pPr>
    </w:p>
    <w:p w14:paraId="2605F8EE">
      <w:pPr>
        <w:pStyle w:val="317"/>
        <w:numPr>
          <w:ilvl w:val="0"/>
          <w:numId w:val="11"/>
        </w:numPr>
        <w:tabs>
          <w:tab w:val="left" w:pos="1109"/>
        </w:tabs>
        <w:spacing w:line="415" w:lineRule="auto"/>
        <w:ind w:left="161" w:right="1299" w:firstLine="420"/>
        <w:rPr>
          <w:sz w:val="21"/>
        </w:rPr>
      </w:pPr>
      <w:r>
        <w:rPr>
          <w:spacing w:val="-9"/>
          <w:sz w:val="21"/>
        </w:rPr>
        <w:t>国家、行业或重庆市与本工程有关的标准，以及相应的规范、规程等，当这些标准、规范、规程不一致时，以标准、规范、规程要求最高的为准。</w:t>
      </w:r>
      <w:r>
        <w:rPr>
          <w:sz w:val="21"/>
        </w:rPr>
        <w:t xml:space="preserve"> </w:t>
      </w:r>
    </w:p>
    <w:p w14:paraId="3E347420">
      <w:pPr>
        <w:pStyle w:val="17"/>
        <w:spacing w:before="16"/>
        <w:ind w:left="581"/>
      </w:pPr>
      <w:r>
        <w:t>（3）</w:t>
      </w:r>
      <w:r>
        <w:rPr>
          <w:u w:val="single"/>
        </w:rPr>
        <w:t xml:space="preserve"> </w:t>
      </w:r>
      <w:r>
        <w:t xml:space="preserve">。 </w:t>
      </w:r>
    </w:p>
    <w:p w14:paraId="28F53310">
      <w:pPr>
        <w:pStyle w:val="17"/>
        <w:spacing w:before="10"/>
        <w:rPr>
          <w:sz w:val="9"/>
        </w:rPr>
      </w:pPr>
    </w:p>
    <w:p w14:paraId="0DF2396F">
      <w:pPr>
        <w:pStyle w:val="317"/>
        <w:numPr>
          <w:ilvl w:val="2"/>
          <w:numId w:val="10"/>
        </w:numPr>
        <w:tabs>
          <w:tab w:val="left" w:pos="1108"/>
        </w:tabs>
        <w:spacing w:before="71"/>
        <w:ind w:hanging="527"/>
        <w:rPr>
          <w:sz w:val="21"/>
        </w:rPr>
      </w:pPr>
      <w:r>
        <w:rPr>
          <w:spacing w:val="-1"/>
          <w:sz w:val="21"/>
        </w:rPr>
        <w:t>发包人提供国外标准、规范的名称：</w:t>
      </w:r>
      <w:r>
        <w:rPr>
          <w:sz w:val="21"/>
          <w:u w:val="single"/>
        </w:rPr>
        <w:t xml:space="preserve"> /</w:t>
      </w:r>
      <w:r>
        <w:rPr>
          <w:sz w:val="21"/>
        </w:rPr>
        <w:t xml:space="preserve"> ； </w:t>
      </w:r>
    </w:p>
    <w:p w14:paraId="0B766B2A">
      <w:pPr>
        <w:pStyle w:val="17"/>
        <w:spacing w:before="10"/>
        <w:rPr>
          <w:sz w:val="9"/>
        </w:rPr>
      </w:pPr>
    </w:p>
    <w:p w14:paraId="57F5F5AB">
      <w:pPr>
        <w:pStyle w:val="17"/>
        <w:spacing w:before="70"/>
        <w:ind w:left="581"/>
      </w:pPr>
      <w:r>
        <w:rPr>
          <w:spacing w:val="-1"/>
        </w:rPr>
        <w:t>发包人提供国外标准、规范的份数：</w:t>
      </w:r>
      <w:r>
        <w:rPr>
          <w:u w:val="single"/>
        </w:rPr>
        <w:t xml:space="preserve"> /</w:t>
      </w:r>
      <w:r>
        <w:rPr>
          <w:spacing w:val="-1"/>
          <w:u w:val="single"/>
        </w:rPr>
        <w:t xml:space="preserve"> </w:t>
      </w:r>
      <w:r>
        <w:t xml:space="preserve">； </w:t>
      </w:r>
    </w:p>
    <w:p w14:paraId="452BC125">
      <w:pPr>
        <w:pStyle w:val="17"/>
        <w:spacing w:before="11"/>
        <w:rPr>
          <w:sz w:val="9"/>
        </w:rPr>
      </w:pPr>
    </w:p>
    <w:p w14:paraId="1EBDF7FC">
      <w:pPr>
        <w:pStyle w:val="17"/>
        <w:spacing w:before="70"/>
        <w:ind w:left="581"/>
      </w:pPr>
      <w:r>
        <w:rPr>
          <w:spacing w:val="-1"/>
        </w:rPr>
        <w:t>发包人提供国外标准、规范的名称：</w:t>
      </w:r>
      <w:r>
        <w:rPr>
          <w:u w:val="single"/>
        </w:rPr>
        <w:t xml:space="preserve"> /</w:t>
      </w:r>
      <w:r>
        <w:rPr>
          <w:spacing w:val="-1"/>
          <w:u w:val="single"/>
        </w:rPr>
        <w:t xml:space="preserve"> </w:t>
      </w:r>
      <w:r>
        <w:t xml:space="preserve">。 </w:t>
      </w:r>
    </w:p>
    <w:p w14:paraId="7CB0C678">
      <w:pPr>
        <w:pStyle w:val="17"/>
        <w:spacing w:before="11"/>
        <w:rPr>
          <w:sz w:val="9"/>
        </w:rPr>
      </w:pPr>
    </w:p>
    <w:p w14:paraId="65130C44">
      <w:pPr>
        <w:pStyle w:val="317"/>
        <w:numPr>
          <w:ilvl w:val="2"/>
          <w:numId w:val="10"/>
        </w:numPr>
        <w:tabs>
          <w:tab w:val="left" w:pos="1108"/>
        </w:tabs>
        <w:spacing w:before="70"/>
        <w:ind w:hanging="527"/>
        <w:rPr>
          <w:sz w:val="21"/>
        </w:rPr>
      </w:pPr>
      <w:r>
        <w:rPr>
          <w:spacing w:val="-1"/>
          <w:sz w:val="21"/>
        </w:rPr>
        <w:t>发包人对工程的技术标准和功能要求的特殊要求：</w:t>
      </w:r>
      <w:r>
        <w:rPr>
          <w:spacing w:val="-3"/>
          <w:sz w:val="21"/>
          <w:u w:val="single"/>
        </w:rPr>
        <w:t>/</w:t>
      </w:r>
      <w:r>
        <w:rPr>
          <w:sz w:val="21"/>
        </w:rPr>
        <w:t xml:space="preserve"> 。 </w:t>
      </w:r>
    </w:p>
    <w:p w14:paraId="67A15D0B">
      <w:pPr>
        <w:pStyle w:val="17"/>
        <w:rPr>
          <w:sz w:val="11"/>
        </w:rPr>
      </w:pPr>
    </w:p>
    <w:p w14:paraId="152235F0">
      <w:pPr>
        <w:pStyle w:val="3"/>
        <w:numPr>
          <w:ilvl w:val="1"/>
          <w:numId w:val="10"/>
        </w:numPr>
        <w:tabs>
          <w:tab w:val="left" w:pos="942"/>
        </w:tabs>
        <w:spacing w:before="4"/>
        <w:ind w:hanging="361"/>
        <w:jc w:val="left"/>
      </w:pPr>
      <w:r>
        <w:rPr>
          <w:spacing w:val="3"/>
        </w:rPr>
        <w:t>合同文件的优先顺序</w:t>
      </w:r>
      <w:r>
        <w:rPr>
          <w:spacing w:val="3"/>
          <w:w w:val="167"/>
        </w:rPr>
        <w:t xml:space="preserve"> </w:t>
      </w:r>
    </w:p>
    <w:p w14:paraId="5ACF0F9A">
      <w:pPr>
        <w:pStyle w:val="17"/>
        <w:spacing w:before="145"/>
        <w:ind w:left="581"/>
      </w:pPr>
      <w:r>
        <w:t>合同文件组成及优先顺序为：</w:t>
      </w:r>
      <w:r>
        <w:rPr>
          <w:rFonts w:hint="eastAsia"/>
          <w:spacing w:val="-3"/>
          <w:szCs w:val="22"/>
          <w:highlight w:val="yellow"/>
          <w:u w:val="single"/>
        </w:rPr>
        <w:t>合同解释顺序为互相解释，互为说明，当合同文件内容出现含糊不清或不相一致时，以合同专用条款为准。若合同条款有歧义的，承包人同意以发包人的解释为准，承包人遵照执行。</w:t>
      </w:r>
      <w:r>
        <w:t xml:space="preserve"> </w:t>
      </w:r>
    </w:p>
    <w:p w14:paraId="30B575FA">
      <w:pPr>
        <w:sectPr>
          <w:pgSz w:w="11910" w:h="16850"/>
          <w:pgMar w:top="1440" w:right="1080" w:bottom="1440" w:left="1080" w:header="0" w:footer="996" w:gutter="0"/>
          <w:cols w:space="720" w:num="1"/>
        </w:sectPr>
      </w:pPr>
    </w:p>
    <w:p w14:paraId="75F9D0E6">
      <w:pPr>
        <w:pStyle w:val="3"/>
        <w:numPr>
          <w:ilvl w:val="1"/>
          <w:numId w:val="10"/>
        </w:numPr>
        <w:tabs>
          <w:tab w:val="left" w:pos="1107"/>
        </w:tabs>
        <w:spacing w:line="367" w:lineRule="exact"/>
        <w:ind w:left="1107" w:hanging="361"/>
        <w:jc w:val="left"/>
      </w:pPr>
      <w:r>
        <w:rPr>
          <w:spacing w:val="4"/>
        </w:rPr>
        <w:t>图纸和承包人文件</w:t>
      </w:r>
      <w:r>
        <w:rPr>
          <w:spacing w:val="4"/>
          <w:w w:val="167"/>
        </w:rPr>
        <w:t xml:space="preserve"> </w:t>
      </w:r>
    </w:p>
    <w:p w14:paraId="49DA0C1F">
      <w:pPr>
        <w:pStyle w:val="317"/>
        <w:numPr>
          <w:ilvl w:val="2"/>
          <w:numId w:val="10"/>
        </w:numPr>
        <w:tabs>
          <w:tab w:val="left" w:pos="1273"/>
        </w:tabs>
        <w:spacing w:before="145"/>
        <w:ind w:left="1273" w:hanging="527"/>
        <w:rPr>
          <w:sz w:val="21"/>
        </w:rPr>
      </w:pPr>
      <w:r>
        <w:rPr>
          <w:sz w:val="21"/>
        </w:rPr>
        <w:t xml:space="preserve">图纸的提供和交底 </w:t>
      </w:r>
    </w:p>
    <w:p w14:paraId="20542234">
      <w:pPr>
        <w:pStyle w:val="17"/>
        <w:spacing w:before="4"/>
        <w:rPr>
          <w:sz w:val="15"/>
        </w:rPr>
      </w:pPr>
    </w:p>
    <w:p w14:paraId="02ABE858">
      <w:pPr>
        <w:pStyle w:val="17"/>
        <w:ind w:left="746"/>
      </w:pPr>
      <w:r>
        <w:t>发包人向承包人提供图纸的期限：</w:t>
      </w:r>
      <w:r>
        <w:rPr>
          <w:spacing w:val="-6"/>
          <w:u w:val="single"/>
        </w:rPr>
        <w:t xml:space="preserve">通用合同条款第 </w:t>
      </w:r>
      <w:r>
        <w:rPr>
          <w:u w:val="single"/>
        </w:rPr>
        <w:t>7.3.2</w:t>
      </w:r>
      <w:r>
        <w:rPr>
          <w:spacing w:val="-10"/>
          <w:u w:val="single"/>
        </w:rPr>
        <w:t xml:space="preserve"> 款〔开工通知〕载明的开工日期前 </w:t>
      </w:r>
      <w:r>
        <w:rPr>
          <w:spacing w:val="-8"/>
          <w:u w:val="single"/>
        </w:rPr>
        <w:t>14</w:t>
      </w:r>
      <w:r>
        <w:rPr>
          <w:spacing w:val="-23"/>
          <w:u w:val="single"/>
        </w:rPr>
        <w:t xml:space="preserve"> 天</w:t>
      </w:r>
      <w:r>
        <w:rPr>
          <w:spacing w:val="-105"/>
        </w:rPr>
        <w:t>；</w:t>
      </w:r>
      <w:r>
        <w:t xml:space="preserve"> </w:t>
      </w:r>
    </w:p>
    <w:p w14:paraId="6894D6FC">
      <w:pPr>
        <w:pStyle w:val="17"/>
        <w:rPr>
          <w:sz w:val="11"/>
        </w:rPr>
      </w:pPr>
    </w:p>
    <w:p w14:paraId="18A08370">
      <w:pPr>
        <w:pStyle w:val="17"/>
        <w:spacing w:before="70"/>
        <w:ind w:left="746"/>
      </w:pPr>
      <w:r>
        <w:t>发包人向承包人提供图纸的数量：</w:t>
      </w:r>
      <w:r>
        <w:rPr>
          <w:u w:val="single"/>
        </w:rPr>
        <w:t xml:space="preserve"> </w:t>
      </w:r>
      <w:r>
        <w:rPr>
          <w:rFonts w:hint="eastAsia"/>
          <w:u w:val="single"/>
          <w:lang w:val="en-US"/>
        </w:rPr>
        <w:t xml:space="preserve">    </w:t>
      </w:r>
      <w:r>
        <w:rPr>
          <w:u w:val="single"/>
        </w:rPr>
        <w:t>套</w:t>
      </w:r>
      <w:r>
        <w:t xml:space="preserve">；  </w:t>
      </w:r>
    </w:p>
    <w:p w14:paraId="6976B9CE">
      <w:pPr>
        <w:pStyle w:val="17"/>
        <w:spacing w:before="11"/>
        <w:rPr>
          <w:sz w:val="9"/>
        </w:rPr>
      </w:pPr>
    </w:p>
    <w:p w14:paraId="5B36C9F0">
      <w:pPr>
        <w:pStyle w:val="17"/>
        <w:spacing w:before="71"/>
        <w:ind w:left="746"/>
      </w:pPr>
      <w:r>
        <w:t>发包人向承包人提供图纸的内容：</w:t>
      </w:r>
      <w:r>
        <w:rPr>
          <w:u w:val="single"/>
        </w:rPr>
        <w:t>工程承包范围内工程的施工图设计文件</w:t>
      </w:r>
      <w:r>
        <w:t xml:space="preserve">； </w:t>
      </w:r>
    </w:p>
    <w:p w14:paraId="68DE05A7">
      <w:pPr>
        <w:pStyle w:val="17"/>
        <w:spacing w:before="10"/>
        <w:rPr>
          <w:sz w:val="9"/>
        </w:rPr>
      </w:pPr>
    </w:p>
    <w:p w14:paraId="39AF36B6">
      <w:pPr>
        <w:pStyle w:val="17"/>
        <w:spacing w:before="71"/>
        <w:ind w:left="746"/>
      </w:pPr>
      <w:r>
        <w:t>发包人组织承包人、监理人和设计人进行图纸会审和设计交底的时间：</w:t>
      </w:r>
      <w:r>
        <w:rPr>
          <w:u w:val="single"/>
        </w:rPr>
        <w:t>提供施工图后 7 天内</w:t>
      </w:r>
      <w:r>
        <w:t xml:space="preserve">。 </w:t>
      </w:r>
    </w:p>
    <w:p w14:paraId="2A57203C">
      <w:pPr>
        <w:pStyle w:val="17"/>
        <w:spacing w:before="10"/>
        <w:rPr>
          <w:sz w:val="9"/>
        </w:rPr>
      </w:pPr>
    </w:p>
    <w:p w14:paraId="5A014ABD">
      <w:pPr>
        <w:pStyle w:val="17"/>
        <w:spacing w:before="71"/>
        <w:ind w:left="746"/>
      </w:pPr>
      <w:r>
        <w:rPr>
          <w:u w:val="single"/>
        </w:rPr>
        <w:t>承包人可以书面方式通过监理人向发包人申请进行紧急的设计交底，发包人认为确有必要且条件许</w:t>
      </w:r>
    </w:p>
    <w:p w14:paraId="09C6FE48">
      <w:pPr>
        <w:pStyle w:val="17"/>
        <w:spacing w:before="10"/>
        <w:rPr>
          <w:sz w:val="9"/>
        </w:rPr>
      </w:pPr>
    </w:p>
    <w:p w14:paraId="6C36521B">
      <w:pPr>
        <w:pStyle w:val="17"/>
        <w:spacing w:before="71"/>
        <w:ind w:left="326"/>
      </w:pPr>
      <w:r>
        <w:rPr>
          <w:u w:val="single"/>
        </w:rPr>
        <w:t>可时，应尽快组织实施承包人申请的设计交底。</w:t>
      </w:r>
      <w:r>
        <w:t xml:space="preserve"> </w:t>
      </w:r>
    </w:p>
    <w:p w14:paraId="374C2D0A">
      <w:pPr>
        <w:pStyle w:val="17"/>
        <w:spacing w:before="12"/>
        <w:rPr>
          <w:sz w:val="10"/>
        </w:rPr>
      </w:pPr>
    </w:p>
    <w:p w14:paraId="230F84A6">
      <w:pPr>
        <w:pStyle w:val="317"/>
        <w:numPr>
          <w:ilvl w:val="2"/>
          <w:numId w:val="10"/>
        </w:numPr>
        <w:tabs>
          <w:tab w:val="left" w:pos="1273"/>
        </w:tabs>
        <w:spacing w:before="71"/>
        <w:ind w:left="1273" w:hanging="527"/>
        <w:rPr>
          <w:sz w:val="21"/>
        </w:rPr>
      </w:pPr>
      <w:r>
        <w:rPr>
          <w:sz w:val="21"/>
        </w:rPr>
        <w:t xml:space="preserve">图纸的错误 </w:t>
      </w:r>
    </w:p>
    <w:p w14:paraId="77E43287">
      <w:pPr>
        <w:pStyle w:val="17"/>
        <w:spacing w:before="4"/>
        <w:rPr>
          <w:sz w:val="15"/>
        </w:rPr>
      </w:pPr>
    </w:p>
    <w:p w14:paraId="5730DF24">
      <w:pPr>
        <w:pStyle w:val="17"/>
        <w:spacing w:line="415" w:lineRule="auto"/>
        <w:ind w:left="326" w:right="1130" w:firstLine="420"/>
        <w:jc w:val="both"/>
      </w:pPr>
      <w:r>
        <w:t xml:space="preserve">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 </w:t>
      </w:r>
    </w:p>
    <w:p w14:paraId="3D85607C">
      <w:pPr>
        <w:pStyle w:val="17"/>
        <w:spacing w:line="429" w:lineRule="auto"/>
        <w:ind w:left="746" w:right="3769"/>
      </w:pPr>
      <w:r>
        <w:t xml:space="preserve">承包人不得利用图纸的差错、遗漏或缺陷，从中获得不正当的利益。1.6.4 承包人文件 </w:t>
      </w:r>
    </w:p>
    <w:p w14:paraId="6C542B9D">
      <w:pPr>
        <w:pStyle w:val="17"/>
        <w:spacing w:line="251" w:lineRule="exact"/>
        <w:ind w:left="746"/>
      </w:pPr>
      <w:r>
        <w:rPr>
          <w:spacing w:val="-1"/>
        </w:rPr>
        <w:t>需要由承包人提供的书面文件，包括：</w:t>
      </w:r>
      <w:r>
        <w:rPr>
          <w:spacing w:val="-1"/>
          <w:u w:val="single"/>
        </w:rPr>
        <w:t>施工组织设计、专项施工方案、危险性较大分部分项工程施</w:t>
      </w:r>
    </w:p>
    <w:p w14:paraId="2FF9BBEB">
      <w:pPr>
        <w:pStyle w:val="17"/>
        <w:spacing w:before="11"/>
        <w:rPr>
          <w:sz w:val="9"/>
        </w:rPr>
      </w:pPr>
    </w:p>
    <w:p w14:paraId="06304F9C">
      <w:pPr>
        <w:pStyle w:val="17"/>
        <w:spacing w:before="70"/>
        <w:ind w:left="326"/>
      </w:pPr>
      <w:r>
        <w:rPr>
          <w:u w:val="single"/>
        </w:rPr>
        <w:t>工方案（如有）、安全应急方案、进度计划、报表及计划、竣工资料及施工过程中因工程变更需要报送</w:t>
      </w:r>
    </w:p>
    <w:p w14:paraId="51559C07">
      <w:pPr>
        <w:pStyle w:val="17"/>
        <w:spacing w:before="11"/>
        <w:rPr>
          <w:sz w:val="9"/>
        </w:rPr>
      </w:pPr>
    </w:p>
    <w:p w14:paraId="0726A84A">
      <w:pPr>
        <w:pStyle w:val="17"/>
        <w:spacing w:before="70"/>
        <w:ind w:left="326"/>
      </w:pPr>
      <w:r>
        <w:rPr>
          <w:u w:val="single"/>
        </w:rPr>
        <w:t>的施工方案、施工过程中涉及工程价款变更的相关资料、完整的竣工结算资料等</w:t>
      </w:r>
      <w:r>
        <w:t xml:space="preserve">。 </w:t>
      </w:r>
    </w:p>
    <w:p w14:paraId="26D28AE4">
      <w:pPr>
        <w:pStyle w:val="17"/>
        <w:spacing w:before="11"/>
        <w:rPr>
          <w:sz w:val="9"/>
        </w:rPr>
      </w:pPr>
    </w:p>
    <w:p w14:paraId="6D84BA67">
      <w:pPr>
        <w:pStyle w:val="17"/>
        <w:spacing w:before="71"/>
        <w:ind w:left="746"/>
      </w:pPr>
      <w:r>
        <w:t xml:space="preserve">承包人提供文件的期限、数量： </w:t>
      </w:r>
    </w:p>
    <w:p w14:paraId="3519F5D5">
      <w:pPr>
        <w:pStyle w:val="17"/>
        <w:spacing w:before="6"/>
        <w:rPr>
          <w:sz w:val="16"/>
        </w:rPr>
      </w:pPr>
    </w:p>
    <w:p w14:paraId="7633B951">
      <w:pPr>
        <w:pStyle w:val="317"/>
        <w:numPr>
          <w:ilvl w:val="0"/>
          <w:numId w:val="12"/>
        </w:numPr>
        <w:tabs>
          <w:tab w:val="left" w:pos="1274"/>
        </w:tabs>
        <w:ind w:hanging="528"/>
        <w:rPr>
          <w:sz w:val="21"/>
        </w:rPr>
      </w:pPr>
      <w:r>
        <w:rPr>
          <w:spacing w:val="-5"/>
          <w:sz w:val="21"/>
          <w:u w:val="single"/>
        </w:rPr>
        <w:t xml:space="preserve">图纸会审及设计交底后 </w:t>
      </w:r>
      <w:r>
        <w:rPr>
          <w:sz w:val="21"/>
          <w:u w:val="single"/>
        </w:rPr>
        <w:t>7</w:t>
      </w:r>
      <w:r>
        <w:rPr>
          <w:spacing w:val="-11"/>
          <w:sz w:val="21"/>
          <w:u w:val="single"/>
        </w:rPr>
        <w:t xml:space="preserve"> 天内，向监理人、发包人提交经优化完善的施工组织设计和工程总体</w:t>
      </w:r>
    </w:p>
    <w:p w14:paraId="328B04B6">
      <w:pPr>
        <w:pStyle w:val="17"/>
        <w:spacing w:before="10"/>
        <w:rPr>
          <w:sz w:val="9"/>
        </w:rPr>
      </w:pPr>
    </w:p>
    <w:p w14:paraId="5DCC01B2">
      <w:pPr>
        <w:pStyle w:val="17"/>
        <w:spacing w:before="71"/>
        <w:ind w:left="326"/>
      </w:pPr>
      <w:r>
        <w:rPr>
          <w:u w:val="single"/>
        </w:rPr>
        <w:t>进度计划及当年年度施工进度计划。进度计划安排必须符合发包人对本工程总体进度计划的安排。专项</w:t>
      </w:r>
    </w:p>
    <w:p w14:paraId="32E96030">
      <w:pPr>
        <w:pStyle w:val="17"/>
        <w:spacing w:before="10"/>
        <w:rPr>
          <w:sz w:val="9"/>
        </w:rPr>
      </w:pPr>
    </w:p>
    <w:p w14:paraId="6259A776">
      <w:pPr>
        <w:pStyle w:val="17"/>
        <w:spacing w:before="71"/>
        <w:ind w:left="326"/>
      </w:pPr>
      <w:r>
        <w:rPr>
          <w:spacing w:val="-5"/>
          <w:u w:val="single"/>
        </w:rPr>
        <w:t xml:space="preserve">施工方案应在专项施工 </w:t>
      </w:r>
      <w:r>
        <w:rPr>
          <w:u w:val="single"/>
        </w:rPr>
        <w:t>7</w:t>
      </w:r>
      <w:r>
        <w:rPr>
          <w:spacing w:val="-8"/>
          <w:u w:val="single"/>
        </w:rPr>
        <w:t xml:space="preserve"> 日前通过审查</w:t>
      </w:r>
      <w:r>
        <w:rPr>
          <w:u w:val="single"/>
        </w:rPr>
        <w:t>（含专家论证）。施工组织设计和专项施工方案经监理人审批同</w:t>
      </w:r>
    </w:p>
    <w:p w14:paraId="1B963D47">
      <w:pPr>
        <w:pStyle w:val="17"/>
        <w:spacing w:before="10"/>
        <w:rPr>
          <w:sz w:val="9"/>
        </w:rPr>
      </w:pPr>
    </w:p>
    <w:p w14:paraId="501D6E38">
      <w:pPr>
        <w:pStyle w:val="17"/>
        <w:spacing w:before="71"/>
        <w:ind w:left="326"/>
      </w:pPr>
      <w:r>
        <w:rPr>
          <w:u w:val="single"/>
        </w:rPr>
        <w:t>意后执行。承包人应接受监理人、发包人对其提交的施工组织设计和专项施工方案中不合理的工期安排</w:t>
      </w:r>
    </w:p>
    <w:p w14:paraId="78B4D6F7">
      <w:pPr>
        <w:pStyle w:val="17"/>
        <w:spacing w:before="10"/>
        <w:rPr>
          <w:sz w:val="9"/>
        </w:rPr>
      </w:pPr>
    </w:p>
    <w:p w14:paraId="5233F383">
      <w:pPr>
        <w:pStyle w:val="17"/>
        <w:spacing w:before="71"/>
        <w:ind w:left="326"/>
      </w:pPr>
      <w:r>
        <w:rPr>
          <w:u w:val="single"/>
        </w:rPr>
        <w:t>及技术措施、方案的修改意见，并修改完善后重新报批，直至获得批准</w:t>
      </w:r>
      <w:r>
        <w:t xml:space="preserve">。 </w:t>
      </w:r>
    </w:p>
    <w:p w14:paraId="22390A92">
      <w:pPr>
        <w:pStyle w:val="17"/>
        <w:rPr>
          <w:sz w:val="11"/>
        </w:rPr>
      </w:pPr>
    </w:p>
    <w:p w14:paraId="75AAB037">
      <w:pPr>
        <w:pStyle w:val="317"/>
        <w:numPr>
          <w:ilvl w:val="0"/>
          <w:numId w:val="12"/>
        </w:numPr>
        <w:tabs>
          <w:tab w:val="left" w:pos="1274"/>
        </w:tabs>
        <w:spacing w:before="70"/>
        <w:ind w:hanging="528"/>
        <w:rPr>
          <w:sz w:val="21"/>
        </w:rPr>
      </w:pPr>
      <w:r>
        <w:rPr>
          <w:spacing w:val="2"/>
          <w:sz w:val="21"/>
          <w:u w:val="single"/>
        </w:rPr>
        <w:t>每月 日前报送月工程进度完成报表</w:t>
      </w:r>
      <w:r>
        <w:rPr>
          <w:sz w:val="21"/>
        </w:rPr>
        <w:t xml:space="preserve">。 </w:t>
      </w:r>
    </w:p>
    <w:p w14:paraId="579CA991">
      <w:pPr>
        <w:pStyle w:val="17"/>
        <w:spacing w:before="11"/>
        <w:rPr>
          <w:sz w:val="9"/>
        </w:rPr>
      </w:pPr>
    </w:p>
    <w:p w14:paraId="11AC0690">
      <w:pPr>
        <w:pStyle w:val="317"/>
        <w:numPr>
          <w:ilvl w:val="0"/>
          <w:numId w:val="12"/>
        </w:numPr>
        <w:tabs>
          <w:tab w:val="left" w:pos="1274"/>
        </w:tabs>
        <w:spacing w:before="70"/>
        <w:ind w:hanging="528"/>
        <w:rPr>
          <w:sz w:val="21"/>
        </w:rPr>
      </w:pPr>
      <w:r>
        <w:rPr>
          <w:spacing w:val="-1"/>
          <w:sz w:val="21"/>
        </w:rPr>
        <w:t>合同另有约定的，按照其约定。</w:t>
      </w:r>
      <w:r>
        <w:rPr>
          <w:sz w:val="21"/>
        </w:rPr>
        <w:t xml:space="preserve"> </w:t>
      </w:r>
    </w:p>
    <w:p w14:paraId="4C9BF15B">
      <w:pPr>
        <w:pStyle w:val="17"/>
        <w:spacing w:before="4"/>
        <w:rPr>
          <w:sz w:val="15"/>
        </w:rPr>
      </w:pPr>
    </w:p>
    <w:p w14:paraId="6CA12815">
      <w:pPr>
        <w:pStyle w:val="17"/>
        <w:spacing w:line="415" w:lineRule="auto"/>
        <w:ind w:left="326" w:right="1121" w:firstLine="420"/>
        <w:jc w:val="both"/>
      </w:pPr>
      <w:r>
        <w:t>承包人提供的文件的形式：□采用电子招标的，投标文件以电子文档为准，其他文件以书面文件为准；□采用纸质招标的，当书面文件与电子文档不一致的，以书面文件为准。监理人审批承包人文件的期限：</w:t>
      </w:r>
      <w:r>
        <w:rPr>
          <w:spacing w:val="-2"/>
          <w:u w:val="single"/>
        </w:rPr>
        <w:t xml:space="preserve">收到施工组织设计和工程总体进度计划及当年年度施工进度计划后 </w:t>
      </w:r>
      <w:r>
        <w:rPr>
          <w:u w:val="single"/>
        </w:rPr>
        <w:t>7</w:t>
      </w:r>
      <w:r>
        <w:rPr>
          <w:spacing w:val="-7"/>
          <w:u w:val="single"/>
        </w:rPr>
        <w:t xml:space="preserve"> 天内；合同另有约定的，从</w:t>
      </w:r>
    </w:p>
    <w:p w14:paraId="4122EE30">
      <w:pPr>
        <w:pStyle w:val="17"/>
        <w:spacing w:before="15"/>
        <w:ind w:left="326"/>
      </w:pPr>
      <w:r>
        <w:rPr>
          <w:u w:val="single"/>
        </w:rPr>
        <w:t>其约定</w:t>
      </w:r>
      <w:r>
        <w:t xml:space="preserve">。 </w:t>
      </w:r>
    </w:p>
    <w:p w14:paraId="65920FA8">
      <w:pPr>
        <w:pStyle w:val="17"/>
        <w:spacing w:before="11"/>
        <w:rPr>
          <w:sz w:val="9"/>
        </w:rPr>
      </w:pPr>
    </w:p>
    <w:p w14:paraId="339BE9FD">
      <w:pPr>
        <w:pStyle w:val="17"/>
        <w:spacing w:before="71"/>
        <w:ind w:left="746"/>
      </w:pPr>
      <w:r>
        <w:t>承包人提供的文件的费用：</w:t>
      </w:r>
      <w:r>
        <w:rPr>
          <w:u w:val="single"/>
        </w:rPr>
        <w:t>由承包人承担</w:t>
      </w:r>
      <w:r>
        <w:t xml:space="preserve">。 </w:t>
      </w:r>
    </w:p>
    <w:p w14:paraId="711E03FD">
      <w:pPr>
        <w:sectPr>
          <w:pgSz w:w="11910" w:h="16850"/>
          <w:pgMar w:top="1440" w:right="1080" w:bottom="1440" w:left="1080" w:header="0" w:footer="996" w:gutter="0"/>
          <w:cols w:space="720" w:num="1"/>
        </w:sectPr>
      </w:pPr>
    </w:p>
    <w:p w14:paraId="6678E265">
      <w:pPr>
        <w:pStyle w:val="17"/>
        <w:spacing w:before="46"/>
        <w:ind w:left="581"/>
      </w:pPr>
      <w:r>
        <w:t>发包人审批承包人文件的期限：</w:t>
      </w:r>
      <w:r>
        <w:rPr>
          <w:u w:val="single"/>
        </w:rPr>
        <w:t>收到后 14 天内；合同另有约定的，从其约定</w:t>
      </w:r>
      <w:r>
        <w:t xml:space="preserve">。 </w:t>
      </w:r>
    </w:p>
    <w:p w14:paraId="5EAA5564">
      <w:pPr>
        <w:pStyle w:val="17"/>
        <w:spacing w:before="11"/>
        <w:rPr>
          <w:sz w:val="9"/>
        </w:rPr>
      </w:pPr>
    </w:p>
    <w:p w14:paraId="040991DB">
      <w:pPr>
        <w:pStyle w:val="17"/>
        <w:spacing w:before="70"/>
        <w:ind w:left="581"/>
      </w:pPr>
      <w:r>
        <w:rPr>
          <w:u w:val="single"/>
        </w:rPr>
        <w:t>监理人、发包人的修改意见和审批，不免除或减轻承包人对该工作、工程、材料、工程设备等应承</w:t>
      </w:r>
    </w:p>
    <w:p w14:paraId="62795EFD">
      <w:pPr>
        <w:pStyle w:val="17"/>
        <w:spacing w:before="10"/>
        <w:rPr>
          <w:sz w:val="9"/>
        </w:rPr>
      </w:pPr>
    </w:p>
    <w:p w14:paraId="18D8D2BF">
      <w:pPr>
        <w:pStyle w:val="17"/>
        <w:spacing w:before="71"/>
        <w:ind w:left="161"/>
      </w:pPr>
      <w:r>
        <w:rPr>
          <w:u w:val="single"/>
        </w:rPr>
        <w:t>担的责任和义务</w:t>
      </w:r>
      <w:r>
        <w:t xml:space="preserve">。 </w:t>
      </w:r>
    </w:p>
    <w:p w14:paraId="3C366464">
      <w:pPr>
        <w:pStyle w:val="17"/>
        <w:rPr>
          <w:sz w:val="11"/>
        </w:rPr>
      </w:pPr>
    </w:p>
    <w:p w14:paraId="56A5BB62">
      <w:pPr>
        <w:pStyle w:val="3"/>
        <w:numPr>
          <w:ilvl w:val="1"/>
          <w:numId w:val="10"/>
        </w:numPr>
        <w:tabs>
          <w:tab w:val="left" w:pos="942"/>
        </w:tabs>
        <w:spacing w:before="3"/>
        <w:ind w:hanging="361"/>
        <w:jc w:val="left"/>
      </w:pPr>
      <w:r>
        <w:rPr>
          <w:spacing w:val="15"/>
        </w:rPr>
        <w:t>联络</w:t>
      </w:r>
      <w:r>
        <w:rPr>
          <w:w w:val="167"/>
        </w:rPr>
        <w:t xml:space="preserve"> </w:t>
      </w:r>
    </w:p>
    <w:p w14:paraId="2A2249E0">
      <w:pPr>
        <w:pStyle w:val="317"/>
        <w:numPr>
          <w:ilvl w:val="2"/>
          <w:numId w:val="10"/>
        </w:numPr>
        <w:tabs>
          <w:tab w:val="left" w:pos="1108"/>
        </w:tabs>
        <w:spacing w:before="146"/>
        <w:ind w:hanging="527"/>
        <w:rPr>
          <w:sz w:val="21"/>
        </w:rPr>
      </w:pPr>
      <w:r>
        <w:rPr>
          <w:sz w:val="21"/>
        </w:rPr>
        <w:t>发包人和承包人应当在</w:t>
      </w:r>
      <w:r>
        <w:rPr>
          <w:spacing w:val="-2"/>
          <w:sz w:val="21"/>
          <w:u w:val="single"/>
        </w:rPr>
        <w:t xml:space="preserve"> </w:t>
      </w:r>
      <w:r>
        <w:rPr>
          <w:sz w:val="21"/>
          <w:u w:val="single"/>
        </w:rPr>
        <w:t>1</w:t>
      </w:r>
      <w:r>
        <w:rPr>
          <w:spacing w:val="-11"/>
          <w:sz w:val="21"/>
        </w:rPr>
        <w:t xml:space="preserve"> 天内将与合同有关的通知、批准、证明、证书、指示、指令、要求、</w:t>
      </w:r>
    </w:p>
    <w:p w14:paraId="38780FD7">
      <w:pPr>
        <w:pStyle w:val="17"/>
        <w:spacing w:before="10"/>
        <w:rPr>
          <w:sz w:val="9"/>
        </w:rPr>
      </w:pPr>
    </w:p>
    <w:p w14:paraId="48BBA190">
      <w:pPr>
        <w:pStyle w:val="17"/>
        <w:spacing w:before="71" w:line="415" w:lineRule="auto"/>
        <w:ind w:left="581" w:right="2881" w:hanging="421"/>
      </w:pPr>
      <w:r>
        <w:t>请求、同意、意见、确定和决定等书面函件送达对方当事人，并办理书面签收手续。1.7.2 发 包 人 接 收 文 件 地 点 ：</w:t>
      </w:r>
      <w:r>
        <w:rPr>
          <w:u w:val="single"/>
        </w:rPr>
        <w:t xml:space="preserve"> </w:t>
      </w:r>
      <w:r>
        <w:rPr>
          <w:rFonts w:hint="eastAsia"/>
          <w:u w:val="single"/>
          <w:lang w:val="en-US"/>
        </w:rPr>
        <w:t xml:space="preserve">             </w:t>
      </w:r>
      <w:r>
        <w:t xml:space="preserve">； </w:t>
      </w:r>
    </w:p>
    <w:p w14:paraId="7B6A967C">
      <w:pPr>
        <w:pStyle w:val="17"/>
        <w:ind w:left="581"/>
      </w:pPr>
      <w:r>
        <w:t>发 包 人 指 定 的 接 收 人 ：</w:t>
      </w:r>
      <w:r>
        <w:rPr>
          <w:u w:val="single"/>
        </w:rPr>
        <w:t xml:space="preserve">                    </w:t>
      </w:r>
      <w:r>
        <w:t xml:space="preserve">； </w:t>
      </w:r>
    </w:p>
    <w:p w14:paraId="241610AD">
      <w:pPr>
        <w:pStyle w:val="17"/>
        <w:spacing w:before="12"/>
        <w:rPr>
          <w:sz w:val="10"/>
        </w:rPr>
      </w:pPr>
    </w:p>
    <w:p w14:paraId="62963A50">
      <w:pPr>
        <w:pStyle w:val="17"/>
        <w:spacing w:before="71"/>
        <w:ind w:left="581"/>
      </w:pPr>
      <w:r>
        <w:t>承 包 人 接 收 文 件 地 点 ：</w:t>
      </w:r>
      <w:r>
        <w:rPr>
          <w:u w:val="single"/>
        </w:rPr>
        <w:t xml:space="preserve">                     </w:t>
      </w:r>
      <w:r>
        <w:t xml:space="preserve">； </w:t>
      </w:r>
    </w:p>
    <w:p w14:paraId="6F3FD764">
      <w:pPr>
        <w:pStyle w:val="17"/>
        <w:spacing w:before="10"/>
        <w:rPr>
          <w:sz w:val="9"/>
        </w:rPr>
      </w:pPr>
    </w:p>
    <w:p w14:paraId="76606160">
      <w:pPr>
        <w:pStyle w:val="17"/>
        <w:spacing w:before="71"/>
        <w:ind w:left="581"/>
      </w:pPr>
      <w:r>
        <w:t>承 包 人 指 定 的 接 收 人 ：</w:t>
      </w:r>
      <w:r>
        <w:rPr>
          <w:u w:val="single"/>
        </w:rPr>
        <w:t xml:space="preserve">                    </w:t>
      </w:r>
      <w:r>
        <w:t xml:space="preserve">； </w:t>
      </w:r>
    </w:p>
    <w:p w14:paraId="42AD0230">
      <w:pPr>
        <w:pStyle w:val="17"/>
        <w:spacing w:before="11"/>
        <w:rPr>
          <w:sz w:val="9"/>
        </w:rPr>
      </w:pPr>
    </w:p>
    <w:p w14:paraId="26849E05">
      <w:pPr>
        <w:pStyle w:val="17"/>
        <w:spacing w:before="70"/>
        <w:ind w:left="581"/>
      </w:pPr>
      <w:r>
        <w:t>监 理 人 接 收 文 件 地 点 ：</w:t>
      </w:r>
      <w:r>
        <w:rPr>
          <w:u w:val="single"/>
        </w:rPr>
        <w:t xml:space="preserve">                    </w:t>
      </w:r>
      <w:r>
        <w:t xml:space="preserve">； </w:t>
      </w:r>
    </w:p>
    <w:p w14:paraId="5242E205">
      <w:pPr>
        <w:pStyle w:val="17"/>
        <w:spacing w:before="11"/>
        <w:rPr>
          <w:sz w:val="9"/>
        </w:rPr>
      </w:pPr>
    </w:p>
    <w:p w14:paraId="672BBA21">
      <w:pPr>
        <w:pStyle w:val="17"/>
        <w:spacing w:before="70"/>
        <w:ind w:left="581"/>
      </w:pPr>
      <w:r>
        <w:t>监 理 人 指 定 的 接 收 人 ：</w:t>
      </w:r>
      <w:r>
        <w:rPr>
          <w:u w:val="single"/>
        </w:rPr>
        <w:t xml:space="preserve">                    </w:t>
      </w:r>
      <w:r>
        <w:t xml:space="preserve">。 </w:t>
      </w:r>
    </w:p>
    <w:p w14:paraId="2468D3B7">
      <w:pPr>
        <w:pStyle w:val="17"/>
        <w:spacing w:before="11"/>
        <w:rPr>
          <w:sz w:val="9"/>
        </w:rPr>
      </w:pPr>
    </w:p>
    <w:p w14:paraId="2C4E89EE">
      <w:pPr>
        <w:pStyle w:val="3"/>
        <w:numPr>
          <w:ilvl w:val="1"/>
          <w:numId w:val="10"/>
        </w:numPr>
        <w:tabs>
          <w:tab w:val="left" w:pos="942"/>
        </w:tabs>
        <w:spacing w:before="3"/>
        <w:ind w:hanging="361"/>
        <w:jc w:val="left"/>
      </w:pPr>
      <w:r>
        <w:rPr>
          <w:spacing w:val="7"/>
        </w:rPr>
        <w:t>严禁贿赂</w:t>
      </w:r>
      <w:r>
        <w:rPr>
          <w:spacing w:val="7"/>
          <w:w w:val="167"/>
        </w:rPr>
        <w:t xml:space="preserve"> </w:t>
      </w:r>
    </w:p>
    <w:p w14:paraId="3ED2E031">
      <w:pPr>
        <w:pStyle w:val="17"/>
        <w:spacing w:before="161"/>
        <w:ind w:left="581"/>
      </w:pPr>
      <w:r>
        <w:t xml:space="preserve">本款补充以下内容： </w:t>
      </w:r>
    </w:p>
    <w:p w14:paraId="55708E16">
      <w:pPr>
        <w:pStyle w:val="17"/>
        <w:spacing w:before="3"/>
        <w:rPr>
          <w:sz w:val="15"/>
        </w:rPr>
      </w:pPr>
    </w:p>
    <w:p w14:paraId="2FB93AC3">
      <w:pPr>
        <w:spacing w:before="1" w:line="355" w:lineRule="auto"/>
        <w:ind w:left="581" w:right="3769"/>
        <w:rPr>
          <w:rFonts w:ascii="微软雅黑" w:eastAsia="微软雅黑"/>
          <w:b/>
          <w:sz w:val="21"/>
        </w:rPr>
      </w:pPr>
      <w:r>
        <w:rPr>
          <w:sz w:val="21"/>
        </w:rPr>
        <w:t>在合同执行过程中，合同当事人应严格履行附件 8《廉洁从业协议》。</w:t>
      </w:r>
      <w:r>
        <w:rPr>
          <w:rFonts w:hint="eastAsia" w:ascii="微软雅黑" w:eastAsia="微软雅黑"/>
          <w:b/>
          <w:w w:val="81"/>
          <w:sz w:val="21"/>
        </w:rPr>
        <w:t>1</w:t>
      </w:r>
      <w:r>
        <w:rPr>
          <w:rFonts w:hint="eastAsia" w:ascii="微软雅黑" w:eastAsia="微软雅黑"/>
          <w:b/>
          <w:w w:val="175"/>
          <w:sz w:val="21"/>
        </w:rPr>
        <w:t>.</w:t>
      </w:r>
      <w:r>
        <w:rPr>
          <w:rFonts w:hint="eastAsia" w:ascii="微软雅黑" w:eastAsia="微软雅黑"/>
          <w:b/>
          <w:w w:val="81"/>
          <w:sz w:val="21"/>
        </w:rPr>
        <w:t>10</w:t>
      </w:r>
      <w:r>
        <w:rPr>
          <w:rFonts w:hint="eastAsia" w:ascii="微软雅黑" w:eastAsia="微软雅黑"/>
          <w:b/>
          <w:w w:val="167"/>
          <w:sz w:val="21"/>
        </w:rPr>
        <w:t xml:space="preserve"> </w:t>
      </w:r>
      <w:r>
        <w:rPr>
          <w:rFonts w:hint="eastAsia" w:ascii="微软雅黑" w:eastAsia="微软雅黑"/>
          <w:b/>
          <w:sz w:val="21"/>
        </w:rPr>
        <w:t>交通运输</w:t>
      </w:r>
      <w:r>
        <w:rPr>
          <w:rFonts w:hint="eastAsia" w:ascii="微软雅黑" w:eastAsia="微软雅黑"/>
          <w:b/>
          <w:w w:val="167"/>
          <w:sz w:val="21"/>
        </w:rPr>
        <w:t xml:space="preserve"> </w:t>
      </w:r>
    </w:p>
    <w:p w14:paraId="001ED9A2">
      <w:pPr>
        <w:pStyle w:val="317"/>
        <w:numPr>
          <w:ilvl w:val="2"/>
          <w:numId w:val="13"/>
        </w:numPr>
        <w:tabs>
          <w:tab w:val="left" w:pos="1213"/>
        </w:tabs>
        <w:spacing w:line="229" w:lineRule="exact"/>
        <w:ind w:hanging="632"/>
        <w:rPr>
          <w:sz w:val="21"/>
        </w:rPr>
      </w:pPr>
      <w:r>
        <w:rPr>
          <w:sz w:val="21"/>
        </w:rPr>
        <w:t xml:space="preserve">出入现场的权利 </w:t>
      </w:r>
    </w:p>
    <w:p w14:paraId="7827B63B">
      <w:pPr>
        <w:pStyle w:val="17"/>
        <w:spacing w:before="4"/>
        <w:rPr>
          <w:sz w:val="15"/>
        </w:rPr>
      </w:pPr>
    </w:p>
    <w:p w14:paraId="06E5F13B">
      <w:pPr>
        <w:pStyle w:val="17"/>
        <w:ind w:left="581"/>
      </w:pPr>
      <w:r>
        <w:t>关于出入现场的权利的约定：</w:t>
      </w:r>
      <w:r>
        <w:rPr>
          <w:u w:val="single"/>
        </w:rPr>
        <w:t xml:space="preserve"> </w:t>
      </w:r>
      <w:r>
        <w:rPr>
          <w:rFonts w:hint="eastAsia"/>
          <w:u w:val="single"/>
          <w:lang w:val="en-US"/>
        </w:rPr>
        <w:t xml:space="preserve">      </w:t>
      </w:r>
      <w:r>
        <w:t xml:space="preserve">。 </w:t>
      </w:r>
    </w:p>
    <w:p w14:paraId="64B1B01D">
      <w:pPr>
        <w:pStyle w:val="17"/>
        <w:rPr>
          <w:sz w:val="11"/>
        </w:rPr>
      </w:pPr>
    </w:p>
    <w:p w14:paraId="609550DB">
      <w:pPr>
        <w:pStyle w:val="317"/>
        <w:numPr>
          <w:ilvl w:val="2"/>
          <w:numId w:val="13"/>
        </w:numPr>
        <w:tabs>
          <w:tab w:val="left" w:pos="1213"/>
        </w:tabs>
        <w:spacing w:before="70"/>
        <w:ind w:hanging="632"/>
        <w:rPr>
          <w:sz w:val="21"/>
        </w:rPr>
      </w:pPr>
      <w:r>
        <w:rPr>
          <w:sz w:val="21"/>
        </w:rPr>
        <w:t xml:space="preserve">场外交通 </w:t>
      </w:r>
    </w:p>
    <w:p w14:paraId="1FC51219">
      <w:pPr>
        <w:pStyle w:val="17"/>
        <w:spacing w:before="4"/>
        <w:rPr>
          <w:sz w:val="15"/>
        </w:rPr>
      </w:pPr>
    </w:p>
    <w:p w14:paraId="0BC14ACB">
      <w:pPr>
        <w:pStyle w:val="17"/>
        <w:spacing w:line="415" w:lineRule="auto"/>
        <w:ind w:left="161" w:right="1294" w:firstLine="420"/>
      </w:pPr>
      <w:r>
        <w:t xml:space="preserve">承包人应遵守有关交通法规，执行有关道路限速、限行、禁止超载的规定，并配合交通管理部门的监督和检查。场外交通以施工场地移交时的现状为准。 </w:t>
      </w:r>
    </w:p>
    <w:p w14:paraId="2FE6DE8A">
      <w:pPr>
        <w:pStyle w:val="317"/>
        <w:numPr>
          <w:ilvl w:val="2"/>
          <w:numId w:val="13"/>
        </w:numPr>
        <w:tabs>
          <w:tab w:val="left" w:pos="1213"/>
        </w:tabs>
        <w:ind w:hanging="632"/>
        <w:rPr>
          <w:sz w:val="21"/>
        </w:rPr>
      </w:pPr>
      <w:r>
        <w:rPr>
          <w:sz w:val="21"/>
        </w:rPr>
        <w:t xml:space="preserve">场内交通 </w:t>
      </w:r>
    </w:p>
    <w:p w14:paraId="1679230A">
      <w:pPr>
        <w:pStyle w:val="17"/>
        <w:spacing w:before="4"/>
        <w:rPr>
          <w:sz w:val="15"/>
        </w:rPr>
      </w:pPr>
    </w:p>
    <w:p w14:paraId="1203A40B">
      <w:pPr>
        <w:pStyle w:val="17"/>
        <w:ind w:left="581"/>
      </w:pPr>
      <w:r>
        <w:t>关于场外交通和场内交通的边界的约定：</w:t>
      </w:r>
      <w:r>
        <w:rPr>
          <w:u w:val="single"/>
        </w:rPr>
        <w:t>以合同工程用地红线为界，用地红线外为场外交通，用地</w:t>
      </w:r>
    </w:p>
    <w:p w14:paraId="15A2E03D">
      <w:pPr>
        <w:pStyle w:val="17"/>
        <w:rPr>
          <w:sz w:val="11"/>
        </w:rPr>
      </w:pPr>
    </w:p>
    <w:p w14:paraId="15108F3E">
      <w:pPr>
        <w:pStyle w:val="17"/>
        <w:spacing w:before="71"/>
        <w:ind w:left="161"/>
      </w:pPr>
      <w:r>
        <w:rPr>
          <w:u w:val="single"/>
        </w:rPr>
        <w:t>红线范围内为场内交通（场外道路穿越场内的除外）</w:t>
      </w:r>
      <w:r>
        <w:t xml:space="preserve">。 </w:t>
      </w:r>
    </w:p>
    <w:p w14:paraId="67EAADFA">
      <w:pPr>
        <w:pStyle w:val="17"/>
        <w:spacing w:before="10"/>
        <w:rPr>
          <w:sz w:val="9"/>
        </w:rPr>
      </w:pPr>
    </w:p>
    <w:p w14:paraId="41DFE312">
      <w:pPr>
        <w:pStyle w:val="17"/>
        <w:spacing w:before="71"/>
        <w:ind w:left="581"/>
      </w:pPr>
      <w:r>
        <w:t>关于发包人向承包人免费提供满足工程施工需要的场内道路和交通设施的约定：</w:t>
      </w:r>
      <w:r>
        <w:rPr>
          <w:u w:val="single"/>
        </w:rPr>
        <w:t>以施工场地移交时</w:t>
      </w:r>
    </w:p>
    <w:p w14:paraId="625253B5">
      <w:pPr>
        <w:pStyle w:val="17"/>
        <w:spacing w:before="10"/>
        <w:rPr>
          <w:sz w:val="9"/>
        </w:rPr>
      </w:pPr>
    </w:p>
    <w:p w14:paraId="36FCBD3E">
      <w:pPr>
        <w:pStyle w:val="17"/>
        <w:spacing w:before="71"/>
        <w:ind w:left="161"/>
      </w:pPr>
      <w:r>
        <w:rPr>
          <w:u w:val="single"/>
        </w:rPr>
        <w:t>的现状为准</w:t>
      </w:r>
      <w:r>
        <w:t xml:space="preserve">。 </w:t>
      </w:r>
    </w:p>
    <w:p w14:paraId="42DE5E5F">
      <w:pPr>
        <w:pStyle w:val="17"/>
        <w:spacing w:before="10"/>
        <w:rPr>
          <w:sz w:val="9"/>
        </w:rPr>
      </w:pPr>
    </w:p>
    <w:p w14:paraId="5A52565C">
      <w:pPr>
        <w:pStyle w:val="317"/>
        <w:numPr>
          <w:ilvl w:val="2"/>
          <w:numId w:val="13"/>
        </w:numPr>
        <w:tabs>
          <w:tab w:val="left" w:pos="1213"/>
        </w:tabs>
        <w:spacing w:before="71"/>
        <w:ind w:hanging="632"/>
        <w:rPr>
          <w:sz w:val="21"/>
        </w:rPr>
      </w:pPr>
      <w:r>
        <w:rPr>
          <w:spacing w:val="-1"/>
          <w:sz w:val="21"/>
        </w:rPr>
        <w:t>超大件和超重件的运输</w:t>
      </w:r>
      <w:r>
        <w:rPr>
          <w:sz w:val="21"/>
        </w:rPr>
        <w:t xml:space="preserve"> </w:t>
      </w:r>
    </w:p>
    <w:p w14:paraId="5D0CDD26">
      <w:pPr>
        <w:pStyle w:val="17"/>
        <w:spacing w:before="4"/>
        <w:rPr>
          <w:sz w:val="15"/>
        </w:rPr>
      </w:pPr>
    </w:p>
    <w:p w14:paraId="568894A2">
      <w:pPr>
        <w:pStyle w:val="17"/>
        <w:ind w:left="581"/>
      </w:pPr>
      <w:r>
        <w:t>运输超大件或超重件所需的道路和桥梁临时加固改造费用和其他有关费用由</w:t>
      </w:r>
      <w:r>
        <w:rPr>
          <w:u w:val="single"/>
        </w:rPr>
        <w:t>发包人</w:t>
      </w:r>
      <w:r>
        <w:t xml:space="preserve">承担。 </w:t>
      </w:r>
    </w:p>
    <w:p w14:paraId="180DB710">
      <w:pPr>
        <w:pStyle w:val="17"/>
        <w:rPr>
          <w:sz w:val="11"/>
        </w:rPr>
      </w:pPr>
    </w:p>
    <w:p w14:paraId="451486B6">
      <w:pPr>
        <w:pStyle w:val="3"/>
        <w:numPr>
          <w:ilvl w:val="1"/>
          <w:numId w:val="14"/>
        </w:numPr>
        <w:tabs>
          <w:tab w:val="left" w:pos="1048"/>
        </w:tabs>
        <w:spacing w:before="3"/>
        <w:ind w:hanging="467"/>
      </w:pPr>
      <w:r>
        <w:rPr>
          <w:spacing w:val="11"/>
        </w:rPr>
        <w:t>知识产权</w:t>
      </w:r>
      <w:r>
        <w:rPr>
          <w:w w:val="167"/>
        </w:rPr>
        <w:t xml:space="preserve"> </w:t>
      </w:r>
    </w:p>
    <w:p w14:paraId="6038E82D">
      <w:pPr>
        <w:pStyle w:val="317"/>
        <w:numPr>
          <w:ilvl w:val="2"/>
          <w:numId w:val="14"/>
        </w:numPr>
        <w:tabs>
          <w:tab w:val="left" w:pos="1213"/>
        </w:tabs>
        <w:spacing w:before="146"/>
        <w:ind w:hanging="632"/>
        <w:rPr>
          <w:sz w:val="21"/>
        </w:rPr>
      </w:pPr>
      <w:r>
        <w:rPr>
          <w:spacing w:val="-7"/>
          <w:sz w:val="21"/>
        </w:rPr>
        <w:t>关于发包人提供给承包人的图纸、发包人为实施工程自行编制或委托编制的技术规范以及反</w:t>
      </w:r>
    </w:p>
    <w:p w14:paraId="73FEC6AB">
      <w:pPr>
        <w:rPr>
          <w:sz w:val="21"/>
        </w:rPr>
        <w:sectPr>
          <w:pgSz w:w="11910" w:h="16850"/>
          <w:pgMar w:top="1440" w:right="1080" w:bottom="1440" w:left="1080" w:header="0" w:footer="996" w:gutter="0"/>
          <w:cols w:space="720" w:num="1"/>
        </w:sectPr>
      </w:pPr>
    </w:p>
    <w:p w14:paraId="29453FEF">
      <w:pPr>
        <w:pStyle w:val="17"/>
        <w:spacing w:before="46"/>
        <w:ind w:left="326"/>
      </w:pPr>
      <w:r>
        <w:t>映发包人关于合同要求或其他类似性质的文件的著作权的归属：</w:t>
      </w:r>
      <w:r>
        <w:rPr>
          <w:u w:val="single"/>
        </w:rPr>
        <w:t>属于发包人</w:t>
      </w:r>
      <w:r>
        <w:t xml:space="preserve">。 </w:t>
      </w:r>
    </w:p>
    <w:p w14:paraId="1413B9C2">
      <w:pPr>
        <w:pStyle w:val="17"/>
        <w:spacing w:before="11"/>
        <w:rPr>
          <w:sz w:val="9"/>
        </w:rPr>
      </w:pPr>
    </w:p>
    <w:p w14:paraId="798EB8E1">
      <w:pPr>
        <w:pStyle w:val="17"/>
        <w:spacing w:before="70"/>
        <w:ind w:left="746"/>
      </w:pPr>
      <w:r>
        <w:t>关于发包人提供的上述文件的使用限制的要求：</w:t>
      </w:r>
      <w:r>
        <w:rPr>
          <w:u w:val="single"/>
        </w:rPr>
        <w:t>按通用合同条款执行</w:t>
      </w:r>
      <w:r>
        <w:t xml:space="preserve">。 </w:t>
      </w:r>
    </w:p>
    <w:p w14:paraId="33FC69E9">
      <w:pPr>
        <w:pStyle w:val="17"/>
        <w:spacing w:before="10"/>
        <w:rPr>
          <w:sz w:val="9"/>
        </w:rPr>
      </w:pPr>
    </w:p>
    <w:p w14:paraId="05339A2E">
      <w:pPr>
        <w:pStyle w:val="17"/>
        <w:spacing w:before="71"/>
        <w:ind w:left="746"/>
      </w:pPr>
      <w:r>
        <w:t xml:space="preserve">1.11.4 承包人在施工过程中所采用的专利、专有技术、技术秘密的使用费的承担方式： 。 </w:t>
      </w:r>
    </w:p>
    <w:p w14:paraId="40283871">
      <w:pPr>
        <w:pStyle w:val="17"/>
        <w:rPr>
          <w:sz w:val="11"/>
        </w:rPr>
      </w:pPr>
    </w:p>
    <w:p w14:paraId="7BA2DB1B">
      <w:pPr>
        <w:pStyle w:val="3"/>
        <w:spacing w:before="3"/>
        <w:ind w:left="746" w:firstLine="0"/>
      </w:pPr>
      <w:r>
        <w:t>1.13 工程量清单错误的修正</w:t>
      </w:r>
      <w:r>
        <w:rPr>
          <w:w w:val="167"/>
        </w:rPr>
        <w:t xml:space="preserve"> </w:t>
      </w:r>
    </w:p>
    <w:p w14:paraId="4363F958">
      <w:pPr>
        <w:pStyle w:val="17"/>
        <w:spacing w:before="146"/>
        <w:ind w:left="746"/>
      </w:pPr>
      <w:r>
        <w:t>出现工程量清单错误时，责任和权利划分：</w:t>
      </w:r>
      <w:r>
        <w:rPr>
          <w:u w:val="single"/>
        </w:rPr>
        <w:t xml:space="preserve"> </w:t>
      </w:r>
      <w:r>
        <w:rPr>
          <w:rFonts w:hint="eastAsia"/>
          <w:u w:val="single"/>
          <w:lang w:val="en-US"/>
        </w:rPr>
        <w:t xml:space="preserve">     </w:t>
      </w:r>
      <w:r>
        <w:t xml:space="preserve">。 </w:t>
      </w:r>
    </w:p>
    <w:p w14:paraId="61C3B53F">
      <w:pPr>
        <w:pStyle w:val="17"/>
        <w:spacing w:before="10"/>
        <w:rPr>
          <w:sz w:val="9"/>
        </w:rPr>
      </w:pPr>
    </w:p>
    <w:p w14:paraId="32DF73D1">
      <w:pPr>
        <w:pStyle w:val="17"/>
        <w:spacing w:before="71"/>
        <w:ind w:left="746"/>
      </w:pPr>
      <w:r>
        <w:t>出现工程量清单错误时，是否调整合同价格：</w:t>
      </w:r>
      <w:r>
        <w:rPr>
          <w:u w:val="single"/>
        </w:rPr>
        <w:t xml:space="preserve"> </w:t>
      </w:r>
      <w:r>
        <w:rPr>
          <w:rFonts w:hint="eastAsia"/>
          <w:u w:val="single"/>
          <w:lang w:val="en-US"/>
        </w:rPr>
        <w:t xml:space="preserve">       </w:t>
      </w:r>
      <w:r>
        <w:t xml:space="preserve">。 </w:t>
      </w:r>
    </w:p>
    <w:p w14:paraId="1A43A526">
      <w:pPr>
        <w:pStyle w:val="17"/>
        <w:spacing w:before="10"/>
        <w:rPr>
          <w:sz w:val="9"/>
        </w:rPr>
      </w:pPr>
    </w:p>
    <w:p w14:paraId="6853CB71">
      <w:pPr>
        <w:pStyle w:val="17"/>
        <w:spacing w:before="71"/>
        <w:ind w:left="746"/>
      </w:pPr>
      <w:r>
        <w:t>允许调整合同价格的工程量偏差范围：</w:t>
      </w:r>
      <w:r>
        <w:rPr>
          <w:u w:val="single"/>
        </w:rPr>
        <w:t xml:space="preserve"> </w:t>
      </w:r>
      <w:r>
        <w:rPr>
          <w:rFonts w:hint="eastAsia"/>
          <w:u w:val="single"/>
          <w:lang w:val="en-US"/>
        </w:rPr>
        <w:t xml:space="preserve">      </w:t>
      </w:r>
      <w:r>
        <w:t xml:space="preserve">。 </w:t>
      </w:r>
    </w:p>
    <w:p w14:paraId="162FFE47">
      <w:pPr>
        <w:pStyle w:val="17"/>
        <w:spacing w:before="7"/>
      </w:pPr>
    </w:p>
    <w:p w14:paraId="4D6BA6C4">
      <w:pPr>
        <w:pStyle w:val="3"/>
        <w:numPr>
          <w:ilvl w:val="0"/>
          <w:numId w:val="5"/>
        </w:numPr>
        <w:tabs>
          <w:tab w:val="left" w:pos="567"/>
        </w:tabs>
        <w:spacing w:before="3"/>
        <w:ind w:hanging="241"/>
        <w:jc w:val="left"/>
      </w:pPr>
      <w:r>
        <w:rPr>
          <w:spacing w:val="15"/>
        </w:rPr>
        <w:t>发包人</w:t>
      </w:r>
      <w:r>
        <w:rPr>
          <w:w w:val="167"/>
        </w:rPr>
        <w:t xml:space="preserve"> </w:t>
      </w:r>
    </w:p>
    <w:p w14:paraId="304B730A">
      <w:pPr>
        <w:pStyle w:val="17"/>
        <w:spacing w:before="16"/>
        <w:rPr>
          <w:rFonts w:ascii="微软雅黑"/>
          <w:b/>
          <w:sz w:val="16"/>
        </w:rPr>
      </w:pPr>
    </w:p>
    <w:p w14:paraId="218CD07E">
      <w:pPr>
        <w:pStyle w:val="17"/>
        <w:spacing w:line="429" w:lineRule="auto"/>
        <w:ind w:left="746" w:right="8393"/>
      </w:pPr>
      <w:r>
        <w:t xml:space="preserve">2.2.1 发包人代表发包人代表： </w:t>
      </w:r>
    </w:p>
    <w:p w14:paraId="6AB9EE24">
      <w:pPr>
        <w:pStyle w:val="17"/>
        <w:tabs>
          <w:tab w:val="left" w:pos="5583"/>
        </w:tabs>
        <w:spacing w:line="252" w:lineRule="exact"/>
        <w:ind w:left="746"/>
      </w:pPr>
      <w:r>
        <w:rPr>
          <w:lang w:val="en-US" w:bidi="ar-SA"/>
        </w:rPr>
        <w:drawing>
          <wp:anchor distT="0" distB="0" distL="0" distR="0" simplePos="0" relativeHeight="251683840" behindDoc="1" locked="0" layoutInCell="1" allowOverlap="1">
            <wp:simplePos x="0" y="0"/>
            <wp:positionH relativeFrom="page">
              <wp:posOffset>1764030</wp:posOffset>
            </wp:positionH>
            <wp:positionV relativeFrom="paragraph">
              <wp:posOffset>7620</wp:posOffset>
            </wp:positionV>
            <wp:extent cx="2503805" cy="133350"/>
            <wp:effectExtent l="0" t="0" r="0" b="0"/>
            <wp:wrapNone/>
            <wp:docPr id="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9.png"/>
                    <pic:cNvPicPr>
                      <a:picLocks noChangeAspect="1"/>
                    </pic:cNvPicPr>
                  </pic:nvPicPr>
                  <pic:blipFill>
                    <a:blip r:embed="rId20" cstate="print"/>
                    <a:stretch>
                      <a:fillRect/>
                    </a:stretch>
                  </pic:blipFill>
                  <pic:spPr>
                    <a:xfrm>
                      <a:off x="0" y="0"/>
                      <a:ext cx="2503678" cy="133350"/>
                    </a:xfrm>
                    <a:prstGeom prst="rect">
                      <a:avLst/>
                    </a:prstGeom>
                  </pic:spPr>
                </pic:pic>
              </a:graphicData>
            </a:graphic>
          </wp:anchor>
        </w:drawing>
      </w:r>
      <w:r>
        <w:t>姓    名：</w:t>
      </w:r>
      <w:r>
        <w:rPr>
          <w:u w:val="single"/>
        </w:rPr>
        <w:t xml:space="preserve"> </w:t>
      </w:r>
      <w:r>
        <w:rPr>
          <w:u w:val="single"/>
        </w:rPr>
        <w:tab/>
      </w:r>
      <w:r>
        <w:t xml:space="preserve">； </w:t>
      </w:r>
    </w:p>
    <w:p w14:paraId="02C3466C">
      <w:pPr>
        <w:pStyle w:val="17"/>
        <w:spacing w:before="3"/>
        <w:rPr>
          <w:sz w:val="9"/>
        </w:rPr>
      </w:pPr>
    </w:p>
    <w:p w14:paraId="6F708F21">
      <w:pPr>
        <w:pStyle w:val="17"/>
        <w:tabs>
          <w:tab w:val="left" w:pos="5793"/>
        </w:tabs>
        <w:spacing w:before="78"/>
        <w:ind w:left="746"/>
      </w:pPr>
      <w:r>
        <w:rPr>
          <w:lang w:val="en-US" w:bidi="ar-SA"/>
        </w:rPr>
        <w:drawing>
          <wp:anchor distT="0" distB="0" distL="0" distR="0" simplePos="0" relativeHeight="251684864" behindDoc="1" locked="0" layoutInCell="1" allowOverlap="1">
            <wp:simplePos x="0" y="0"/>
            <wp:positionH relativeFrom="page">
              <wp:posOffset>1764030</wp:posOffset>
            </wp:positionH>
            <wp:positionV relativeFrom="paragraph">
              <wp:posOffset>68580</wp:posOffset>
            </wp:positionV>
            <wp:extent cx="2634615" cy="133350"/>
            <wp:effectExtent l="0" t="0" r="0" b="0"/>
            <wp:wrapNone/>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0.png"/>
                    <pic:cNvPicPr>
                      <a:picLocks noChangeAspect="1"/>
                    </pic:cNvPicPr>
                  </pic:nvPicPr>
                  <pic:blipFill>
                    <a:blip r:embed="rId21" cstate="print"/>
                    <a:stretch>
                      <a:fillRect/>
                    </a:stretch>
                  </pic:blipFill>
                  <pic:spPr>
                    <a:xfrm>
                      <a:off x="0" y="0"/>
                      <a:ext cx="2634361" cy="133350"/>
                    </a:xfrm>
                    <a:prstGeom prst="rect">
                      <a:avLst/>
                    </a:prstGeom>
                  </pic:spPr>
                </pic:pic>
              </a:graphicData>
            </a:graphic>
          </wp:anchor>
        </w:drawing>
      </w:r>
      <w:r>
        <w:t>身份证号：</w:t>
      </w:r>
      <w:r>
        <w:rPr>
          <w:u w:val="single"/>
        </w:rPr>
        <w:t xml:space="preserve"> </w:t>
      </w:r>
      <w:r>
        <w:rPr>
          <w:u w:val="single"/>
        </w:rPr>
        <w:tab/>
      </w:r>
      <w:r>
        <w:t xml:space="preserve">； </w:t>
      </w:r>
    </w:p>
    <w:p w14:paraId="6B72255D">
      <w:pPr>
        <w:pStyle w:val="17"/>
        <w:spacing w:before="4"/>
        <w:rPr>
          <w:sz w:val="9"/>
        </w:rPr>
      </w:pPr>
    </w:p>
    <w:p w14:paraId="5BCEFA97">
      <w:pPr>
        <w:pStyle w:val="17"/>
        <w:tabs>
          <w:tab w:val="left" w:pos="5793"/>
        </w:tabs>
        <w:spacing w:before="77"/>
        <w:ind w:left="746"/>
      </w:pPr>
      <w:r>
        <w:rPr>
          <w:lang w:val="en-US" w:bidi="ar-SA"/>
        </w:rPr>
        <w:drawing>
          <wp:anchor distT="0" distB="0" distL="0" distR="0" simplePos="0" relativeHeight="251685888" behindDoc="1" locked="0" layoutInCell="1" allowOverlap="1">
            <wp:simplePos x="0" y="0"/>
            <wp:positionH relativeFrom="page">
              <wp:posOffset>1764030</wp:posOffset>
            </wp:positionH>
            <wp:positionV relativeFrom="paragraph">
              <wp:posOffset>67945</wp:posOffset>
            </wp:positionV>
            <wp:extent cx="2634615" cy="133350"/>
            <wp:effectExtent l="0" t="0" r="0" b="0"/>
            <wp:wrapNone/>
            <wp:docPr id="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0.png"/>
                    <pic:cNvPicPr>
                      <a:picLocks noChangeAspect="1"/>
                    </pic:cNvPicPr>
                  </pic:nvPicPr>
                  <pic:blipFill>
                    <a:blip r:embed="rId21" cstate="print"/>
                    <a:stretch>
                      <a:fillRect/>
                    </a:stretch>
                  </pic:blipFill>
                  <pic:spPr>
                    <a:xfrm>
                      <a:off x="0" y="0"/>
                      <a:ext cx="2634361" cy="133350"/>
                    </a:xfrm>
                    <a:prstGeom prst="rect">
                      <a:avLst/>
                    </a:prstGeom>
                  </pic:spPr>
                </pic:pic>
              </a:graphicData>
            </a:graphic>
          </wp:anchor>
        </w:drawing>
      </w:r>
      <w:r>
        <w:t>职    务：</w:t>
      </w:r>
      <w:r>
        <w:rPr>
          <w:u w:val="single"/>
        </w:rPr>
        <w:t xml:space="preserve"> </w:t>
      </w:r>
      <w:r>
        <w:rPr>
          <w:u w:val="single"/>
        </w:rPr>
        <w:tab/>
      </w:r>
      <w:r>
        <w:t xml:space="preserve">； </w:t>
      </w:r>
    </w:p>
    <w:p w14:paraId="419A0B57">
      <w:pPr>
        <w:pStyle w:val="17"/>
        <w:spacing w:before="4"/>
        <w:rPr>
          <w:sz w:val="9"/>
        </w:rPr>
      </w:pPr>
    </w:p>
    <w:p w14:paraId="3DFB589E">
      <w:pPr>
        <w:pStyle w:val="17"/>
        <w:tabs>
          <w:tab w:val="left" w:pos="5793"/>
        </w:tabs>
        <w:spacing w:before="77"/>
        <w:ind w:left="746"/>
      </w:pPr>
      <w:r>
        <w:rPr>
          <w:lang w:val="en-US" w:bidi="ar-SA"/>
        </w:rPr>
        <w:drawing>
          <wp:anchor distT="0" distB="0" distL="0" distR="0" simplePos="0" relativeHeight="251686912" behindDoc="1" locked="0" layoutInCell="1" allowOverlap="1">
            <wp:simplePos x="0" y="0"/>
            <wp:positionH relativeFrom="page">
              <wp:posOffset>1764030</wp:posOffset>
            </wp:positionH>
            <wp:positionV relativeFrom="paragraph">
              <wp:posOffset>67310</wp:posOffset>
            </wp:positionV>
            <wp:extent cx="2634615" cy="133350"/>
            <wp:effectExtent l="0" t="0" r="0" b="0"/>
            <wp:wrapNone/>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0.png"/>
                    <pic:cNvPicPr>
                      <a:picLocks noChangeAspect="1"/>
                    </pic:cNvPicPr>
                  </pic:nvPicPr>
                  <pic:blipFill>
                    <a:blip r:embed="rId21" cstate="print"/>
                    <a:stretch>
                      <a:fillRect/>
                    </a:stretch>
                  </pic:blipFill>
                  <pic:spPr>
                    <a:xfrm>
                      <a:off x="0" y="0"/>
                      <a:ext cx="2634361" cy="133350"/>
                    </a:xfrm>
                    <a:prstGeom prst="rect">
                      <a:avLst/>
                    </a:prstGeom>
                  </pic:spPr>
                </pic:pic>
              </a:graphicData>
            </a:graphic>
          </wp:anchor>
        </w:drawing>
      </w:r>
      <w:r>
        <w:t>联系方式：</w:t>
      </w:r>
      <w:r>
        <w:rPr>
          <w:u w:val="single"/>
        </w:rPr>
        <w:t xml:space="preserve"> </w:t>
      </w:r>
      <w:r>
        <w:rPr>
          <w:u w:val="single"/>
        </w:rPr>
        <w:tab/>
      </w:r>
      <w:r>
        <w:t xml:space="preserve">； </w:t>
      </w:r>
    </w:p>
    <w:p w14:paraId="10DF452B">
      <w:pPr>
        <w:pStyle w:val="17"/>
        <w:spacing w:before="6"/>
        <w:rPr>
          <w:sz w:val="10"/>
        </w:rPr>
      </w:pPr>
    </w:p>
    <w:p w14:paraId="7BE47275">
      <w:pPr>
        <w:pStyle w:val="17"/>
        <w:tabs>
          <w:tab w:val="left" w:pos="5793"/>
        </w:tabs>
        <w:spacing w:before="77"/>
        <w:ind w:left="746"/>
      </w:pPr>
      <w:r>
        <w:rPr>
          <w:lang w:val="en-US" w:bidi="ar-SA"/>
        </w:rPr>
        <w:drawing>
          <wp:anchor distT="0" distB="0" distL="0" distR="0" simplePos="0" relativeHeight="251687936" behindDoc="1" locked="0" layoutInCell="1" allowOverlap="1">
            <wp:simplePos x="0" y="0"/>
            <wp:positionH relativeFrom="page">
              <wp:posOffset>1764030</wp:posOffset>
            </wp:positionH>
            <wp:positionV relativeFrom="paragraph">
              <wp:posOffset>67945</wp:posOffset>
            </wp:positionV>
            <wp:extent cx="2634615" cy="133350"/>
            <wp:effectExtent l="0" t="0" r="0" b="0"/>
            <wp:wrapNone/>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0.png"/>
                    <pic:cNvPicPr>
                      <a:picLocks noChangeAspect="1"/>
                    </pic:cNvPicPr>
                  </pic:nvPicPr>
                  <pic:blipFill>
                    <a:blip r:embed="rId21" cstate="print"/>
                    <a:stretch>
                      <a:fillRect/>
                    </a:stretch>
                  </pic:blipFill>
                  <pic:spPr>
                    <a:xfrm>
                      <a:off x="0" y="0"/>
                      <a:ext cx="2634361" cy="133350"/>
                    </a:xfrm>
                    <a:prstGeom prst="rect">
                      <a:avLst/>
                    </a:prstGeom>
                  </pic:spPr>
                </pic:pic>
              </a:graphicData>
            </a:graphic>
          </wp:anchor>
        </w:drawing>
      </w:r>
      <w:r>
        <w:t>邮    编：</w:t>
      </w:r>
      <w:r>
        <w:rPr>
          <w:u w:val="single"/>
        </w:rPr>
        <w:t xml:space="preserve"> </w:t>
      </w:r>
      <w:r>
        <w:rPr>
          <w:u w:val="single"/>
        </w:rPr>
        <w:tab/>
      </w:r>
      <w:r>
        <w:t xml:space="preserve">； </w:t>
      </w:r>
    </w:p>
    <w:p w14:paraId="08AD4060">
      <w:pPr>
        <w:pStyle w:val="17"/>
        <w:spacing w:before="11"/>
        <w:rPr>
          <w:sz w:val="9"/>
        </w:rPr>
      </w:pPr>
    </w:p>
    <w:p w14:paraId="297D8663">
      <w:pPr>
        <w:pStyle w:val="317"/>
        <w:numPr>
          <w:ilvl w:val="0"/>
          <w:numId w:val="15"/>
        </w:numPr>
        <w:tabs>
          <w:tab w:val="left" w:pos="1274"/>
        </w:tabs>
        <w:spacing w:before="71"/>
        <w:ind w:hanging="528"/>
        <w:rPr>
          <w:sz w:val="21"/>
          <w:u w:val="single"/>
        </w:rPr>
      </w:pPr>
      <w:r>
        <w:rPr>
          <w:spacing w:val="-1"/>
        </w:rPr>
        <w:t>发包人对发包人代表的授权范围如下：</w:t>
      </w:r>
      <w:r>
        <w:rPr>
          <w:rFonts w:hint="eastAsia"/>
          <w:sz w:val="21"/>
          <w:highlight w:val="yellow"/>
          <w:u w:val="single"/>
        </w:rPr>
        <w:t>依照发包人相关管理办法包括但不限于工程质量、安全、进度、投资控制，与各方进行联络、协调，召集会议，解决工程中出现的问题，工程资料管理，执行权利范围内的签证权等</w:t>
      </w:r>
      <w:r>
        <w:rPr>
          <w:sz w:val="21"/>
          <w:highlight w:val="yellow"/>
          <w:u w:val="single"/>
        </w:rPr>
        <w:t>。</w:t>
      </w:r>
    </w:p>
    <w:p w14:paraId="4456FD29">
      <w:pPr>
        <w:pStyle w:val="3"/>
        <w:numPr>
          <w:ilvl w:val="1"/>
          <w:numId w:val="16"/>
        </w:numPr>
        <w:tabs>
          <w:tab w:val="left" w:pos="1107"/>
        </w:tabs>
        <w:spacing w:before="3"/>
        <w:ind w:hanging="361"/>
        <w:jc w:val="left"/>
      </w:pPr>
      <w:r>
        <w:t>施工现场、施工条件和基础资料的提供</w:t>
      </w:r>
      <w:r>
        <w:rPr>
          <w:w w:val="167"/>
        </w:rPr>
        <w:t xml:space="preserve"> </w:t>
      </w:r>
    </w:p>
    <w:p w14:paraId="7BF243E0">
      <w:pPr>
        <w:pStyle w:val="317"/>
        <w:numPr>
          <w:ilvl w:val="2"/>
          <w:numId w:val="16"/>
        </w:numPr>
        <w:tabs>
          <w:tab w:val="left" w:pos="1273"/>
        </w:tabs>
        <w:spacing w:before="160"/>
        <w:ind w:hanging="527"/>
        <w:jc w:val="left"/>
        <w:rPr>
          <w:sz w:val="21"/>
        </w:rPr>
      </w:pPr>
      <w:r>
        <w:rPr>
          <w:sz w:val="21"/>
        </w:rPr>
        <w:t xml:space="preserve">提供施工现场 </w:t>
      </w:r>
    </w:p>
    <w:p w14:paraId="41A599BF">
      <w:pPr>
        <w:pStyle w:val="17"/>
        <w:spacing w:before="5"/>
        <w:rPr>
          <w:sz w:val="15"/>
        </w:rPr>
      </w:pPr>
    </w:p>
    <w:p w14:paraId="1D9ECE53">
      <w:pPr>
        <w:pStyle w:val="317"/>
        <w:numPr>
          <w:ilvl w:val="3"/>
          <w:numId w:val="16"/>
        </w:numPr>
        <w:tabs>
          <w:tab w:val="left" w:pos="1483"/>
        </w:tabs>
        <w:ind w:hanging="737"/>
        <w:rPr>
          <w:sz w:val="21"/>
        </w:rPr>
      </w:pPr>
      <w:r>
        <w:rPr>
          <w:sz w:val="21"/>
        </w:rPr>
        <w:t xml:space="preserve">提供场地： </w:t>
      </w:r>
    </w:p>
    <w:p w14:paraId="109BEBD8">
      <w:pPr>
        <w:pStyle w:val="17"/>
        <w:spacing w:before="4"/>
        <w:rPr>
          <w:sz w:val="15"/>
        </w:rPr>
      </w:pPr>
    </w:p>
    <w:p w14:paraId="1EA2CB66">
      <w:pPr>
        <w:pStyle w:val="17"/>
        <w:ind w:left="746"/>
      </w:pPr>
      <w:r>
        <w:t>施工场地的提供采用以下第</w:t>
      </w:r>
      <w:r>
        <w:rPr>
          <w:spacing w:val="104"/>
          <w:u w:val="single"/>
        </w:rPr>
        <w:t xml:space="preserve"> </w:t>
      </w:r>
      <w:r>
        <w:t xml:space="preserve">种方式： </w:t>
      </w:r>
    </w:p>
    <w:p w14:paraId="458DE59A">
      <w:pPr>
        <w:pStyle w:val="17"/>
        <w:spacing w:before="10"/>
        <w:rPr>
          <w:sz w:val="9"/>
        </w:rPr>
      </w:pPr>
    </w:p>
    <w:p w14:paraId="3D75DE19">
      <w:pPr>
        <w:pStyle w:val="317"/>
        <w:numPr>
          <w:ilvl w:val="0"/>
          <w:numId w:val="15"/>
        </w:numPr>
        <w:tabs>
          <w:tab w:val="left" w:pos="1274"/>
        </w:tabs>
        <w:spacing w:before="71"/>
        <w:ind w:hanging="528"/>
        <w:rPr>
          <w:sz w:val="21"/>
        </w:rPr>
      </w:pPr>
      <w:r>
        <w:rPr>
          <w:spacing w:val="-1"/>
          <w:sz w:val="21"/>
        </w:rPr>
        <w:t>一次提供全部施工场地：发包人于</w:t>
      </w:r>
      <w:r>
        <w:rPr>
          <w:sz w:val="21"/>
          <w:u w:val="single"/>
        </w:rPr>
        <w:t>开工</w:t>
      </w:r>
      <w:r>
        <w:rPr>
          <w:spacing w:val="-4"/>
          <w:sz w:val="21"/>
        </w:rPr>
        <w:t>前向承包人提供合同工程用地红线范围内的施工场地。</w:t>
      </w:r>
      <w:r>
        <w:rPr>
          <w:sz w:val="21"/>
        </w:rPr>
        <w:t xml:space="preserve"> </w:t>
      </w:r>
    </w:p>
    <w:p w14:paraId="22FAEE3D">
      <w:pPr>
        <w:pStyle w:val="17"/>
        <w:spacing w:before="10"/>
        <w:rPr>
          <w:sz w:val="9"/>
        </w:rPr>
      </w:pPr>
    </w:p>
    <w:p w14:paraId="67EF2668">
      <w:pPr>
        <w:pStyle w:val="317"/>
        <w:numPr>
          <w:ilvl w:val="0"/>
          <w:numId w:val="15"/>
        </w:numPr>
        <w:tabs>
          <w:tab w:val="left" w:pos="1274"/>
        </w:tabs>
        <w:spacing w:before="71"/>
        <w:ind w:hanging="528"/>
        <w:rPr>
          <w:sz w:val="21"/>
        </w:rPr>
      </w:pPr>
      <w:r>
        <w:rPr>
          <w:spacing w:val="-5"/>
          <w:sz w:val="21"/>
        </w:rPr>
        <w:t>分次提供全部施工场地：</w:t>
      </w:r>
      <w:r>
        <w:rPr>
          <w:sz w:val="21"/>
          <w:u w:val="single"/>
        </w:rPr>
        <w:t>发包人按约定的时间分次向承包人提供合同工程用地红线范围内的施</w:t>
      </w:r>
    </w:p>
    <w:p w14:paraId="3011E254">
      <w:pPr>
        <w:pStyle w:val="17"/>
        <w:rPr>
          <w:sz w:val="11"/>
        </w:rPr>
      </w:pPr>
    </w:p>
    <w:p w14:paraId="01A2E02E">
      <w:pPr>
        <w:pStyle w:val="17"/>
        <w:spacing w:before="70"/>
        <w:ind w:left="326"/>
      </w:pPr>
      <w:r>
        <w:rPr>
          <w:u w:val="single"/>
        </w:rPr>
        <w:t>工场地</w:t>
      </w:r>
      <w:r>
        <w:t xml:space="preserve">。 </w:t>
      </w:r>
    </w:p>
    <w:p w14:paraId="18CDD6F4">
      <w:pPr>
        <w:pStyle w:val="17"/>
        <w:spacing w:before="11"/>
        <w:rPr>
          <w:sz w:val="9"/>
        </w:rPr>
      </w:pPr>
    </w:p>
    <w:p w14:paraId="6AAE5C91">
      <w:pPr>
        <w:pStyle w:val="17"/>
        <w:spacing w:before="70"/>
        <w:ind w:left="746"/>
      </w:pPr>
      <w:r>
        <w:rPr>
          <w:u w:val="single"/>
        </w:rPr>
        <w:t>承包人编制的施工组织计划已充分考虑了施工场地提供的因素</w:t>
      </w:r>
      <w:r>
        <w:t xml:space="preserve">。 </w:t>
      </w:r>
    </w:p>
    <w:p w14:paraId="7156B33E">
      <w:pPr>
        <w:pStyle w:val="17"/>
        <w:spacing w:before="11"/>
        <w:rPr>
          <w:sz w:val="9"/>
        </w:rPr>
      </w:pPr>
    </w:p>
    <w:p w14:paraId="1342687C">
      <w:pPr>
        <w:pStyle w:val="17"/>
        <w:spacing w:before="70"/>
        <w:ind w:left="746"/>
      </w:pPr>
      <w:r>
        <w:rPr>
          <w:u w:val="single"/>
        </w:rPr>
        <w:t>施工场地未能按约定提供的，承包人应结合施工场地实际交地情况，优化施工组织计划。施工场地</w:t>
      </w:r>
    </w:p>
    <w:p w14:paraId="1070EB20">
      <w:pPr>
        <w:pStyle w:val="17"/>
        <w:spacing w:before="11"/>
        <w:rPr>
          <w:sz w:val="9"/>
        </w:rPr>
      </w:pPr>
    </w:p>
    <w:p w14:paraId="4210553D">
      <w:pPr>
        <w:pStyle w:val="17"/>
        <w:spacing w:before="71"/>
        <w:ind w:left="326"/>
      </w:pPr>
      <w:r>
        <w:rPr>
          <w:spacing w:val="-1"/>
          <w:u w:val="single"/>
        </w:rPr>
        <w:t>未能按约定提供，影响项目关键线路的，承包人可提交索赔申请，并经监理人、发包人审批后可按约定</w:t>
      </w:r>
    </w:p>
    <w:p w14:paraId="0068FD19">
      <w:pPr>
        <w:pStyle w:val="17"/>
        <w:spacing w:before="10"/>
        <w:rPr>
          <w:sz w:val="9"/>
        </w:rPr>
      </w:pPr>
    </w:p>
    <w:p w14:paraId="5B2C4FF7">
      <w:pPr>
        <w:pStyle w:val="17"/>
        <w:spacing w:before="70"/>
        <w:ind w:left="326"/>
      </w:pPr>
      <w:r>
        <w:rPr>
          <w:u w:val="single"/>
        </w:rPr>
        <w:t>顺延项目工期，否则工期不予顺延</w:t>
      </w:r>
      <w:r>
        <w:t xml:space="preserve">。 </w:t>
      </w:r>
    </w:p>
    <w:p w14:paraId="1522C23B">
      <w:pPr>
        <w:sectPr>
          <w:pgSz w:w="11910" w:h="16850"/>
          <w:pgMar w:top="1440" w:right="1080" w:bottom="1440" w:left="1080" w:header="0" w:footer="996" w:gutter="0"/>
          <w:cols w:space="720" w:num="1"/>
        </w:sectPr>
      </w:pPr>
    </w:p>
    <w:p w14:paraId="11AE65C8">
      <w:pPr>
        <w:pStyle w:val="317"/>
        <w:numPr>
          <w:ilvl w:val="2"/>
          <w:numId w:val="16"/>
        </w:numPr>
        <w:tabs>
          <w:tab w:val="left" w:pos="1108"/>
        </w:tabs>
        <w:spacing w:before="46"/>
        <w:ind w:left="1108" w:hanging="527"/>
        <w:jc w:val="left"/>
        <w:rPr>
          <w:sz w:val="21"/>
        </w:rPr>
      </w:pPr>
      <w:r>
        <w:rPr>
          <w:sz w:val="21"/>
        </w:rPr>
        <w:t xml:space="preserve">提供施工条件 </w:t>
      </w:r>
    </w:p>
    <w:p w14:paraId="2EC3E326">
      <w:pPr>
        <w:pStyle w:val="17"/>
        <w:spacing w:before="4"/>
        <w:rPr>
          <w:sz w:val="15"/>
        </w:rPr>
      </w:pPr>
    </w:p>
    <w:p w14:paraId="097E913A">
      <w:pPr>
        <w:pStyle w:val="17"/>
        <w:ind w:left="581"/>
      </w:pPr>
      <w:r>
        <w:t>关于发包人应负责提供施工所需要的条件：</w:t>
      </w:r>
      <w:r>
        <w:rPr>
          <w:u w:val="single"/>
        </w:rPr>
        <w:t xml:space="preserve"> </w:t>
      </w:r>
      <w:r>
        <w:t xml:space="preserve">。 </w:t>
      </w:r>
    </w:p>
    <w:p w14:paraId="7BD8CB76">
      <w:pPr>
        <w:pStyle w:val="17"/>
        <w:spacing w:before="10"/>
        <w:rPr>
          <w:sz w:val="9"/>
        </w:rPr>
      </w:pPr>
    </w:p>
    <w:p w14:paraId="691BF9D7">
      <w:pPr>
        <w:pStyle w:val="3"/>
        <w:numPr>
          <w:ilvl w:val="1"/>
          <w:numId w:val="16"/>
        </w:numPr>
        <w:tabs>
          <w:tab w:val="left" w:pos="942"/>
        </w:tabs>
        <w:spacing w:before="4"/>
        <w:ind w:left="942" w:hanging="361"/>
        <w:jc w:val="left"/>
      </w:pPr>
      <w:r>
        <w:rPr>
          <w:spacing w:val="1"/>
        </w:rPr>
        <w:t>资金来源证明及支付担保</w:t>
      </w:r>
      <w:r>
        <w:rPr>
          <w:spacing w:val="1"/>
          <w:w w:val="167"/>
        </w:rPr>
        <w:t xml:space="preserve"> </w:t>
      </w:r>
    </w:p>
    <w:p w14:paraId="1853C8A7">
      <w:pPr>
        <w:pStyle w:val="17"/>
        <w:spacing w:before="160"/>
        <w:ind w:left="581"/>
      </w:pPr>
      <w:r>
        <w:t>发包人提供资金来源证明的期限要求：</w:t>
      </w:r>
      <w:r>
        <w:rPr>
          <w:u w:val="single"/>
        </w:rPr>
        <w:t>不采用</w:t>
      </w:r>
      <w:r>
        <w:t xml:space="preserve">。 </w:t>
      </w:r>
    </w:p>
    <w:p w14:paraId="2C8E40FF">
      <w:pPr>
        <w:pStyle w:val="17"/>
        <w:spacing w:before="11"/>
        <w:rPr>
          <w:sz w:val="9"/>
        </w:rPr>
      </w:pPr>
    </w:p>
    <w:p w14:paraId="7558070C">
      <w:pPr>
        <w:pStyle w:val="17"/>
        <w:spacing w:before="71"/>
        <w:ind w:left="581"/>
      </w:pPr>
      <w:r>
        <w:t>发包人是否提供支付担保：</w:t>
      </w:r>
      <w:r>
        <w:rPr>
          <w:u w:val="single"/>
        </w:rPr>
        <w:t>提供</w:t>
      </w:r>
      <w:r>
        <w:t xml:space="preserve">。 </w:t>
      </w:r>
    </w:p>
    <w:p w14:paraId="3443E424">
      <w:pPr>
        <w:pStyle w:val="17"/>
        <w:spacing w:before="10"/>
        <w:rPr>
          <w:sz w:val="9"/>
        </w:rPr>
      </w:pPr>
    </w:p>
    <w:p w14:paraId="7EB6DB7A">
      <w:pPr>
        <w:pStyle w:val="17"/>
        <w:spacing w:before="71"/>
        <w:ind w:left="581"/>
      </w:pPr>
      <w:r>
        <w:t>支付担保的形式：</w:t>
      </w:r>
      <w:r>
        <w:rPr>
          <w:spacing w:val="14"/>
          <w:u w:val="single"/>
        </w:rPr>
        <w:t xml:space="preserve">   </w:t>
      </w:r>
      <w:r>
        <w:rPr>
          <w:rFonts w:hint="eastAsia"/>
          <w:spacing w:val="14"/>
          <w:u w:val="single"/>
          <w:lang w:val="en-US"/>
        </w:rPr>
        <w:t>\</w:t>
      </w:r>
      <w:r>
        <w:rPr>
          <w:spacing w:val="14"/>
          <w:u w:val="single"/>
        </w:rPr>
        <w:t xml:space="preserve">    </w:t>
      </w:r>
      <w:r>
        <w:t xml:space="preserve">。 </w:t>
      </w:r>
    </w:p>
    <w:p w14:paraId="69373850">
      <w:pPr>
        <w:pStyle w:val="17"/>
        <w:spacing w:before="10"/>
        <w:rPr>
          <w:sz w:val="9"/>
        </w:rPr>
      </w:pPr>
    </w:p>
    <w:p w14:paraId="349F9BD3">
      <w:pPr>
        <w:pStyle w:val="17"/>
        <w:spacing w:before="71"/>
        <w:ind w:left="581"/>
      </w:pPr>
      <w:r>
        <w:t>支付担保的金额：</w:t>
      </w:r>
      <w:r>
        <w:rPr>
          <w:spacing w:val="14"/>
          <w:u w:val="single"/>
        </w:rPr>
        <w:t xml:space="preserve">   </w:t>
      </w:r>
      <w:r>
        <w:rPr>
          <w:rFonts w:hint="eastAsia"/>
          <w:spacing w:val="14"/>
          <w:u w:val="single"/>
          <w:lang w:val="en-US"/>
        </w:rPr>
        <w:t>\</w:t>
      </w:r>
      <w:r>
        <w:rPr>
          <w:spacing w:val="14"/>
          <w:u w:val="single"/>
        </w:rPr>
        <w:t xml:space="preserve">    </w:t>
      </w:r>
      <w:r>
        <w:t xml:space="preserve">。 </w:t>
      </w:r>
    </w:p>
    <w:p w14:paraId="60E50546">
      <w:pPr>
        <w:pStyle w:val="17"/>
        <w:spacing w:before="10"/>
        <w:rPr>
          <w:sz w:val="9"/>
        </w:rPr>
      </w:pPr>
    </w:p>
    <w:p w14:paraId="1CA91F17">
      <w:pPr>
        <w:pStyle w:val="17"/>
        <w:spacing w:before="71"/>
        <w:ind w:left="581"/>
      </w:pPr>
      <w:r>
        <w:t>支付担保的时间：</w:t>
      </w:r>
      <w:r>
        <w:rPr>
          <w:spacing w:val="14"/>
          <w:u w:val="single"/>
        </w:rPr>
        <w:t xml:space="preserve">    </w:t>
      </w:r>
      <w:r>
        <w:rPr>
          <w:rFonts w:hint="eastAsia"/>
          <w:spacing w:val="14"/>
          <w:u w:val="single"/>
          <w:lang w:val="en-US"/>
        </w:rPr>
        <w:t>\</w:t>
      </w:r>
      <w:r>
        <w:rPr>
          <w:spacing w:val="14"/>
          <w:u w:val="single"/>
        </w:rPr>
        <w:t xml:space="preserve">   </w:t>
      </w:r>
      <w:r>
        <w:t xml:space="preserve">。 </w:t>
      </w:r>
    </w:p>
    <w:p w14:paraId="78605E07">
      <w:pPr>
        <w:pStyle w:val="17"/>
        <w:spacing w:before="12"/>
        <w:rPr>
          <w:sz w:val="10"/>
        </w:rPr>
      </w:pPr>
    </w:p>
    <w:p w14:paraId="313D2833">
      <w:pPr>
        <w:pStyle w:val="17"/>
        <w:spacing w:before="71"/>
        <w:ind w:left="581"/>
      </w:pPr>
      <w:r>
        <w:t>支付担保的期限：</w:t>
      </w:r>
      <w:r>
        <w:rPr>
          <w:spacing w:val="14"/>
          <w:u w:val="single"/>
        </w:rPr>
        <w:t xml:space="preserve">   </w:t>
      </w:r>
      <w:r>
        <w:rPr>
          <w:rFonts w:hint="eastAsia"/>
          <w:spacing w:val="14"/>
          <w:u w:val="single"/>
          <w:lang w:val="en-US"/>
        </w:rPr>
        <w:t>\</w:t>
      </w:r>
      <w:r>
        <w:rPr>
          <w:spacing w:val="14"/>
          <w:u w:val="single"/>
        </w:rPr>
        <w:t xml:space="preserve">    </w:t>
      </w:r>
      <w:r>
        <w:t xml:space="preserve">。 </w:t>
      </w:r>
    </w:p>
    <w:p w14:paraId="229CCEB0">
      <w:pPr>
        <w:pStyle w:val="17"/>
        <w:spacing w:before="10"/>
        <w:rPr>
          <w:sz w:val="9"/>
        </w:rPr>
      </w:pPr>
    </w:p>
    <w:p w14:paraId="0BBF8828">
      <w:pPr>
        <w:pStyle w:val="17"/>
        <w:spacing w:before="71"/>
        <w:ind w:left="581"/>
      </w:pPr>
      <w:r>
        <w:t>支付担保的退还时间：</w:t>
      </w:r>
      <w:r>
        <w:rPr>
          <w:rFonts w:hint="eastAsia"/>
          <w:u w:val="single"/>
          <w:lang w:val="en-US"/>
        </w:rPr>
        <w:t xml:space="preserve">  \</w:t>
      </w:r>
      <w:r>
        <w:rPr>
          <w:spacing w:val="104"/>
          <w:u w:val="single"/>
        </w:rPr>
        <w:t xml:space="preserve"> </w:t>
      </w:r>
      <w:r>
        <w:t xml:space="preserve">。 </w:t>
      </w:r>
    </w:p>
    <w:p w14:paraId="3613B028">
      <w:pPr>
        <w:pStyle w:val="17"/>
        <w:spacing w:before="7"/>
      </w:pPr>
    </w:p>
    <w:p w14:paraId="2790DBC6">
      <w:pPr>
        <w:pStyle w:val="3"/>
        <w:numPr>
          <w:ilvl w:val="0"/>
          <w:numId w:val="5"/>
        </w:numPr>
        <w:tabs>
          <w:tab w:val="left" w:pos="402"/>
        </w:tabs>
        <w:spacing w:before="3"/>
        <w:ind w:left="401" w:hanging="241"/>
        <w:jc w:val="left"/>
      </w:pPr>
      <w:r>
        <w:rPr>
          <w:spacing w:val="14"/>
        </w:rPr>
        <w:t>承包人</w:t>
      </w:r>
      <w:r>
        <w:rPr>
          <w:w w:val="167"/>
        </w:rPr>
        <w:t xml:space="preserve"> </w:t>
      </w:r>
    </w:p>
    <w:p w14:paraId="7E5E876D">
      <w:pPr>
        <w:pStyle w:val="17"/>
        <w:spacing w:before="4"/>
        <w:rPr>
          <w:rFonts w:ascii="微软雅黑"/>
          <w:b/>
          <w:sz w:val="13"/>
        </w:rPr>
      </w:pPr>
    </w:p>
    <w:p w14:paraId="3F23B18A">
      <w:pPr>
        <w:pStyle w:val="317"/>
        <w:numPr>
          <w:ilvl w:val="1"/>
          <w:numId w:val="5"/>
        </w:numPr>
        <w:tabs>
          <w:tab w:val="left" w:pos="942"/>
        </w:tabs>
        <w:ind w:left="942" w:hanging="361"/>
        <w:rPr>
          <w:rFonts w:ascii="微软雅黑" w:eastAsia="微软雅黑"/>
          <w:b/>
          <w:sz w:val="21"/>
        </w:rPr>
      </w:pPr>
      <w:r>
        <w:rPr>
          <w:rFonts w:hint="eastAsia" w:ascii="微软雅黑" w:eastAsia="微软雅黑"/>
          <w:b/>
          <w:spacing w:val="4"/>
          <w:sz w:val="21"/>
        </w:rPr>
        <w:t>承包人的一般义务</w:t>
      </w:r>
      <w:r>
        <w:rPr>
          <w:rFonts w:hint="eastAsia" w:ascii="微软雅黑" w:eastAsia="微软雅黑"/>
          <w:b/>
          <w:spacing w:val="4"/>
          <w:w w:val="167"/>
          <w:sz w:val="21"/>
        </w:rPr>
        <w:t xml:space="preserve"> </w:t>
      </w:r>
    </w:p>
    <w:p w14:paraId="5A069FA9">
      <w:pPr>
        <w:pStyle w:val="17"/>
        <w:spacing w:before="146"/>
        <w:ind w:left="581"/>
      </w:pPr>
      <w:r>
        <w:t xml:space="preserve">本款细化为 3.1.1～3.1.10 项： </w:t>
      </w:r>
    </w:p>
    <w:p w14:paraId="5C70B977">
      <w:pPr>
        <w:pStyle w:val="17"/>
        <w:spacing w:before="4"/>
        <w:rPr>
          <w:sz w:val="15"/>
        </w:rPr>
      </w:pPr>
    </w:p>
    <w:p w14:paraId="06251BE2">
      <w:pPr>
        <w:pStyle w:val="317"/>
        <w:numPr>
          <w:ilvl w:val="2"/>
          <w:numId w:val="5"/>
        </w:numPr>
        <w:tabs>
          <w:tab w:val="left" w:pos="1168"/>
        </w:tabs>
        <w:spacing w:line="429" w:lineRule="auto"/>
        <w:ind w:right="1160" w:firstLine="420"/>
        <w:jc w:val="left"/>
        <w:rPr>
          <w:sz w:val="21"/>
        </w:rPr>
      </w:pPr>
      <w:r>
        <w:rPr>
          <w:spacing w:val="-2"/>
          <w:sz w:val="21"/>
        </w:rPr>
        <w:t xml:space="preserve">办理法律规定和合同约定应由承包人办理的许可和批准，并将办理结果书面报送发包人留存； </w:t>
      </w:r>
      <w:r>
        <w:rPr>
          <w:spacing w:val="-3"/>
          <w:sz w:val="21"/>
        </w:rPr>
        <w:t>协助发包人办理施工所需的工程质量监督、安全监督、施工许可证等相关证件及手续。</w:t>
      </w:r>
      <w:r>
        <w:rPr>
          <w:sz w:val="21"/>
        </w:rPr>
        <w:t xml:space="preserve"> </w:t>
      </w:r>
    </w:p>
    <w:p w14:paraId="47D36923">
      <w:pPr>
        <w:pStyle w:val="317"/>
        <w:numPr>
          <w:ilvl w:val="2"/>
          <w:numId w:val="5"/>
        </w:numPr>
        <w:tabs>
          <w:tab w:val="left" w:pos="1168"/>
        </w:tabs>
        <w:spacing w:line="252" w:lineRule="exact"/>
        <w:ind w:left="1167" w:hanging="587"/>
        <w:jc w:val="left"/>
        <w:rPr>
          <w:sz w:val="21"/>
        </w:rPr>
      </w:pPr>
      <w:r>
        <w:rPr>
          <w:sz w:val="21"/>
        </w:rPr>
        <w:t>按法律规定和合同约定完成工程，包括满足合同所必需的或合同隐含的以及由承包人义务而</w:t>
      </w:r>
    </w:p>
    <w:p w14:paraId="54DC1F7B">
      <w:pPr>
        <w:pStyle w:val="17"/>
        <w:spacing w:before="4"/>
        <w:rPr>
          <w:sz w:val="15"/>
        </w:rPr>
      </w:pPr>
    </w:p>
    <w:p w14:paraId="14E6004B">
      <w:pPr>
        <w:pStyle w:val="17"/>
        <w:spacing w:line="415" w:lineRule="auto"/>
        <w:ind w:left="161" w:right="1161"/>
      </w:pPr>
      <w:r>
        <w:rPr>
          <w:spacing w:val="-6"/>
        </w:rPr>
        <w:t>产生的任何工程，还应包括合同根据相关法律法规、技术规范等对工程的稳定性、完整性或安全、可靠、有效运行所必需的所有工程，并在保修期内承担保修义务。</w:t>
      </w:r>
      <w:r>
        <w:t xml:space="preserve"> </w:t>
      </w:r>
    </w:p>
    <w:p w14:paraId="3C96BD7D">
      <w:pPr>
        <w:pStyle w:val="317"/>
        <w:numPr>
          <w:ilvl w:val="2"/>
          <w:numId w:val="5"/>
        </w:numPr>
        <w:tabs>
          <w:tab w:val="left" w:pos="1168"/>
        </w:tabs>
        <w:spacing w:line="417" w:lineRule="auto"/>
        <w:ind w:right="1295" w:firstLine="420"/>
        <w:jc w:val="both"/>
        <w:rPr>
          <w:sz w:val="21"/>
        </w:rPr>
      </w:pPr>
      <w:r>
        <w:rPr>
          <w:sz w:val="21"/>
        </w:rPr>
        <w:t>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w:t>
      </w:r>
      <w:r>
        <w:rPr>
          <w:spacing w:val="-1"/>
          <w:sz w:val="21"/>
        </w:rPr>
        <w:t>影响；对不实施拆迁的建、构筑物应采取保护措施，并保证既有道路的正常通行。</w:t>
      </w:r>
      <w:r>
        <w:rPr>
          <w:sz w:val="21"/>
        </w:rPr>
        <w:t xml:space="preserve"> </w:t>
      </w:r>
    </w:p>
    <w:p w14:paraId="689936BD">
      <w:pPr>
        <w:pStyle w:val="317"/>
        <w:numPr>
          <w:ilvl w:val="2"/>
          <w:numId w:val="5"/>
        </w:numPr>
        <w:tabs>
          <w:tab w:val="left" w:pos="1168"/>
        </w:tabs>
        <w:spacing w:before="1" w:line="422" w:lineRule="auto"/>
        <w:ind w:right="1303" w:firstLine="420"/>
        <w:jc w:val="both"/>
        <w:rPr>
          <w:sz w:val="21"/>
        </w:rPr>
      </w:pPr>
      <w:r>
        <w:rPr>
          <w:sz w:val="21"/>
        </w:rPr>
        <w:t>按合同约定的工作内容和施工进度要求，编制施工组织设计和施工措施计划，并对所有施工</w:t>
      </w:r>
      <w:r>
        <w:rPr>
          <w:spacing w:val="-1"/>
          <w:sz w:val="21"/>
        </w:rPr>
        <w:t>作业和施工方法的完备性和安全可靠性负责。施工组织设计中的措施保障水平应满足工程按合同进度实</w:t>
      </w:r>
      <w:r>
        <w:rPr>
          <w:spacing w:val="-2"/>
          <w:sz w:val="21"/>
        </w:rPr>
        <w:t>施的需要，且不得低于投标时施工组织设计的措施保障水平。</w:t>
      </w:r>
      <w:r>
        <w:rPr>
          <w:sz w:val="21"/>
        </w:rPr>
        <w:t xml:space="preserve"> </w:t>
      </w:r>
    </w:p>
    <w:p w14:paraId="56BAD2A6">
      <w:pPr>
        <w:pStyle w:val="317"/>
        <w:numPr>
          <w:ilvl w:val="2"/>
          <w:numId w:val="5"/>
        </w:numPr>
        <w:tabs>
          <w:tab w:val="left" w:pos="1168"/>
        </w:tabs>
        <w:spacing w:line="415" w:lineRule="auto"/>
        <w:ind w:right="1295" w:firstLine="420"/>
        <w:jc w:val="both"/>
        <w:rPr>
          <w:sz w:val="21"/>
        </w:rPr>
      </w:pPr>
      <w:r>
        <w:rPr>
          <w:sz w:val="21"/>
        </w:rPr>
        <w:t>在进行合同约定的各项工作时，不得侵害发包人与他人使用公用道路、水源、市政管网等公共设施的权利，避免对邻近的公共设施产生干扰。承包人占用或使用他人的施工场地，影响他人作业或</w:t>
      </w:r>
      <w:r>
        <w:rPr>
          <w:spacing w:val="-1"/>
          <w:sz w:val="21"/>
        </w:rPr>
        <w:t>生活的，应承担相应责任。</w:t>
      </w:r>
      <w:r>
        <w:rPr>
          <w:sz w:val="21"/>
        </w:rPr>
        <w:t xml:space="preserve"> </w:t>
      </w:r>
    </w:p>
    <w:p w14:paraId="03D5844F">
      <w:pPr>
        <w:spacing w:line="415" w:lineRule="auto"/>
        <w:jc w:val="both"/>
        <w:rPr>
          <w:sz w:val="21"/>
        </w:rPr>
        <w:sectPr>
          <w:pgSz w:w="11910" w:h="16850"/>
          <w:pgMar w:top="1440" w:right="1080" w:bottom="1440" w:left="1080" w:header="0" w:footer="996" w:gutter="0"/>
          <w:cols w:space="720" w:num="1"/>
        </w:sectPr>
      </w:pPr>
    </w:p>
    <w:p w14:paraId="0973CAB9">
      <w:pPr>
        <w:pStyle w:val="317"/>
        <w:numPr>
          <w:ilvl w:val="2"/>
          <w:numId w:val="5"/>
        </w:numPr>
        <w:tabs>
          <w:tab w:val="left" w:pos="1333"/>
        </w:tabs>
        <w:spacing w:before="46"/>
        <w:ind w:left="1333" w:hanging="587"/>
        <w:jc w:val="left"/>
        <w:rPr>
          <w:sz w:val="21"/>
        </w:rPr>
      </w:pPr>
      <w:r>
        <w:rPr>
          <w:spacing w:val="-12"/>
          <w:sz w:val="21"/>
        </w:rPr>
        <w:t xml:space="preserve">按照第 </w:t>
      </w:r>
      <w:r>
        <w:rPr>
          <w:sz w:val="21"/>
        </w:rPr>
        <w:t>6.3</w:t>
      </w:r>
      <w:r>
        <w:rPr>
          <w:spacing w:val="-7"/>
          <w:sz w:val="21"/>
        </w:rPr>
        <w:t xml:space="preserve"> 款〔环境保护〕约定负责施工场地及其周边环境与生态的保护工作。</w:t>
      </w:r>
      <w:r>
        <w:rPr>
          <w:sz w:val="21"/>
        </w:rPr>
        <w:t xml:space="preserve"> </w:t>
      </w:r>
    </w:p>
    <w:p w14:paraId="03ED0C29">
      <w:pPr>
        <w:pStyle w:val="17"/>
        <w:spacing w:before="4"/>
        <w:rPr>
          <w:sz w:val="15"/>
        </w:rPr>
      </w:pPr>
    </w:p>
    <w:p w14:paraId="6E01772E">
      <w:pPr>
        <w:pStyle w:val="317"/>
        <w:numPr>
          <w:ilvl w:val="2"/>
          <w:numId w:val="5"/>
        </w:numPr>
        <w:tabs>
          <w:tab w:val="left" w:pos="1333"/>
        </w:tabs>
        <w:spacing w:line="415" w:lineRule="auto"/>
        <w:ind w:left="326" w:right="1161" w:firstLine="420"/>
        <w:jc w:val="left"/>
        <w:rPr>
          <w:sz w:val="21"/>
        </w:rPr>
      </w:pPr>
      <w:r>
        <w:rPr>
          <w:spacing w:val="-12"/>
          <w:sz w:val="21"/>
        </w:rPr>
        <w:t xml:space="preserve">按照第 </w:t>
      </w:r>
      <w:r>
        <w:rPr>
          <w:sz w:val="21"/>
        </w:rPr>
        <w:t>6.1</w:t>
      </w:r>
      <w:r>
        <w:rPr>
          <w:spacing w:val="-7"/>
          <w:sz w:val="21"/>
        </w:rPr>
        <w:t xml:space="preserve"> 款〔安全文明施工〕约定采取施工安全措施，确保工程及其人员、材料、设备和设施的安全，防止因工程施工造成的人身伤害和财产损失。</w:t>
      </w:r>
      <w:r>
        <w:rPr>
          <w:sz w:val="21"/>
        </w:rPr>
        <w:t xml:space="preserve"> </w:t>
      </w:r>
    </w:p>
    <w:p w14:paraId="210BD653">
      <w:pPr>
        <w:pStyle w:val="317"/>
        <w:numPr>
          <w:ilvl w:val="2"/>
          <w:numId w:val="5"/>
        </w:numPr>
        <w:tabs>
          <w:tab w:val="left" w:pos="1273"/>
        </w:tabs>
        <w:spacing w:before="15" w:line="415" w:lineRule="auto"/>
        <w:ind w:left="326" w:right="1116" w:firstLine="420"/>
        <w:jc w:val="left"/>
        <w:rPr>
          <w:sz w:val="21"/>
        </w:rPr>
      </w:pPr>
      <w:r>
        <w:rPr>
          <w:spacing w:val="-4"/>
          <w:sz w:val="21"/>
        </w:rPr>
        <w:t xml:space="preserve">将发包人按合同约定支付的各项价款专用于合同工程，且应及时支付其雇用人员工资，并及时向分包人支付合同价款。 </w:t>
      </w:r>
    </w:p>
    <w:p w14:paraId="3F6ECC68">
      <w:pPr>
        <w:pStyle w:val="317"/>
        <w:numPr>
          <w:ilvl w:val="2"/>
          <w:numId w:val="5"/>
        </w:numPr>
        <w:tabs>
          <w:tab w:val="left" w:pos="1273"/>
        </w:tabs>
        <w:ind w:left="1273" w:hanging="527"/>
        <w:jc w:val="left"/>
        <w:rPr>
          <w:sz w:val="21"/>
        </w:rPr>
      </w:pPr>
      <w:r>
        <w:rPr>
          <w:spacing w:val="-1"/>
          <w:sz w:val="21"/>
        </w:rPr>
        <w:t>承包人提交的竣工资料的内容：</w:t>
      </w:r>
      <w:r>
        <w:rPr>
          <w:sz w:val="21"/>
          <w:u w:val="single"/>
        </w:rPr>
        <w:t>工程施工技术资料、工程质量保证资料、工程检验评定资料、</w:t>
      </w:r>
    </w:p>
    <w:p w14:paraId="5BC19DEC">
      <w:pPr>
        <w:pStyle w:val="17"/>
        <w:spacing w:before="11"/>
        <w:rPr>
          <w:sz w:val="9"/>
        </w:rPr>
      </w:pPr>
    </w:p>
    <w:p w14:paraId="1FB82D6D">
      <w:pPr>
        <w:pStyle w:val="17"/>
        <w:spacing w:before="70"/>
        <w:ind w:left="326"/>
      </w:pPr>
      <w:r>
        <w:rPr>
          <w:u w:val="single"/>
        </w:rPr>
        <w:t>竣工图及其他应交资料，应符合《建设工程文件归档整理规范》（GB/T50328-2014）和重庆市有关文件</w:t>
      </w:r>
    </w:p>
    <w:p w14:paraId="6829CAA0">
      <w:pPr>
        <w:pStyle w:val="17"/>
        <w:spacing w:before="11"/>
        <w:rPr>
          <w:sz w:val="9"/>
        </w:rPr>
      </w:pPr>
    </w:p>
    <w:p w14:paraId="13A31238">
      <w:pPr>
        <w:pStyle w:val="17"/>
        <w:spacing w:before="70"/>
        <w:ind w:left="326"/>
      </w:pPr>
      <w:r>
        <w:rPr>
          <w:u w:val="single"/>
        </w:rPr>
        <w:t>规定</w:t>
      </w:r>
      <w:r>
        <w:t xml:space="preserve">。 </w:t>
      </w:r>
    </w:p>
    <w:p w14:paraId="205CB624">
      <w:pPr>
        <w:pStyle w:val="17"/>
        <w:rPr>
          <w:sz w:val="11"/>
        </w:rPr>
      </w:pPr>
    </w:p>
    <w:p w14:paraId="3C1D9154">
      <w:pPr>
        <w:pStyle w:val="17"/>
        <w:spacing w:before="70"/>
        <w:ind w:left="746"/>
      </w:pPr>
      <w:r>
        <w:t>承包人需要提交的竣工资料套数：完整竣工资料一式</w:t>
      </w:r>
      <w:r>
        <w:rPr>
          <w:u w:val="single"/>
        </w:rPr>
        <w:t xml:space="preserve"> </w:t>
      </w:r>
      <w:r>
        <w:t xml:space="preserve">套（含电子文档）。 </w:t>
      </w:r>
    </w:p>
    <w:p w14:paraId="3ADB3C75">
      <w:pPr>
        <w:pStyle w:val="17"/>
        <w:spacing w:before="11"/>
        <w:rPr>
          <w:sz w:val="9"/>
        </w:rPr>
      </w:pPr>
    </w:p>
    <w:p w14:paraId="482E79C8">
      <w:pPr>
        <w:pStyle w:val="17"/>
        <w:spacing w:before="70"/>
        <w:ind w:left="746"/>
      </w:pPr>
      <w:r>
        <w:t>承包人提交的竣工资料的费用承担：</w:t>
      </w:r>
      <w:r>
        <w:rPr>
          <w:u w:val="single"/>
        </w:rPr>
        <w:t>由承包人承担</w:t>
      </w:r>
      <w:r>
        <w:t xml:space="preserve">。 </w:t>
      </w:r>
    </w:p>
    <w:p w14:paraId="702FBB4D">
      <w:pPr>
        <w:pStyle w:val="17"/>
        <w:spacing w:before="11"/>
        <w:rPr>
          <w:sz w:val="9"/>
        </w:rPr>
      </w:pPr>
    </w:p>
    <w:p w14:paraId="5AAB67AA">
      <w:pPr>
        <w:pStyle w:val="17"/>
        <w:spacing w:before="71"/>
        <w:ind w:left="746"/>
      </w:pPr>
      <w:r>
        <w:t>承包人提交的竣工资料移交时间：</w:t>
      </w:r>
      <w:r>
        <w:rPr>
          <w:u w:val="single"/>
        </w:rPr>
        <w:t>工程竣工验收合格后</w:t>
      </w:r>
      <w:r>
        <w:rPr>
          <w:highlight w:val="yellow"/>
          <w:u w:val="single"/>
        </w:rPr>
        <w:t>2</w:t>
      </w:r>
      <w:r>
        <w:rPr>
          <w:u w:val="single"/>
        </w:rPr>
        <w:t>个月内移交给发包人</w:t>
      </w:r>
      <w:r>
        <w:t xml:space="preserve">。 </w:t>
      </w:r>
    </w:p>
    <w:p w14:paraId="38766302">
      <w:pPr>
        <w:pStyle w:val="17"/>
        <w:spacing w:before="10"/>
        <w:rPr>
          <w:sz w:val="9"/>
        </w:rPr>
      </w:pPr>
    </w:p>
    <w:p w14:paraId="18E860B1">
      <w:pPr>
        <w:pStyle w:val="17"/>
        <w:spacing w:before="71"/>
        <w:ind w:left="746"/>
      </w:pPr>
      <w:r>
        <w:t>承包人提交的竣工资料形式要求：</w:t>
      </w:r>
      <w:r>
        <w:rPr>
          <w:u w:val="single"/>
        </w:rPr>
        <w:t>完整的书面文件及电子文档</w:t>
      </w:r>
      <w:r>
        <w:t xml:space="preserve">。 </w:t>
      </w:r>
    </w:p>
    <w:p w14:paraId="2E64777E">
      <w:pPr>
        <w:pStyle w:val="17"/>
        <w:spacing w:before="10"/>
        <w:rPr>
          <w:sz w:val="9"/>
        </w:rPr>
      </w:pPr>
    </w:p>
    <w:p w14:paraId="25FA6799">
      <w:pPr>
        <w:pStyle w:val="317"/>
        <w:numPr>
          <w:ilvl w:val="2"/>
          <w:numId w:val="5"/>
        </w:numPr>
        <w:tabs>
          <w:tab w:val="left" w:pos="1438"/>
        </w:tabs>
        <w:spacing w:before="71"/>
        <w:ind w:left="1438" w:hanging="692"/>
        <w:jc w:val="both"/>
        <w:rPr>
          <w:sz w:val="21"/>
        </w:rPr>
      </w:pPr>
      <w:r>
        <w:rPr>
          <w:sz w:val="21"/>
        </w:rPr>
        <w:t xml:space="preserve">承包人应履行的其他义务： </w:t>
      </w:r>
    </w:p>
    <w:p w14:paraId="53F9C08C">
      <w:pPr>
        <w:pStyle w:val="17"/>
        <w:spacing w:before="6"/>
        <w:rPr>
          <w:sz w:val="16"/>
        </w:rPr>
      </w:pPr>
    </w:p>
    <w:p w14:paraId="54EB0ED5">
      <w:pPr>
        <w:pStyle w:val="317"/>
        <w:numPr>
          <w:ilvl w:val="3"/>
          <w:numId w:val="5"/>
        </w:numPr>
        <w:tabs>
          <w:tab w:val="left" w:pos="1649"/>
        </w:tabs>
        <w:spacing w:line="415" w:lineRule="auto"/>
        <w:ind w:right="1116" w:firstLine="420"/>
        <w:jc w:val="both"/>
        <w:rPr>
          <w:sz w:val="21"/>
        </w:rPr>
      </w:pPr>
      <w:r>
        <w:rPr>
          <w:spacing w:val="-4"/>
          <w:sz w:val="21"/>
        </w:rPr>
        <w:t>在开始施工之前，承包人应核查、复测本工程的各种基准标志。承包人应及时将上述基准</w:t>
      </w:r>
      <w:r>
        <w:rPr>
          <w:spacing w:val="-5"/>
          <w:sz w:val="21"/>
        </w:rPr>
        <w:t>标志中存在的错误、不完整或其他缺陷通知发包人，以便发包人核实后重新确认。</w:t>
      </w:r>
      <w:r>
        <w:rPr>
          <w:sz w:val="21"/>
        </w:rPr>
        <w:t xml:space="preserve"> </w:t>
      </w:r>
    </w:p>
    <w:p w14:paraId="1314A7B7">
      <w:pPr>
        <w:pStyle w:val="317"/>
        <w:numPr>
          <w:ilvl w:val="3"/>
          <w:numId w:val="5"/>
        </w:numPr>
        <w:tabs>
          <w:tab w:val="left" w:pos="1649"/>
        </w:tabs>
        <w:spacing w:line="415" w:lineRule="auto"/>
        <w:ind w:right="1100" w:firstLine="420"/>
        <w:jc w:val="both"/>
        <w:rPr>
          <w:sz w:val="21"/>
        </w:rPr>
      </w:pPr>
      <w:r>
        <w:rPr>
          <w:spacing w:val="-2"/>
          <w:sz w:val="21"/>
        </w:rPr>
        <w:t>承包人应负责合同工程范围内测量控制网的测量设定和管理工作，为控制施工造成测量控制网误差累加，每月承包人复测一次测量控制网，并将修正数据及时通知发包人。经监理人批准，其他</w:t>
      </w:r>
      <w:r>
        <w:rPr>
          <w:spacing w:val="-3"/>
          <w:sz w:val="21"/>
        </w:rPr>
        <w:t>相关承包人可免费使用施工控制网。</w:t>
      </w:r>
      <w:r>
        <w:rPr>
          <w:sz w:val="21"/>
        </w:rPr>
        <w:t xml:space="preserve"> </w:t>
      </w:r>
    </w:p>
    <w:p w14:paraId="03070455">
      <w:pPr>
        <w:pStyle w:val="317"/>
        <w:numPr>
          <w:ilvl w:val="3"/>
          <w:numId w:val="5"/>
        </w:numPr>
        <w:tabs>
          <w:tab w:val="left" w:pos="1649"/>
        </w:tabs>
        <w:spacing w:before="15" w:line="415" w:lineRule="auto"/>
        <w:ind w:right="1073" w:firstLine="420"/>
        <w:jc w:val="both"/>
        <w:rPr>
          <w:sz w:val="21"/>
        </w:rPr>
      </w:pPr>
      <w:r>
        <w:rPr>
          <w:spacing w:val="-1"/>
          <w:sz w:val="21"/>
        </w:rPr>
        <w:t>承包人应在开始施工之前对本工程进行排查，补充完善遗漏的危大工程重点部位及环节。危大工程施工前，承包人应对危大工程编制专项施工方案，对于超过一定规模的危大工程，承包人还应</w:t>
      </w:r>
      <w:r>
        <w:rPr>
          <w:spacing w:val="-2"/>
          <w:sz w:val="21"/>
        </w:rPr>
        <w:t>组织召开专家论证会对专项施工方案进行论证，通过后方可实施。</w:t>
      </w:r>
      <w:r>
        <w:rPr>
          <w:sz w:val="21"/>
        </w:rPr>
        <w:t xml:space="preserve"> </w:t>
      </w:r>
    </w:p>
    <w:p w14:paraId="1A9F3E55">
      <w:pPr>
        <w:pStyle w:val="317"/>
        <w:numPr>
          <w:ilvl w:val="3"/>
          <w:numId w:val="5"/>
        </w:numPr>
        <w:tabs>
          <w:tab w:val="left" w:pos="1649"/>
        </w:tabs>
        <w:spacing w:line="415" w:lineRule="auto"/>
        <w:ind w:right="1116" w:firstLine="420"/>
        <w:jc w:val="both"/>
        <w:rPr>
          <w:sz w:val="21"/>
        </w:rPr>
      </w:pPr>
      <w:r>
        <w:rPr>
          <w:spacing w:val="-3"/>
          <w:sz w:val="21"/>
        </w:rPr>
        <w:t>承包人应服从发包人要求的管理模式、工作方式和工作要求，同时接受监理人、跟审单位</w:t>
      </w:r>
      <w:r>
        <w:rPr>
          <w:spacing w:val="-4"/>
          <w:sz w:val="21"/>
        </w:rPr>
        <w:t>的管理和全程监督，配合项目结、决算的办理。</w:t>
      </w:r>
      <w:r>
        <w:rPr>
          <w:sz w:val="21"/>
        </w:rPr>
        <w:t xml:space="preserve"> </w:t>
      </w:r>
    </w:p>
    <w:p w14:paraId="2B77F15D">
      <w:pPr>
        <w:pStyle w:val="317"/>
        <w:numPr>
          <w:ilvl w:val="3"/>
          <w:numId w:val="5"/>
        </w:numPr>
        <w:tabs>
          <w:tab w:val="left" w:pos="1649"/>
        </w:tabs>
        <w:spacing w:before="14"/>
        <w:ind w:left="1648" w:hanging="903"/>
        <w:jc w:val="both"/>
        <w:rPr>
          <w:sz w:val="21"/>
        </w:rPr>
      </w:pPr>
      <w:r>
        <w:rPr>
          <w:spacing w:val="-1"/>
          <w:sz w:val="21"/>
          <w:u w:val="single"/>
        </w:rPr>
        <w:t>承包人应为本工程开立专用账户，接受发包人的监管</w:t>
      </w:r>
      <w:r>
        <w:rPr>
          <w:sz w:val="21"/>
        </w:rPr>
        <w:t xml:space="preserve">。 </w:t>
      </w:r>
    </w:p>
    <w:p w14:paraId="356A3304">
      <w:pPr>
        <w:pStyle w:val="17"/>
        <w:spacing w:before="11"/>
        <w:rPr>
          <w:sz w:val="9"/>
        </w:rPr>
      </w:pPr>
    </w:p>
    <w:p w14:paraId="2E31E6F8">
      <w:pPr>
        <w:pStyle w:val="17"/>
        <w:spacing w:before="70"/>
        <w:ind w:left="746"/>
      </w:pPr>
      <w:r>
        <w:t>3.1.10.6</w:t>
      </w:r>
      <w:r>
        <w:rPr>
          <w:u w:val="single"/>
        </w:rPr>
        <w:t xml:space="preserve">        。</w:t>
      </w:r>
      <w:r>
        <w:t xml:space="preserve"> </w:t>
      </w:r>
    </w:p>
    <w:p w14:paraId="2B398F27">
      <w:pPr>
        <w:pStyle w:val="17"/>
        <w:spacing w:before="11"/>
        <w:rPr>
          <w:sz w:val="9"/>
        </w:rPr>
      </w:pPr>
    </w:p>
    <w:p w14:paraId="71CEFF52">
      <w:pPr>
        <w:pStyle w:val="3"/>
        <w:numPr>
          <w:ilvl w:val="1"/>
          <w:numId w:val="5"/>
        </w:numPr>
        <w:tabs>
          <w:tab w:val="left" w:pos="1107"/>
        </w:tabs>
        <w:spacing w:before="3"/>
        <w:ind w:left="1107" w:hanging="361"/>
      </w:pPr>
      <w:r>
        <w:rPr>
          <w:spacing w:val="7"/>
        </w:rPr>
        <w:t>项目经理</w:t>
      </w:r>
      <w:r>
        <w:rPr>
          <w:spacing w:val="7"/>
          <w:w w:val="167"/>
        </w:rPr>
        <w:t xml:space="preserve"> </w:t>
      </w:r>
    </w:p>
    <w:p w14:paraId="63EAA5EB">
      <w:pPr>
        <w:pStyle w:val="317"/>
        <w:numPr>
          <w:ilvl w:val="2"/>
          <w:numId w:val="5"/>
        </w:numPr>
        <w:tabs>
          <w:tab w:val="left" w:pos="1273"/>
        </w:tabs>
        <w:spacing w:before="146"/>
        <w:ind w:left="1273" w:hanging="527"/>
        <w:jc w:val="left"/>
        <w:rPr>
          <w:sz w:val="21"/>
        </w:rPr>
      </w:pPr>
      <w:r>
        <w:rPr>
          <w:sz w:val="21"/>
        </w:rPr>
        <w:t xml:space="preserve">项目经理： </w:t>
      </w:r>
    </w:p>
    <w:p w14:paraId="6848F370">
      <w:pPr>
        <w:pStyle w:val="17"/>
        <w:spacing w:before="4"/>
        <w:rPr>
          <w:sz w:val="15"/>
        </w:rPr>
      </w:pPr>
    </w:p>
    <w:p w14:paraId="072897BE">
      <w:pPr>
        <w:pStyle w:val="17"/>
        <w:tabs>
          <w:tab w:val="left" w:pos="5583"/>
        </w:tabs>
        <w:ind w:left="746"/>
      </w:pPr>
      <w:r>
        <w:rPr>
          <w:lang w:val="en-US" w:bidi="ar-SA"/>
        </w:rPr>
        <w:drawing>
          <wp:anchor distT="0" distB="0" distL="0" distR="0" simplePos="0" relativeHeight="251688960" behindDoc="1" locked="0" layoutInCell="1" allowOverlap="1">
            <wp:simplePos x="0" y="0"/>
            <wp:positionH relativeFrom="page">
              <wp:posOffset>2164715</wp:posOffset>
            </wp:positionH>
            <wp:positionV relativeFrom="paragraph">
              <wp:posOffset>19050</wp:posOffset>
            </wp:positionV>
            <wp:extent cx="2082800" cy="133350"/>
            <wp:effectExtent l="0" t="0" r="0" b="0"/>
            <wp:wrapNone/>
            <wp:docPr id="5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1.png"/>
                    <pic:cNvPicPr>
                      <a:picLocks noChangeAspect="1"/>
                    </pic:cNvPicPr>
                  </pic:nvPicPr>
                  <pic:blipFill>
                    <a:blip r:embed="rId22" cstate="print"/>
                    <a:stretch>
                      <a:fillRect/>
                    </a:stretch>
                  </pic:blipFill>
                  <pic:spPr>
                    <a:xfrm>
                      <a:off x="0" y="0"/>
                      <a:ext cx="2082927" cy="133350"/>
                    </a:xfrm>
                    <a:prstGeom prst="rect">
                      <a:avLst/>
                    </a:prstGeom>
                  </pic:spPr>
                </pic:pic>
              </a:graphicData>
            </a:graphic>
          </wp:anchor>
        </w:drawing>
      </w:r>
      <w:r>
        <w:t>姓    名：</w:t>
      </w:r>
      <w:r>
        <w:rPr>
          <w:u w:val="single"/>
        </w:rPr>
        <w:t xml:space="preserve"> </w:t>
      </w:r>
      <w:r>
        <w:rPr>
          <w:rFonts w:hint="eastAsia"/>
          <w:u w:val="single"/>
        </w:rPr>
        <w:t xml:space="preserve"> </w:t>
      </w:r>
      <w:r>
        <w:rPr>
          <w:u w:val="single"/>
        </w:rPr>
        <w:t xml:space="preserve">  </w:t>
      </w:r>
      <w:r>
        <w:rPr>
          <w:u w:val="single"/>
        </w:rPr>
        <w:tab/>
      </w:r>
      <w:r>
        <w:t xml:space="preserve">； </w:t>
      </w:r>
    </w:p>
    <w:p w14:paraId="22859283">
      <w:pPr>
        <w:pStyle w:val="17"/>
        <w:spacing w:before="6"/>
        <w:rPr>
          <w:sz w:val="10"/>
        </w:rPr>
      </w:pPr>
    </w:p>
    <w:p w14:paraId="4657844F">
      <w:pPr>
        <w:pStyle w:val="17"/>
        <w:tabs>
          <w:tab w:val="left" w:pos="5583"/>
        </w:tabs>
        <w:spacing w:before="77"/>
        <w:ind w:left="746"/>
      </w:pPr>
      <w:r>
        <w:rPr>
          <w:lang w:val="en-US" w:bidi="ar-SA"/>
        </w:rPr>
        <w:drawing>
          <wp:anchor distT="0" distB="0" distL="0" distR="0" simplePos="0" relativeHeight="251689984" behindDoc="1" locked="0" layoutInCell="1" allowOverlap="1">
            <wp:simplePos x="0" y="0"/>
            <wp:positionH relativeFrom="page">
              <wp:posOffset>1764030</wp:posOffset>
            </wp:positionH>
            <wp:positionV relativeFrom="paragraph">
              <wp:posOffset>67310</wp:posOffset>
            </wp:positionV>
            <wp:extent cx="2489200" cy="133350"/>
            <wp:effectExtent l="0" t="0" r="0" b="0"/>
            <wp:wrapNone/>
            <wp:docPr id="5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2.png"/>
                    <pic:cNvPicPr>
                      <a:picLocks noChangeAspect="1"/>
                    </pic:cNvPicPr>
                  </pic:nvPicPr>
                  <pic:blipFill>
                    <a:blip r:embed="rId23" cstate="print"/>
                    <a:stretch>
                      <a:fillRect/>
                    </a:stretch>
                  </pic:blipFill>
                  <pic:spPr>
                    <a:xfrm>
                      <a:off x="0" y="0"/>
                      <a:ext cx="2489327" cy="133350"/>
                    </a:xfrm>
                    <a:prstGeom prst="rect">
                      <a:avLst/>
                    </a:prstGeom>
                  </pic:spPr>
                </pic:pic>
              </a:graphicData>
            </a:graphic>
          </wp:anchor>
        </w:drawing>
      </w:r>
      <w:r>
        <w:t>身份证号：</w:t>
      </w:r>
      <w:r>
        <w:rPr>
          <w:u w:val="single"/>
        </w:rPr>
        <w:t xml:space="preserve">        </w:t>
      </w:r>
      <w:r>
        <w:rPr>
          <w:u w:val="single"/>
        </w:rPr>
        <w:tab/>
      </w:r>
      <w:r>
        <w:t xml:space="preserve">； </w:t>
      </w:r>
    </w:p>
    <w:p w14:paraId="5A789B79">
      <w:pPr>
        <w:pStyle w:val="17"/>
        <w:spacing w:before="11"/>
        <w:rPr>
          <w:sz w:val="9"/>
        </w:rPr>
      </w:pPr>
    </w:p>
    <w:p w14:paraId="2A36B8F5">
      <w:pPr>
        <w:pStyle w:val="17"/>
        <w:tabs>
          <w:tab w:val="left" w:pos="5267"/>
        </w:tabs>
        <w:spacing w:before="70"/>
        <w:ind w:left="746"/>
      </w:pPr>
      <w:r>
        <w:rPr>
          <w:lang w:val="en-US" w:bidi="ar-SA"/>
        </w:rPr>
        <w:drawing>
          <wp:anchor distT="0" distB="0" distL="0" distR="0" simplePos="0" relativeHeight="251691008" behindDoc="1" locked="0" layoutInCell="1" allowOverlap="1">
            <wp:simplePos x="0" y="0"/>
            <wp:positionH relativeFrom="page">
              <wp:posOffset>2432050</wp:posOffset>
            </wp:positionH>
            <wp:positionV relativeFrom="paragraph">
              <wp:posOffset>62865</wp:posOffset>
            </wp:positionV>
            <wp:extent cx="1605280" cy="133350"/>
            <wp:effectExtent l="0" t="0" r="0" b="0"/>
            <wp:wrapNone/>
            <wp:docPr id="5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3.png"/>
                    <pic:cNvPicPr>
                      <a:picLocks noChangeAspect="1"/>
                    </pic:cNvPicPr>
                  </pic:nvPicPr>
                  <pic:blipFill>
                    <a:blip r:embed="rId24" cstate="print"/>
                    <a:stretch>
                      <a:fillRect/>
                    </a:stretch>
                  </pic:blipFill>
                  <pic:spPr>
                    <a:xfrm>
                      <a:off x="0" y="0"/>
                      <a:ext cx="1605279" cy="133350"/>
                    </a:xfrm>
                    <a:prstGeom prst="rect">
                      <a:avLst/>
                    </a:prstGeom>
                  </pic:spPr>
                </pic:pic>
              </a:graphicData>
            </a:graphic>
          </wp:anchor>
        </w:drawing>
      </w:r>
      <w:r>
        <w:t>建造师执业资格等级：</w:t>
      </w:r>
      <w:r>
        <w:rPr>
          <w:u w:val="single"/>
        </w:rPr>
        <w:t xml:space="preserve"> </w:t>
      </w:r>
      <w:r>
        <w:rPr>
          <w:rFonts w:hint="eastAsia"/>
          <w:u w:val="single"/>
        </w:rPr>
        <w:t xml:space="preserve"> </w:t>
      </w:r>
      <w:r>
        <w:rPr>
          <w:u w:val="single"/>
        </w:rPr>
        <w:tab/>
      </w:r>
      <w:r>
        <w:t xml:space="preserve">； </w:t>
      </w:r>
    </w:p>
    <w:p w14:paraId="47D94503">
      <w:pPr>
        <w:sectPr>
          <w:pgSz w:w="11910" w:h="16850"/>
          <w:pgMar w:top="1440" w:right="1080" w:bottom="1440" w:left="1080" w:header="0" w:footer="996" w:gutter="0"/>
          <w:cols w:space="720" w:num="1"/>
        </w:sectPr>
      </w:pPr>
    </w:p>
    <w:p w14:paraId="3D9B801C">
      <w:pPr>
        <w:pStyle w:val="17"/>
        <w:tabs>
          <w:tab w:val="left" w:pos="5523"/>
        </w:tabs>
        <w:spacing w:before="46"/>
        <w:ind w:left="581"/>
      </w:pPr>
      <w:r>
        <w:rPr>
          <w:lang w:val="en-US" w:bidi="ar-SA"/>
        </w:rPr>
        <w:drawing>
          <wp:anchor distT="0" distB="0" distL="0" distR="0" simplePos="0" relativeHeight="251692032" behindDoc="1" locked="0" layoutInCell="1" allowOverlap="1">
            <wp:simplePos x="0" y="0"/>
            <wp:positionH relativeFrom="page">
              <wp:posOffset>2193290</wp:posOffset>
            </wp:positionH>
            <wp:positionV relativeFrom="paragraph">
              <wp:posOffset>47625</wp:posOffset>
            </wp:positionV>
            <wp:extent cx="2043430" cy="133350"/>
            <wp:effectExtent l="0" t="0" r="0" b="0"/>
            <wp:wrapNone/>
            <wp:docPr id="5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4.png"/>
                    <pic:cNvPicPr>
                      <a:picLocks noChangeAspect="1"/>
                    </pic:cNvPicPr>
                  </pic:nvPicPr>
                  <pic:blipFill>
                    <a:blip r:embed="rId25" cstate="print"/>
                    <a:stretch>
                      <a:fillRect/>
                    </a:stretch>
                  </pic:blipFill>
                  <pic:spPr>
                    <a:xfrm>
                      <a:off x="0" y="0"/>
                      <a:ext cx="2043683" cy="133350"/>
                    </a:xfrm>
                    <a:prstGeom prst="rect">
                      <a:avLst/>
                    </a:prstGeom>
                  </pic:spPr>
                </pic:pic>
              </a:graphicData>
            </a:graphic>
          </wp:anchor>
        </w:drawing>
      </w:r>
      <w:r>
        <w:t>建造师注册证书号：</w:t>
      </w:r>
      <w:r>
        <w:rPr>
          <w:u w:val="single"/>
        </w:rPr>
        <w:t xml:space="preserve"> </w:t>
      </w:r>
      <w:r>
        <w:rPr>
          <w:u w:val="single"/>
          <w:lang w:val="en-US"/>
        </w:rPr>
        <w:t xml:space="preserve"> </w:t>
      </w:r>
      <w:r>
        <w:rPr>
          <w:u w:val="single"/>
        </w:rPr>
        <w:tab/>
      </w:r>
      <w:r>
        <w:t xml:space="preserve">； </w:t>
      </w:r>
    </w:p>
    <w:p w14:paraId="6B1909E4">
      <w:pPr>
        <w:pStyle w:val="17"/>
        <w:spacing w:before="4"/>
        <w:rPr>
          <w:sz w:val="9"/>
        </w:rPr>
      </w:pPr>
    </w:p>
    <w:p w14:paraId="3C8EE74D">
      <w:pPr>
        <w:pStyle w:val="17"/>
        <w:tabs>
          <w:tab w:val="left" w:pos="5523"/>
        </w:tabs>
        <w:spacing w:before="77"/>
        <w:ind w:left="581"/>
      </w:pPr>
      <w:r>
        <w:rPr>
          <w:lang w:val="en-US" w:bidi="ar-SA"/>
        </w:rPr>
        <w:drawing>
          <wp:anchor distT="0" distB="0" distL="0" distR="0" simplePos="0" relativeHeight="251693056" behindDoc="1" locked="0" layoutInCell="1" allowOverlap="1">
            <wp:simplePos x="0" y="0"/>
            <wp:positionH relativeFrom="page">
              <wp:posOffset>2193290</wp:posOffset>
            </wp:positionH>
            <wp:positionV relativeFrom="paragraph">
              <wp:posOffset>67945</wp:posOffset>
            </wp:positionV>
            <wp:extent cx="2013585" cy="133350"/>
            <wp:effectExtent l="0" t="0" r="0" b="0"/>
            <wp:wrapNone/>
            <wp:docPr id="6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5.png"/>
                    <pic:cNvPicPr>
                      <a:picLocks noChangeAspect="1"/>
                    </pic:cNvPicPr>
                  </pic:nvPicPr>
                  <pic:blipFill>
                    <a:blip r:embed="rId26" cstate="print"/>
                    <a:stretch>
                      <a:fillRect/>
                    </a:stretch>
                  </pic:blipFill>
                  <pic:spPr>
                    <a:xfrm>
                      <a:off x="0" y="0"/>
                      <a:ext cx="2013584" cy="133350"/>
                    </a:xfrm>
                    <a:prstGeom prst="rect">
                      <a:avLst/>
                    </a:prstGeom>
                  </pic:spPr>
                </pic:pic>
              </a:graphicData>
            </a:graphic>
          </wp:anchor>
        </w:drawing>
      </w:r>
      <w:r>
        <w:t>建造师执业印章号：</w:t>
      </w:r>
      <w:r>
        <w:rPr>
          <w:rFonts w:hint="eastAsia"/>
          <w:u w:val="single"/>
        </w:rPr>
        <w:t xml:space="preserve"> </w:t>
      </w:r>
      <w:r>
        <w:rPr>
          <w:u w:val="single"/>
        </w:rPr>
        <w:tab/>
      </w:r>
      <w:r>
        <w:t xml:space="preserve">； </w:t>
      </w:r>
    </w:p>
    <w:p w14:paraId="55D6C037">
      <w:pPr>
        <w:pStyle w:val="17"/>
        <w:spacing w:before="4"/>
        <w:rPr>
          <w:sz w:val="9"/>
        </w:rPr>
      </w:pPr>
    </w:p>
    <w:p w14:paraId="251FE164">
      <w:pPr>
        <w:pStyle w:val="17"/>
        <w:tabs>
          <w:tab w:val="left" w:pos="5523"/>
        </w:tabs>
        <w:spacing w:before="77"/>
        <w:ind w:left="581"/>
      </w:pPr>
      <w:r>
        <w:rPr>
          <w:lang w:val="en-US" w:bidi="ar-SA"/>
        </w:rPr>
        <w:drawing>
          <wp:anchor distT="0" distB="0" distL="0" distR="0" simplePos="0" relativeHeight="251694080" behindDoc="1" locked="0" layoutInCell="1" allowOverlap="1">
            <wp:simplePos x="0" y="0"/>
            <wp:positionH relativeFrom="page">
              <wp:posOffset>2593975</wp:posOffset>
            </wp:positionH>
            <wp:positionV relativeFrom="paragraph">
              <wp:posOffset>67945</wp:posOffset>
            </wp:positionV>
            <wp:extent cx="1625600" cy="133350"/>
            <wp:effectExtent l="0" t="0" r="0" b="0"/>
            <wp:wrapNone/>
            <wp:docPr id="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6.png"/>
                    <pic:cNvPicPr>
                      <a:picLocks noChangeAspect="1"/>
                    </pic:cNvPicPr>
                  </pic:nvPicPr>
                  <pic:blipFill>
                    <a:blip r:embed="rId27" cstate="print"/>
                    <a:stretch>
                      <a:fillRect/>
                    </a:stretch>
                  </pic:blipFill>
                  <pic:spPr>
                    <a:xfrm>
                      <a:off x="0" y="0"/>
                      <a:ext cx="1625727" cy="133350"/>
                    </a:xfrm>
                    <a:prstGeom prst="rect">
                      <a:avLst/>
                    </a:prstGeom>
                  </pic:spPr>
                </pic:pic>
              </a:graphicData>
            </a:graphic>
          </wp:anchor>
        </w:drawing>
      </w:r>
      <w:r>
        <w:t>安全生产考核合格证书号</w:t>
      </w:r>
      <w:r>
        <w:rPr>
          <w:spacing w:val="-3"/>
        </w:rPr>
        <w:t>：</w:t>
      </w:r>
      <w:r>
        <w:rPr>
          <w:spacing w:val="-3"/>
          <w:u w:val="single"/>
        </w:rPr>
        <w:t xml:space="preserve"> </w:t>
      </w:r>
      <w:r>
        <w:rPr>
          <w:rFonts w:hint="eastAsia"/>
          <w:spacing w:val="-3"/>
          <w:u w:val="single"/>
        </w:rPr>
        <w:t xml:space="preserve"> </w:t>
      </w:r>
      <w:r>
        <w:rPr>
          <w:spacing w:val="-3"/>
          <w:u w:val="single"/>
        </w:rPr>
        <w:tab/>
      </w:r>
      <w:r>
        <w:t xml:space="preserve">； </w:t>
      </w:r>
    </w:p>
    <w:p w14:paraId="4C7B762C">
      <w:pPr>
        <w:pStyle w:val="17"/>
        <w:spacing w:before="6"/>
        <w:rPr>
          <w:sz w:val="10"/>
        </w:rPr>
      </w:pPr>
    </w:p>
    <w:p w14:paraId="318A797E">
      <w:pPr>
        <w:pStyle w:val="17"/>
        <w:tabs>
          <w:tab w:val="left" w:pos="5523"/>
        </w:tabs>
        <w:spacing w:before="77"/>
        <w:ind w:left="581"/>
      </w:pPr>
      <w:r>
        <w:rPr>
          <w:lang w:val="en-US" w:bidi="ar-SA"/>
        </w:rPr>
        <w:drawing>
          <wp:anchor distT="0" distB="0" distL="0" distR="0" simplePos="0" relativeHeight="251695104" behindDoc="1" locked="0" layoutInCell="1" allowOverlap="1">
            <wp:simplePos x="0" y="0"/>
            <wp:positionH relativeFrom="page">
              <wp:posOffset>1659255</wp:posOffset>
            </wp:positionH>
            <wp:positionV relativeFrom="paragraph">
              <wp:posOffset>67945</wp:posOffset>
            </wp:positionV>
            <wp:extent cx="2577465" cy="133350"/>
            <wp:effectExtent l="0" t="0" r="0" b="0"/>
            <wp:wrapNone/>
            <wp:docPr id="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7.png"/>
                    <pic:cNvPicPr>
                      <a:picLocks noChangeAspect="1"/>
                    </pic:cNvPicPr>
                  </pic:nvPicPr>
                  <pic:blipFill>
                    <a:blip r:embed="rId28" cstate="print"/>
                    <a:stretch>
                      <a:fillRect/>
                    </a:stretch>
                  </pic:blipFill>
                  <pic:spPr>
                    <a:xfrm>
                      <a:off x="0" y="0"/>
                      <a:ext cx="2577591" cy="133350"/>
                    </a:xfrm>
                    <a:prstGeom prst="rect">
                      <a:avLst/>
                    </a:prstGeom>
                  </pic:spPr>
                </pic:pic>
              </a:graphicData>
            </a:graphic>
          </wp:anchor>
        </w:drawing>
      </w:r>
      <w:r>
        <w:t>联系方式：</w:t>
      </w:r>
      <w:r>
        <w:rPr>
          <w:u w:val="single"/>
          <w:lang w:val="en-US"/>
        </w:rPr>
        <w:t xml:space="preserve"> </w:t>
      </w:r>
      <w:r>
        <w:rPr>
          <w:u w:val="single"/>
        </w:rPr>
        <w:tab/>
      </w:r>
      <w:r>
        <w:t xml:space="preserve">。 </w:t>
      </w:r>
    </w:p>
    <w:p w14:paraId="5E96956E">
      <w:pPr>
        <w:pStyle w:val="17"/>
        <w:spacing w:before="11"/>
        <w:rPr>
          <w:sz w:val="9"/>
        </w:rPr>
      </w:pPr>
    </w:p>
    <w:p w14:paraId="032BB693">
      <w:pPr>
        <w:pStyle w:val="17"/>
        <w:spacing w:before="70"/>
        <w:ind w:left="581"/>
      </w:pPr>
      <w:r>
        <w:t>承包人对项目经理的授权范围如下：</w:t>
      </w:r>
      <w:r>
        <w:rPr>
          <w:u w:val="single"/>
        </w:rPr>
        <w:t>严格按设计图纸、现行国家施工规范及验收规范组织施工，保</w:t>
      </w:r>
    </w:p>
    <w:p w14:paraId="76B60139">
      <w:pPr>
        <w:pStyle w:val="17"/>
        <w:spacing w:before="11"/>
        <w:rPr>
          <w:sz w:val="9"/>
        </w:rPr>
      </w:pPr>
    </w:p>
    <w:p w14:paraId="02788FDC">
      <w:pPr>
        <w:pStyle w:val="17"/>
        <w:spacing w:before="70"/>
        <w:ind w:left="161"/>
      </w:pPr>
      <w:r>
        <w:rPr>
          <w:u w:val="single"/>
        </w:rPr>
        <w:t>证工程质量、进度、安全；及时向监理人、发包人报告现场情况（以承包人书面授权范围为准）</w:t>
      </w:r>
      <w:r>
        <w:t xml:space="preserve">。 </w:t>
      </w:r>
    </w:p>
    <w:p w14:paraId="3D091DA9">
      <w:pPr>
        <w:pStyle w:val="17"/>
        <w:spacing w:before="11"/>
        <w:rPr>
          <w:sz w:val="9"/>
        </w:rPr>
      </w:pPr>
    </w:p>
    <w:p w14:paraId="79D0965F">
      <w:pPr>
        <w:pStyle w:val="17"/>
        <w:spacing w:before="71"/>
        <w:ind w:left="581"/>
        <w:rPr>
          <w:highlight w:val="yellow"/>
          <w:u w:val="single"/>
        </w:rPr>
      </w:pPr>
      <w:r>
        <w:t>关于项目经理每月在施工现场的时间要求：</w:t>
      </w:r>
      <w:r>
        <w:rPr>
          <w:u w:val="single"/>
        </w:rPr>
        <w:t>不少于 22 天，由监理人负责项目经理的考勤，</w:t>
      </w:r>
      <w:r>
        <w:rPr>
          <w:rFonts w:hint="eastAsia"/>
          <w:highlight w:val="yellow"/>
          <w:u w:val="single"/>
        </w:rPr>
        <w:t>每少1天支付违约金1000元，月累计缺勤 10 天以上（含 10 天），每天支付违约金2000元</w:t>
      </w:r>
      <w:r>
        <w:rPr>
          <w:highlight w:val="yellow"/>
          <w:u w:val="single"/>
        </w:rPr>
        <w:t>。</w:t>
      </w:r>
    </w:p>
    <w:p w14:paraId="034030E8">
      <w:pPr>
        <w:pStyle w:val="17"/>
        <w:spacing w:before="71"/>
        <w:ind w:left="581"/>
      </w:pPr>
      <w:r>
        <w:rPr>
          <w:rFonts w:hint="eastAsia"/>
          <w:highlight w:val="yellow"/>
          <w:u w:val="single"/>
        </w:rPr>
        <w:t>项目经理未经批准，擅自离开施工现场的违约责任：处以每次 2000 元违约金。</w:t>
      </w:r>
    </w:p>
    <w:p w14:paraId="027B11A9">
      <w:pPr>
        <w:pStyle w:val="17"/>
        <w:spacing w:before="10"/>
        <w:rPr>
          <w:sz w:val="9"/>
        </w:rPr>
      </w:pPr>
    </w:p>
    <w:p w14:paraId="68FC9266">
      <w:pPr>
        <w:pStyle w:val="17"/>
        <w:spacing w:before="71"/>
        <w:ind w:left="581"/>
      </w:pPr>
      <w:r>
        <w:rPr>
          <w:u w:val="single"/>
        </w:rPr>
        <w:t>承包人应在合同签订后 7 天内提交与项目经理签订的劳动合同及为项目经理缴纳社会保险的证明，</w:t>
      </w:r>
    </w:p>
    <w:p w14:paraId="55D4AAB7">
      <w:pPr>
        <w:pStyle w:val="17"/>
        <w:spacing w:before="12"/>
        <w:rPr>
          <w:sz w:val="10"/>
        </w:rPr>
      </w:pPr>
    </w:p>
    <w:p w14:paraId="42BAD5E7">
      <w:pPr>
        <w:pStyle w:val="17"/>
        <w:spacing w:before="70"/>
        <w:ind w:left="161"/>
      </w:pPr>
      <w:r>
        <w:rPr>
          <w:u w:val="single"/>
        </w:rPr>
        <w:t>承包人未在限期内提交的，项目经理无权履行职责，发包人有权要求更换项目经理</w:t>
      </w:r>
      <w:r>
        <w:t xml:space="preserve">。 </w:t>
      </w:r>
    </w:p>
    <w:p w14:paraId="1E174E42">
      <w:pPr>
        <w:pStyle w:val="17"/>
        <w:spacing w:before="11"/>
        <w:rPr>
          <w:sz w:val="9"/>
        </w:rPr>
      </w:pPr>
    </w:p>
    <w:p w14:paraId="4C2400B7">
      <w:pPr>
        <w:pStyle w:val="317"/>
        <w:numPr>
          <w:ilvl w:val="2"/>
          <w:numId w:val="5"/>
        </w:numPr>
        <w:tabs>
          <w:tab w:val="left" w:pos="1108"/>
        </w:tabs>
        <w:spacing w:before="71"/>
        <w:ind w:left="1108" w:hanging="527"/>
        <w:jc w:val="left"/>
        <w:rPr>
          <w:sz w:val="21"/>
        </w:rPr>
      </w:pPr>
      <w:r>
        <w:rPr>
          <w:sz w:val="21"/>
        </w:rPr>
        <w:t xml:space="preserve">技术负责人 </w:t>
      </w:r>
    </w:p>
    <w:p w14:paraId="7559E222">
      <w:pPr>
        <w:pStyle w:val="17"/>
        <w:spacing w:before="4"/>
        <w:rPr>
          <w:sz w:val="15"/>
        </w:rPr>
      </w:pPr>
    </w:p>
    <w:p w14:paraId="5EBD0BE1">
      <w:pPr>
        <w:pStyle w:val="17"/>
        <w:tabs>
          <w:tab w:val="left" w:pos="5207"/>
        </w:tabs>
        <w:ind w:left="581"/>
      </w:pPr>
      <w:r>
        <w:rPr>
          <w:lang w:val="en-US" w:bidi="ar-SA"/>
        </w:rPr>
        <w:drawing>
          <wp:anchor distT="0" distB="0" distL="0" distR="0" simplePos="0" relativeHeight="251696128" behindDoc="1" locked="0" layoutInCell="1" allowOverlap="1">
            <wp:simplePos x="0" y="0"/>
            <wp:positionH relativeFrom="page">
              <wp:posOffset>2059305</wp:posOffset>
            </wp:positionH>
            <wp:positionV relativeFrom="paragraph">
              <wp:posOffset>18415</wp:posOffset>
            </wp:positionV>
            <wp:extent cx="1946910" cy="133350"/>
            <wp:effectExtent l="0" t="0" r="0" b="0"/>
            <wp:wrapNone/>
            <wp:docPr id="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8.png"/>
                    <pic:cNvPicPr>
                      <a:picLocks noChangeAspect="1"/>
                    </pic:cNvPicPr>
                  </pic:nvPicPr>
                  <pic:blipFill>
                    <a:blip r:embed="rId29" cstate="print"/>
                    <a:stretch>
                      <a:fillRect/>
                    </a:stretch>
                  </pic:blipFill>
                  <pic:spPr>
                    <a:xfrm>
                      <a:off x="0" y="0"/>
                      <a:ext cx="1947037" cy="133350"/>
                    </a:xfrm>
                    <a:prstGeom prst="rect">
                      <a:avLst/>
                    </a:prstGeom>
                  </pic:spPr>
                </pic:pic>
              </a:graphicData>
            </a:graphic>
          </wp:anchor>
        </w:drawing>
      </w:r>
      <w:r>
        <w:t xml:space="preserve">姓   </w:t>
      </w:r>
      <w:r>
        <w:rPr>
          <w:spacing w:val="1"/>
        </w:rPr>
        <w:t xml:space="preserve"> </w:t>
      </w:r>
      <w:r>
        <w:t>名：</w:t>
      </w:r>
      <w:r>
        <w:rPr>
          <w:u w:val="single"/>
        </w:rPr>
        <w:t xml:space="preserve"> </w:t>
      </w:r>
      <w:r>
        <w:rPr>
          <w:rFonts w:hint="eastAsia"/>
          <w:u w:val="single"/>
        </w:rPr>
        <w:t xml:space="preserve"> </w:t>
      </w:r>
      <w:r>
        <w:rPr>
          <w:u w:val="single"/>
        </w:rPr>
        <w:tab/>
      </w:r>
      <w:r>
        <w:t xml:space="preserve">； </w:t>
      </w:r>
    </w:p>
    <w:p w14:paraId="4AC12D19">
      <w:pPr>
        <w:pStyle w:val="17"/>
        <w:spacing w:before="10"/>
        <w:rPr>
          <w:sz w:val="9"/>
        </w:rPr>
      </w:pPr>
    </w:p>
    <w:p w14:paraId="5A66ECFE">
      <w:pPr>
        <w:pStyle w:val="17"/>
        <w:tabs>
          <w:tab w:val="left" w:pos="3946"/>
          <w:tab w:val="left" w:pos="5207"/>
        </w:tabs>
        <w:spacing w:before="71"/>
        <w:ind w:left="581"/>
      </w:pPr>
      <w:r>
        <w:rPr>
          <w:lang w:val="en-US" w:bidi="ar-SA"/>
        </w:rPr>
        <w:drawing>
          <wp:anchor distT="0" distB="0" distL="0" distR="0" simplePos="0" relativeHeight="251697152" behindDoc="1" locked="0" layoutInCell="1" allowOverlap="1">
            <wp:simplePos x="0" y="0"/>
            <wp:positionH relativeFrom="page">
              <wp:posOffset>2059305</wp:posOffset>
            </wp:positionH>
            <wp:positionV relativeFrom="paragraph">
              <wp:posOffset>64135</wp:posOffset>
            </wp:positionV>
            <wp:extent cx="1139190" cy="133350"/>
            <wp:effectExtent l="0" t="0" r="0" b="0"/>
            <wp:wrapNone/>
            <wp:docPr id="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9.png"/>
                    <pic:cNvPicPr>
                      <a:picLocks noChangeAspect="1"/>
                    </pic:cNvPicPr>
                  </pic:nvPicPr>
                  <pic:blipFill>
                    <a:blip r:embed="rId30" cstate="print"/>
                    <a:stretch>
                      <a:fillRect/>
                    </a:stretch>
                  </pic:blipFill>
                  <pic:spPr>
                    <a:xfrm>
                      <a:off x="0" y="0"/>
                      <a:ext cx="1139278" cy="133350"/>
                    </a:xfrm>
                    <a:prstGeom prst="rect">
                      <a:avLst/>
                    </a:prstGeom>
                  </pic:spPr>
                </pic:pic>
              </a:graphicData>
            </a:graphic>
          </wp:anchor>
        </w:drawing>
      </w:r>
      <w:r>
        <w:rPr>
          <w:lang w:val="en-US" w:bidi="ar-SA"/>
        </w:rPr>
        <w:drawing>
          <wp:anchor distT="0" distB="0" distL="0" distR="0" simplePos="0" relativeHeight="251698176" behindDoc="1" locked="0" layoutInCell="1" allowOverlap="1">
            <wp:simplePos x="0" y="0"/>
            <wp:positionH relativeFrom="page">
              <wp:posOffset>3328035</wp:posOffset>
            </wp:positionH>
            <wp:positionV relativeFrom="paragraph">
              <wp:posOffset>64135</wp:posOffset>
            </wp:positionV>
            <wp:extent cx="701040" cy="133350"/>
            <wp:effectExtent l="0" t="0" r="0" b="0"/>
            <wp:wrapNone/>
            <wp:docPr id="7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0.png"/>
                    <pic:cNvPicPr>
                      <a:picLocks noChangeAspect="1"/>
                    </pic:cNvPicPr>
                  </pic:nvPicPr>
                  <pic:blipFill>
                    <a:blip r:embed="rId31" cstate="print"/>
                    <a:stretch>
                      <a:fillRect/>
                    </a:stretch>
                  </pic:blipFill>
                  <pic:spPr>
                    <a:xfrm>
                      <a:off x="0" y="0"/>
                      <a:ext cx="700824" cy="133350"/>
                    </a:xfrm>
                    <a:prstGeom prst="rect">
                      <a:avLst/>
                    </a:prstGeom>
                  </pic:spPr>
                </pic:pic>
              </a:graphicData>
            </a:graphic>
          </wp:anchor>
        </w:drawing>
      </w:r>
      <w:r>
        <w:t>身份证号：</w:t>
      </w:r>
      <w:r>
        <w:rPr>
          <w:u w:val="single"/>
        </w:rPr>
        <w:t xml:space="preserve">  </w:t>
      </w:r>
      <w:r>
        <w:rPr>
          <w:u w:val="single"/>
        </w:rPr>
        <w:tab/>
      </w:r>
      <w:r>
        <w:rPr>
          <w:u w:val="single"/>
        </w:rPr>
        <w:tab/>
      </w:r>
      <w:r>
        <w:t xml:space="preserve">； </w:t>
      </w:r>
    </w:p>
    <w:p w14:paraId="3AA4AFE5">
      <w:pPr>
        <w:pStyle w:val="17"/>
        <w:spacing w:before="11"/>
        <w:rPr>
          <w:sz w:val="9"/>
        </w:rPr>
      </w:pPr>
    </w:p>
    <w:p w14:paraId="0DC27101">
      <w:pPr>
        <w:pStyle w:val="17"/>
        <w:tabs>
          <w:tab w:val="left" w:pos="5207"/>
        </w:tabs>
        <w:spacing w:before="70"/>
        <w:ind w:left="581"/>
      </w:pPr>
      <w:r>
        <w:rPr>
          <w:lang w:val="en-US" w:bidi="ar-SA"/>
        </w:rPr>
        <w:drawing>
          <wp:anchor distT="0" distB="0" distL="0" distR="0" simplePos="0" relativeHeight="251699200" behindDoc="1" locked="0" layoutInCell="1" allowOverlap="1">
            <wp:simplePos x="0" y="0"/>
            <wp:positionH relativeFrom="page">
              <wp:posOffset>2059305</wp:posOffset>
            </wp:positionH>
            <wp:positionV relativeFrom="paragraph">
              <wp:posOffset>63500</wp:posOffset>
            </wp:positionV>
            <wp:extent cx="1946910" cy="133350"/>
            <wp:effectExtent l="0" t="0" r="0" b="0"/>
            <wp:wrapNone/>
            <wp:docPr id="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8.png"/>
                    <pic:cNvPicPr>
                      <a:picLocks noChangeAspect="1"/>
                    </pic:cNvPicPr>
                  </pic:nvPicPr>
                  <pic:blipFill>
                    <a:blip r:embed="rId29" cstate="print"/>
                    <a:stretch>
                      <a:fillRect/>
                    </a:stretch>
                  </pic:blipFill>
                  <pic:spPr>
                    <a:xfrm>
                      <a:off x="0" y="0"/>
                      <a:ext cx="1947037" cy="133350"/>
                    </a:xfrm>
                    <a:prstGeom prst="rect">
                      <a:avLst/>
                    </a:prstGeom>
                  </pic:spPr>
                </pic:pic>
              </a:graphicData>
            </a:graphic>
          </wp:anchor>
        </w:drawing>
      </w:r>
      <w:r>
        <w:t>联系方式：</w:t>
      </w:r>
      <w:r>
        <w:rPr>
          <w:u w:val="single"/>
        </w:rPr>
        <w:t xml:space="preserve"> </w:t>
      </w:r>
      <w:r>
        <w:rPr>
          <w:u w:val="single"/>
          <w:lang w:val="en-US"/>
        </w:rPr>
        <w:t xml:space="preserve"> </w:t>
      </w:r>
      <w:r>
        <w:rPr>
          <w:u w:val="single"/>
        </w:rPr>
        <w:tab/>
      </w:r>
      <w:r>
        <w:t xml:space="preserve">； </w:t>
      </w:r>
    </w:p>
    <w:p w14:paraId="40B93285">
      <w:pPr>
        <w:pStyle w:val="17"/>
        <w:rPr>
          <w:sz w:val="11"/>
        </w:rPr>
      </w:pPr>
    </w:p>
    <w:p w14:paraId="764C05AC">
      <w:pPr>
        <w:pStyle w:val="17"/>
        <w:tabs>
          <w:tab w:val="left" w:pos="5628"/>
        </w:tabs>
        <w:spacing w:before="71"/>
        <w:ind w:left="581"/>
      </w:pPr>
      <w:r>
        <w:rPr>
          <w:lang w:val="en-US" w:bidi="ar-SA"/>
        </w:rPr>
        <w:drawing>
          <wp:anchor distT="0" distB="0" distL="0" distR="0" simplePos="0" relativeHeight="251700224" behindDoc="1" locked="0" layoutInCell="1" allowOverlap="1">
            <wp:simplePos x="0" y="0"/>
            <wp:positionH relativeFrom="page">
              <wp:posOffset>2326640</wp:posOffset>
            </wp:positionH>
            <wp:positionV relativeFrom="paragraph">
              <wp:posOffset>63500</wp:posOffset>
            </wp:positionV>
            <wp:extent cx="1946910" cy="133350"/>
            <wp:effectExtent l="0" t="0" r="0" b="0"/>
            <wp:wrapNone/>
            <wp:docPr id="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8.png"/>
                    <pic:cNvPicPr>
                      <a:picLocks noChangeAspect="1"/>
                    </pic:cNvPicPr>
                  </pic:nvPicPr>
                  <pic:blipFill>
                    <a:blip r:embed="rId29" cstate="print"/>
                    <a:stretch>
                      <a:fillRect/>
                    </a:stretch>
                  </pic:blipFill>
                  <pic:spPr>
                    <a:xfrm>
                      <a:off x="0" y="0"/>
                      <a:ext cx="1947036" cy="133350"/>
                    </a:xfrm>
                    <a:prstGeom prst="rect">
                      <a:avLst/>
                    </a:prstGeom>
                  </pic:spPr>
                </pic:pic>
              </a:graphicData>
            </a:graphic>
          </wp:anchor>
        </w:drawing>
      </w:r>
      <w:r>
        <w:t xml:space="preserve">专      </w:t>
      </w:r>
      <w:r>
        <w:rPr>
          <w:spacing w:val="103"/>
        </w:rPr>
        <w:t xml:space="preserve"> </w:t>
      </w:r>
      <w:r>
        <w:t>业：</w:t>
      </w:r>
      <w:r>
        <w:rPr>
          <w:u w:val="single"/>
        </w:rPr>
        <w:t xml:space="preserve"> </w:t>
      </w:r>
      <w:r>
        <w:rPr>
          <w:rFonts w:hint="eastAsia"/>
          <w:u w:val="single"/>
        </w:rPr>
        <w:t xml:space="preserve"> </w:t>
      </w:r>
      <w:r>
        <w:rPr>
          <w:u w:val="single"/>
        </w:rPr>
        <w:tab/>
      </w:r>
      <w:r>
        <w:t xml:space="preserve">； </w:t>
      </w:r>
    </w:p>
    <w:p w14:paraId="6E7A91FC">
      <w:pPr>
        <w:pStyle w:val="17"/>
        <w:spacing w:before="10"/>
        <w:rPr>
          <w:sz w:val="9"/>
        </w:rPr>
      </w:pPr>
    </w:p>
    <w:p w14:paraId="1742CB57">
      <w:pPr>
        <w:pStyle w:val="17"/>
        <w:tabs>
          <w:tab w:val="left" w:pos="5523"/>
        </w:tabs>
        <w:spacing w:before="70"/>
        <w:ind w:left="581"/>
      </w:pPr>
      <w:r>
        <w:rPr>
          <w:lang w:val="en-US" w:bidi="ar-SA"/>
        </w:rPr>
        <w:drawing>
          <wp:anchor distT="0" distB="0" distL="0" distR="0" simplePos="0" relativeHeight="251701248" behindDoc="1" locked="0" layoutInCell="1" allowOverlap="1">
            <wp:simplePos x="0" y="0"/>
            <wp:positionH relativeFrom="page">
              <wp:posOffset>2460625</wp:posOffset>
            </wp:positionH>
            <wp:positionV relativeFrom="paragraph">
              <wp:posOffset>62865</wp:posOffset>
            </wp:positionV>
            <wp:extent cx="1744980" cy="133350"/>
            <wp:effectExtent l="0" t="0" r="0" b="0"/>
            <wp:wrapNone/>
            <wp:docPr id="7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1.png"/>
                    <pic:cNvPicPr>
                      <a:picLocks noChangeAspect="1"/>
                    </pic:cNvPicPr>
                  </pic:nvPicPr>
                  <pic:blipFill>
                    <a:blip r:embed="rId32" cstate="print"/>
                    <a:stretch>
                      <a:fillRect/>
                    </a:stretch>
                  </pic:blipFill>
                  <pic:spPr>
                    <a:xfrm>
                      <a:off x="0" y="0"/>
                      <a:ext cx="1744979" cy="133350"/>
                    </a:xfrm>
                    <a:prstGeom prst="rect">
                      <a:avLst/>
                    </a:prstGeom>
                  </pic:spPr>
                </pic:pic>
              </a:graphicData>
            </a:graphic>
          </wp:anchor>
        </w:drawing>
      </w:r>
      <w:r>
        <w:t>证书名称及号码：</w:t>
      </w:r>
      <w:r>
        <w:rPr>
          <w:u w:val="single"/>
        </w:rPr>
        <w:t xml:space="preserve"> </w:t>
      </w:r>
      <w:r>
        <w:rPr>
          <w:rFonts w:hint="eastAsia"/>
          <w:u w:val="single"/>
        </w:rPr>
        <w:t xml:space="preserve"> </w:t>
      </w:r>
      <w:r>
        <w:rPr>
          <w:u w:val="single"/>
        </w:rPr>
        <w:tab/>
      </w:r>
      <w:r>
        <w:t xml:space="preserve">； </w:t>
      </w:r>
    </w:p>
    <w:p w14:paraId="62756570">
      <w:pPr>
        <w:pStyle w:val="17"/>
        <w:spacing w:before="4"/>
        <w:rPr>
          <w:sz w:val="9"/>
        </w:rPr>
      </w:pPr>
    </w:p>
    <w:p w14:paraId="08811976">
      <w:pPr>
        <w:pStyle w:val="17"/>
        <w:tabs>
          <w:tab w:val="left" w:pos="5312"/>
        </w:tabs>
        <w:spacing w:before="77"/>
        <w:ind w:left="161"/>
      </w:pPr>
      <w:r>
        <w:rPr>
          <w:lang w:val="en-US" w:bidi="ar-SA"/>
        </w:rPr>
        <w:drawing>
          <wp:anchor distT="0" distB="0" distL="0" distR="0" simplePos="0" relativeHeight="251702272" behindDoc="1" locked="0" layoutInCell="1" allowOverlap="1">
            <wp:simplePos x="0" y="0"/>
            <wp:positionH relativeFrom="page">
              <wp:posOffset>1659255</wp:posOffset>
            </wp:positionH>
            <wp:positionV relativeFrom="paragraph">
              <wp:posOffset>67945</wp:posOffset>
            </wp:positionV>
            <wp:extent cx="2442845" cy="133350"/>
            <wp:effectExtent l="0" t="0" r="0" b="0"/>
            <wp:wrapNone/>
            <wp:docPr id="7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2.png"/>
                    <pic:cNvPicPr>
                      <a:picLocks noChangeAspect="1"/>
                    </pic:cNvPicPr>
                  </pic:nvPicPr>
                  <pic:blipFill>
                    <a:blip r:embed="rId33" cstate="print"/>
                    <a:stretch>
                      <a:fillRect/>
                    </a:stretch>
                  </pic:blipFill>
                  <pic:spPr>
                    <a:xfrm>
                      <a:off x="0" y="0"/>
                      <a:ext cx="2442717" cy="133350"/>
                    </a:xfrm>
                    <a:prstGeom prst="rect">
                      <a:avLst/>
                    </a:prstGeom>
                  </pic:spPr>
                </pic:pic>
              </a:graphicData>
            </a:graphic>
          </wp:anchor>
        </w:drawing>
      </w:r>
      <w:r>
        <w:t xml:space="preserve">    联系方式：</w:t>
      </w:r>
      <w:r>
        <w:rPr>
          <w:u w:val="single"/>
        </w:rPr>
        <w:t xml:space="preserve"> </w:t>
      </w:r>
      <w:r>
        <w:rPr>
          <w:rFonts w:hint="eastAsia"/>
          <w:u w:val="single"/>
          <w:lang w:val="en-US"/>
        </w:rPr>
        <w:t xml:space="preserve">  </w:t>
      </w:r>
      <w:r>
        <w:rPr>
          <w:u w:val="single"/>
        </w:rPr>
        <w:tab/>
      </w:r>
      <w:r>
        <w:t xml:space="preserve">。 </w:t>
      </w:r>
    </w:p>
    <w:p w14:paraId="5282CB93">
      <w:pPr>
        <w:pStyle w:val="17"/>
        <w:spacing w:before="11"/>
        <w:rPr>
          <w:sz w:val="9"/>
        </w:rPr>
      </w:pPr>
    </w:p>
    <w:p w14:paraId="07876554">
      <w:pPr>
        <w:pStyle w:val="17"/>
        <w:spacing w:before="71"/>
        <w:ind w:left="581"/>
      </w:pPr>
      <w:r>
        <w:t>关于技术负责人每月在施工现场的时间要求：</w:t>
      </w:r>
      <w:r>
        <w:rPr>
          <w:u w:val="single"/>
        </w:rPr>
        <w:t>不少于 22 天，由监理人负责技术负责人的考勤</w:t>
      </w:r>
      <w:r>
        <w:t xml:space="preserve">。 </w:t>
      </w:r>
    </w:p>
    <w:p w14:paraId="2932287F">
      <w:pPr>
        <w:pStyle w:val="17"/>
        <w:spacing w:before="10"/>
        <w:rPr>
          <w:sz w:val="9"/>
        </w:rPr>
      </w:pPr>
    </w:p>
    <w:p w14:paraId="5D6CC7F1">
      <w:pPr>
        <w:pStyle w:val="17"/>
        <w:spacing w:before="71"/>
        <w:ind w:left="581"/>
      </w:pPr>
      <w:r>
        <w:rPr>
          <w:u w:val="single"/>
        </w:rPr>
        <w:t>承包人应在合同签订后 7 天内提交与技术负责人签订的劳动合同及为技术负责人缴纳社会保险的证</w:t>
      </w:r>
    </w:p>
    <w:p w14:paraId="5C6A35F1">
      <w:pPr>
        <w:pStyle w:val="17"/>
        <w:rPr>
          <w:sz w:val="11"/>
        </w:rPr>
      </w:pPr>
    </w:p>
    <w:p w14:paraId="486AE8DB">
      <w:pPr>
        <w:pStyle w:val="17"/>
        <w:spacing w:before="70"/>
        <w:ind w:left="161"/>
      </w:pPr>
      <w:r>
        <w:rPr>
          <w:u w:val="single"/>
        </w:rPr>
        <w:t>明，承包人未在限期内提交的，技术负责人无权履行职责，发包人有权要求更换技术负责人</w:t>
      </w:r>
      <w:r>
        <w:t xml:space="preserve">。 </w:t>
      </w:r>
    </w:p>
    <w:p w14:paraId="0C9BCAEC">
      <w:pPr>
        <w:pStyle w:val="17"/>
        <w:spacing w:before="10"/>
        <w:rPr>
          <w:sz w:val="9"/>
        </w:rPr>
      </w:pPr>
    </w:p>
    <w:p w14:paraId="37C877CA">
      <w:pPr>
        <w:pStyle w:val="317"/>
        <w:numPr>
          <w:ilvl w:val="2"/>
          <w:numId w:val="5"/>
        </w:numPr>
        <w:tabs>
          <w:tab w:val="left" w:pos="1108"/>
        </w:tabs>
        <w:spacing w:before="71" w:line="415" w:lineRule="auto"/>
        <w:ind w:right="1285" w:firstLine="420"/>
        <w:jc w:val="both"/>
        <w:rPr>
          <w:sz w:val="21"/>
        </w:rPr>
      </w:pPr>
      <w:r>
        <w:rPr>
          <w:spacing w:val="-1"/>
          <w:sz w:val="21"/>
        </w:rPr>
        <w:t>发包人有权书面通知承包人更换其认为不称职</w:t>
      </w:r>
      <w:r>
        <w:rPr>
          <w:sz w:val="21"/>
        </w:rPr>
        <w:t>/</w:t>
      </w:r>
      <w:r>
        <w:rPr>
          <w:spacing w:val="-4"/>
          <w:sz w:val="21"/>
        </w:rPr>
        <w:t>不履职的项目经理和</w:t>
      </w:r>
      <w:r>
        <w:rPr>
          <w:sz w:val="21"/>
        </w:rPr>
        <w:t>（或</w:t>
      </w:r>
      <w:r>
        <w:rPr>
          <w:spacing w:val="-30"/>
          <w:sz w:val="21"/>
        </w:rPr>
        <w:t>）</w:t>
      </w:r>
      <w:r>
        <w:rPr>
          <w:spacing w:val="-5"/>
          <w:sz w:val="21"/>
        </w:rPr>
        <w:t>技术负责人，通知</w:t>
      </w:r>
      <w:r>
        <w:rPr>
          <w:spacing w:val="-7"/>
          <w:sz w:val="21"/>
        </w:rPr>
        <w:t xml:space="preserve">中应当载明要求更换的理由。承包人应在接到更换通知后 </w:t>
      </w:r>
      <w:r>
        <w:rPr>
          <w:sz w:val="21"/>
        </w:rPr>
        <w:t>7</w:t>
      </w:r>
      <w:r>
        <w:rPr>
          <w:spacing w:val="-7"/>
          <w:sz w:val="21"/>
        </w:rPr>
        <w:t xml:space="preserve"> 天内向发包人提出书面的改进报告。发包人</w:t>
      </w:r>
    </w:p>
    <w:p w14:paraId="6ED48923">
      <w:pPr>
        <w:pStyle w:val="17"/>
        <w:spacing w:line="422" w:lineRule="auto"/>
        <w:ind w:left="161" w:right="1273"/>
        <w:jc w:val="both"/>
      </w:pPr>
      <w:r>
        <w:rPr>
          <w:spacing w:val="-6"/>
        </w:rPr>
        <w:t xml:space="preserve">收到改进报告后仍要求更换的，承包人应在接到第二次更换通知的 </w:t>
      </w:r>
      <w:r>
        <w:t>14</w:t>
      </w:r>
      <w:r>
        <w:rPr>
          <w:spacing w:val="-10"/>
        </w:rPr>
        <w:t xml:space="preserve"> 天内进行更换，并将新任命的项目经理和（或）技术负责人的注册执业资格、职称证书、管理经验等资料书面报送发包人审核批准。继任项目经理和（或）技术负责人继续履行合同约定的职责。</w:t>
      </w:r>
      <w:r>
        <w:t xml:space="preserve"> </w:t>
      </w:r>
    </w:p>
    <w:p w14:paraId="29AC681B">
      <w:pPr>
        <w:pStyle w:val="17"/>
        <w:spacing w:line="415" w:lineRule="auto"/>
        <w:ind w:left="161" w:right="1287" w:firstLine="420"/>
        <w:jc w:val="both"/>
      </w:pPr>
      <w:r>
        <w:rPr>
          <w:spacing w:val="-3"/>
        </w:rPr>
        <w:t xml:space="preserve">若项目经理和技术负责人出现下列情形需更换的，承包人按通用条款第 </w:t>
      </w:r>
      <w:r>
        <w:t>3.2.3</w:t>
      </w:r>
      <w:r>
        <w:rPr>
          <w:spacing w:val="-7"/>
        </w:rPr>
        <w:t xml:space="preserve"> 项的规定向发包人发</w:t>
      </w:r>
      <w:r>
        <w:rPr>
          <w:spacing w:val="-8"/>
        </w:rPr>
        <w:t>出通知，经发包人领导班子集体决策同意后予以批准，并将变更信息推送给行业主管部门：</w:t>
      </w:r>
      <w:r>
        <w:t xml:space="preserve"> </w:t>
      </w:r>
    </w:p>
    <w:p w14:paraId="6B99628D">
      <w:pPr>
        <w:pStyle w:val="17"/>
        <w:spacing w:line="269" w:lineRule="exact"/>
        <w:ind w:left="581"/>
      </w:pPr>
      <w:r>
        <w:t xml:space="preserve">1、死亡； </w:t>
      </w:r>
    </w:p>
    <w:p w14:paraId="6EA4F99F">
      <w:pPr>
        <w:pStyle w:val="17"/>
        <w:spacing w:before="7"/>
        <w:rPr>
          <w:sz w:val="14"/>
        </w:rPr>
      </w:pPr>
    </w:p>
    <w:p w14:paraId="409F73FE">
      <w:pPr>
        <w:pStyle w:val="17"/>
        <w:spacing w:before="1"/>
        <w:ind w:left="581"/>
      </w:pPr>
      <w:r>
        <w:t xml:space="preserve">2、非承包人原因导致工期延长，而致使项目经理和技术负责人达到法定退休年龄且确需退休； </w:t>
      </w:r>
    </w:p>
    <w:p w14:paraId="5E8814CF">
      <w:pPr>
        <w:pStyle w:val="17"/>
        <w:spacing w:before="6"/>
        <w:rPr>
          <w:sz w:val="16"/>
        </w:rPr>
      </w:pPr>
    </w:p>
    <w:p w14:paraId="734760A1">
      <w:pPr>
        <w:pStyle w:val="17"/>
        <w:spacing w:line="415" w:lineRule="auto"/>
        <w:ind w:left="161" w:right="1270" w:firstLine="420"/>
        <w:sectPr>
          <w:pgSz w:w="11910" w:h="16850"/>
          <w:pgMar w:top="1440" w:right="1080" w:bottom="1440" w:left="1080" w:header="0" w:footer="996" w:gutter="0"/>
          <w:cols w:space="720" w:num="1"/>
        </w:sectPr>
      </w:pPr>
      <w:r>
        <w:t>3</w:t>
      </w:r>
      <w:r>
        <w:rPr>
          <w:spacing w:val="-7"/>
        </w:rPr>
        <w:t>、按《职工非因工伤残或因病丧失劳动能力程度鉴定标准</w:t>
      </w:r>
      <w:r>
        <w:t>（试行</w:t>
      </w:r>
      <w:r>
        <w:rPr>
          <w:spacing w:val="-15"/>
        </w:rPr>
        <w:t>）</w:t>
      </w:r>
      <w:r>
        <w:rPr>
          <w:spacing w:val="-4"/>
        </w:rPr>
        <w:t xml:space="preserve">》规定鉴定为完全丧失劳动能力和大部分丧失劳动能力； </w:t>
      </w:r>
    </w:p>
    <w:p w14:paraId="3D3A9AE6">
      <w:pPr>
        <w:pStyle w:val="17"/>
        <w:spacing w:before="46"/>
        <w:ind w:left="746"/>
      </w:pPr>
      <w:r>
        <w:t xml:space="preserve">4、非承包人原因导致中标 3 个月不能开工； </w:t>
      </w:r>
    </w:p>
    <w:p w14:paraId="1F31E362">
      <w:pPr>
        <w:pStyle w:val="17"/>
        <w:spacing w:before="4"/>
        <w:rPr>
          <w:sz w:val="15"/>
        </w:rPr>
      </w:pPr>
    </w:p>
    <w:p w14:paraId="6657CFC6">
      <w:pPr>
        <w:pStyle w:val="17"/>
        <w:ind w:left="746"/>
      </w:pPr>
      <w:r>
        <w:t xml:space="preserve">5、被公安或者司法机关限制人身自由； </w:t>
      </w:r>
    </w:p>
    <w:p w14:paraId="53A756FF">
      <w:pPr>
        <w:pStyle w:val="17"/>
        <w:spacing w:before="4"/>
        <w:rPr>
          <w:sz w:val="15"/>
        </w:rPr>
      </w:pPr>
    </w:p>
    <w:p w14:paraId="3FABE242">
      <w:pPr>
        <w:pStyle w:val="17"/>
        <w:ind w:left="746"/>
      </w:pPr>
      <w:r>
        <w:t xml:space="preserve">6、被取消职称或者执业资格，不满足项目管理要求； </w:t>
      </w:r>
    </w:p>
    <w:p w14:paraId="0DAD674B">
      <w:pPr>
        <w:pStyle w:val="17"/>
        <w:spacing w:before="6"/>
        <w:rPr>
          <w:sz w:val="16"/>
        </w:rPr>
      </w:pPr>
    </w:p>
    <w:p w14:paraId="39EC3084">
      <w:pPr>
        <w:pStyle w:val="17"/>
        <w:spacing w:before="1" w:line="415" w:lineRule="auto"/>
        <w:ind w:left="746" w:right="5975"/>
      </w:pPr>
      <w:r>
        <w:t xml:space="preserve">7、非承包人原因导致确需变更的其它情形。本款补充 3.2.6 项 </w:t>
      </w:r>
    </w:p>
    <w:p w14:paraId="520C17EE">
      <w:pPr>
        <w:pStyle w:val="17"/>
        <w:spacing w:line="415" w:lineRule="auto"/>
        <w:ind w:left="326" w:right="1131" w:firstLine="420"/>
      </w:pPr>
      <w:r>
        <w:t xml:space="preserve">3.2.6 国有资金投资项目其他主要人员变更参照《重庆市政府投资项目合同变更管理暂行办法》的规定。 </w:t>
      </w:r>
    </w:p>
    <w:p w14:paraId="26E047C0">
      <w:pPr>
        <w:pStyle w:val="3"/>
        <w:numPr>
          <w:ilvl w:val="1"/>
          <w:numId w:val="5"/>
        </w:numPr>
        <w:tabs>
          <w:tab w:val="left" w:pos="1107"/>
        </w:tabs>
        <w:spacing w:line="320" w:lineRule="exact"/>
        <w:ind w:left="1107" w:hanging="361"/>
      </w:pPr>
      <w:r>
        <w:rPr>
          <w:spacing w:val="8"/>
        </w:rPr>
        <w:t>承包人人员</w:t>
      </w:r>
      <w:r>
        <w:rPr>
          <w:w w:val="167"/>
        </w:rPr>
        <w:t xml:space="preserve"> </w:t>
      </w:r>
    </w:p>
    <w:p w14:paraId="4CEE428C">
      <w:pPr>
        <w:pStyle w:val="317"/>
        <w:numPr>
          <w:ilvl w:val="2"/>
          <w:numId w:val="5"/>
        </w:numPr>
        <w:tabs>
          <w:tab w:val="left" w:pos="1273"/>
        </w:tabs>
        <w:spacing w:before="160"/>
        <w:ind w:left="1273" w:hanging="527"/>
        <w:jc w:val="left"/>
        <w:rPr>
          <w:sz w:val="21"/>
        </w:rPr>
      </w:pPr>
      <w:r>
        <w:rPr>
          <w:spacing w:val="-1"/>
          <w:sz w:val="21"/>
        </w:rPr>
        <w:t>承包人应按建设行政主管部门现行规定配备现场施工从业人员，具体要求如下：</w:t>
      </w:r>
      <w:r>
        <w:rPr>
          <w:sz w:val="21"/>
          <w:u w:val="single"/>
        </w:rPr>
        <w:t xml:space="preserve">        </w:t>
      </w:r>
      <w:r>
        <w:rPr>
          <w:sz w:val="21"/>
        </w:rPr>
        <w:t xml:space="preserve"> </w:t>
      </w:r>
    </w:p>
    <w:p w14:paraId="54D15529">
      <w:pPr>
        <w:pStyle w:val="17"/>
        <w:spacing w:before="10"/>
        <w:rPr>
          <w:sz w:val="9"/>
        </w:rPr>
      </w:pPr>
    </w:p>
    <w:p w14:paraId="57B02385">
      <w:pPr>
        <w:pStyle w:val="317"/>
        <w:numPr>
          <w:ilvl w:val="2"/>
          <w:numId w:val="5"/>
        </w:numPr>
        <w:tabs>
          <w:tab w:val="left" w:pos="1333"/>
        </w:tabs>
        <w:spacing w:before="71" w:line="417" w:lineRule="auto"/>
        <w:ind w:left="326" w:right="1123" w:firstLine="420"/>
        <w:jc w:val="both"/>
        <w:rPr>
          <w:sz w:val="21"/>
        </w:rPr>
      </w:pPr>
      <w:r>
        <w:rPr>
          <w:sz w:val="21"/>
        </w:rPr>
        <w:t>承包人派驻到施工现场的主要施工管理人员在施工过程中如有变动，承包人应及时向监理人</w:t>
      </w:r>
      <w:r>
        <w:rPr>
          <w:spacing w:val="-2"/>
          <w:sz w:val="21"/>
        </w:rPr>
        <w:t xml:space="preserve">提交施工现场人员变动情况的报告。承包人更换主要施工管理人员时，应提前 </w:t>
      </w:r>
      <w:r>
        <w:rPr>
          <w:sz w:val="21"/>
        </w:rPr>
        <w:t>7</w:t>
      </w:r>
      <w:r>
        <w:rPr>
          <w:spacing w:val="-7"/>
          <w:sz w:val="21"/>
        </w:rPr>
        <w:t xml:space="preserve"> 天书面通知监理人，并</w:t>
      </w:r>
      <w:r>
        <w:rPr>
          <w:spacing w:val="-8"/>
          <w:sz w:val="21"/>
        </w:rPr>
        <w:t xml:space="preserve">征得发包人书面同意。通知中应当载明继任人员的职称、执业资格、项目管理经验等资料。更换后的施工管理人员应当是承包人的正式员工，且在职称、执业资格、项目管理经验等方面不低于原施工管理人员。 </w:t>
      </w:r>
    </w:p>
    <w:p w14:paraId="530A743A">
      <w:pPr>
        <w:pStyle w:val="317"/>
        <w:numPr>
          <w:ilvl w:val="2"/>
          <w:numId w:val="5"/>
        </w:numPr>
        <w:tabs>
          <w:tab w:val="left" w:pos="1273"/>
        </w:tabs>
        <w:spacing w:before="1" w:line="415" w:lineRule="auto"/>
        <w:ind w:left="326" w:right="1117" w:firstLine="420"/>
        <w:jc w:val="left"/>
        <w:rPr>
          <w:sz w:val="21"/>
        </w:rPr>
      </w:pPr>
      <w:r>
        <w:rPr>
          <w:sz w:val="21"/>
        </w:rPr>
        <w:t>发包人有权书面通知承包人更换其认为不称职的主要施工管理人员，通知中应当载明要求更</w:t>
      </w:r>
      <w:r>
        <w:rPr>
          <w:spacing w:val="-3"/>
          <w:sz w:val="21"/>
        </w:rPr>
        <w:t xml:space="preserve">换的理由。承包人应在接到更换通知后 </w:t>
      </w:r>
      <w:r>
        <w:rPr>
          <w:sz w:val="21"/>
        </w:rPr>
        <w:t>7</w:t>
      </w:r>
      <w:r>
        <w:rPr>
          <w:spacing w:val="-7"/>
          <w:sz w:val="21"/>
        </w:rPr>
        <w:t xml:space="preserve"> 天内向发包人提出书面的改进报告。发包人收到改进报告后仍</w:t>
      </w:r>
    </w:p>
    <w:p w14:paraId="3541B590">
      <w:pPr>
        <w:pStyle w:val="17"/>
        <w:spacing w:line="415" w:lineRule="auto"/>
        <w:ind w:left="326" w:right="1118"/>
      </w:pPr>
      <w:r>
        <w:rPr>
          <w:spacing w:val="-3"/>
        </w:rPr>
        <w:t xml:space="preserve">要求更换的，承包人应在接到第二次更换通知的 </w:t>
      </w:r>
      <w:r>
        <w:t>7</w:t>
      </w:r>
      <w:r>
        <w:rPr>
          <w:spacing w:val="-7"/>
        </w:rPr>
        <w:t xml:space="preserve"> 天内进行更换，并将新委派的主要施工管理人员的注册执业资格、职称证书、管理经验等资料书面报送发包人审核批准。</w:t>
      </w:r>
      <w:r>
        <w:t xml:space="preserve"> </w:t>
      </w:r>
    </w:p>
    <w:p w14:paraId="38C21A68">
      <w:pPr>
        <w:pStyle w:val="317"/>
        <w:numPr>
          <w:ilvl w:val="2"/>
          <w:numId w:val="5"/>
        </w:numPr>
        <w:tabs>
          <w:tab w:val="left" w:pos="1273"/>
        </w:tabs>
        <w:spacing w:before="15"/>
        <w:ind w:left="1273" w:hanging="527"/>
        <w:jc w:val="left"/>
        <w:rPr>
          <w:sz w:val="21"/>
        </w:rPr>
      </w:pPr>
      <w:r>
        <w:rPr>
          <w:spacing w:val="-1"/>
          <w:sz w:val="21"/>
        </w:rPr>
        <w:t>承包人主要施工管理人员离开施工现场，指定的临时人员需满足：</w:t>
      </w:r>
      <w:r>
        <w:rPr>
          <w:sz w:val="21"/>
          <w:u w:val="single"/>
        </w:rPr>
        <w:t>《重庆市房屋建筑与市政</w:t>
      </w:r>
    </w:p>
    <w:p w14:paraId="64E491C7">
      <w:pPr>
        <w:pStyle w:val="17"/>
        <w:spacing w:before="10"/>
        <w:rPr>
          <w:sz w:val="9"/>
        </w:rPr>
      </w:pPr>
    </w:p>
    <w:p w14:paraId="4D2086AF">
      <w:pPr>
        <w:pStyle w:val="17"/>
        <w:spacing w:before="71"/>
        <w:ind w:left="326"/>
      </w:pPr>
      <w:r>
        <w:rPr>
          <w:u w:val="single"/>
        </w:rPr>
        <w:t>基础设施工程现场施工从业人员配备标准》（DBJ50-157-2013）的相应要求</w:t>
      </w:r>
      <w:r>
        <w:t xml:space="preserve">。 </w:t>
      </w:r>
    </w:p>
    <w:p w14:paraId="58F3A004">
      <w:pPr>
        <w:pStyle w:val="17"/>
        <w:spacing w:before="10"/>
        <w:rPr>
          <w:sz w:val="9"/>
        </w:rPr>
      </w:pPr>
    </w:p>
    <w:p w14:paraId="3BDA0239">
      <w:pPr>
        <w:pStyle w:val="3"/>
        <w:numPr>
          <w:ilvl w:val="1"/>
          <w:numId w:val="17"/>
        </w:numPr>
        <w:tabs>
          <w:tab w:val="left" w:pos="1107"/>
        </w:tabs>
        <w:spacing w:before="4"/>
        <w:ind w:hanging="361"/>
      </w:pPr>
      <w:r>
        <w:rPr>
          <w:spacing w:val="15"/>
        </w:rPr>
        <w:t>分包</w:t>
      </w:r>
      <w:r>
        <w:rPr>
          <w:w w:val="167"/>
        </w:rPr>
        <w:t xml:space="preserve"> </w:t>
      </w:r>
    </w:p>
    <w:p w14:paraId="208413ED">
      <w:pPr>
        <w:pStyle w:val="317"/>
        <w:numPr>
          <w:ilvl w:val="2"/>
          <w:numId w:val="17"/>
        </w:numPr>
        <w:tabs>
          <w:tab w:val="left" w:pos="1273"/>
        </w:tabs>
        <w:spacing w:before="145"/>
        <w:ind w:hanging="527"/>
        <w:rPr>
          <w:sz w:val="21"/>
        </w:rPr>
      </w:pPr>
      <w:r>
        <w:rPr>
          <w:sz w:val="21"/>
        </w:rPr>
        <w:t xml:space="preserve">分包的一般约定 </w:t>
      </w:r>
    </w:p>
    <w:p w14:paraId="79A72AEA">
      <w:pPr>
        <w:pStyle w:val="17"/>
        <w:spacing w:before="4"/>
        <w:rPr>
          <w:sz w:val="15"/>
        </w:rPr>
      </w:pPr>
    </w:p>
    <w:p w14:paraId="72BC7B09">
      <w:pPr>
        <w:pStyle w:val="17"/>
        <w:ind w:left="746"/>
      </w:pPr>
      <w:r>
        <w:t xml:space="preserve">禁止分包的工程包括：主体结构、关键性工作等国家法律、法规禁止分包的工程。 </w:t>
      </w:r>
    </w:p>
    <w:p w14:paraId="3E779E22">
      <w:pPr>
        <w:pStyle w:val="17"/>
        <w:spacing w:before="7"/>
        <w:rPr>
          <w:sz w:val="16"/>
        </w:rPr>
      </w:pPr>
    </w:p>
    <w:p w14:paraId="36ADFB75">
      <w:pPr>
        <w:pStyle w:val="17"/>
        <w:spacing w:line="415" w:lineRule="auto"/>
        <w:ind w:left="326" w:right="1130" w:firstLine="420"/>
        <w:jc w:val="both"/>
      </w:pPr>
      <w:r>
        <w:t xml:space="preserve">主体结构、关键性工作的范围：国家法律、法规、规范、标准等所约束的范围。如房建工程主体结构指混凝土工程、砌体工程、钢结构工程（具体有基础、梁、板、柱、砼墙、楼梯工程等）；关键性工作指梁、板、柱等部位。 </w:t>
      </w:r>
    </w:p>
    <w:p w14:paraId="44210FDE">
      <w:pPr>
        <w:pStyle w:val="17"/>
        <w:spacing w:line="422" w:lineRule="auto"/>
        <w:ind w:left="326" w:right="1130" w:firstLine="420"/>
        <w:jc w:val="both"/>
      </w:pPr>
      <w:r>
        <w:t xml:space="preserve">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 </w:t>
      </w:r>
    </w:p>
    <w:p w14:paraId="3509ADC0">
      <w:pPr>
        <w:pStyle w:val="317"/>
        <w:numPr>
          <w:ilvl w:val="2"/>
          <w:numId w:val="17"/>
        </w:numPr>
        <w:tabs>
          <w:tab w:val="left" w:pos="1333"/>
        </w:tabs>
        <w:spacing w:line="260" w:lineRule="exact"/>
        <w:ind w:left="1333" w:hanging="587"/>
        <w:jc w:val="both"/>
        <w:rPr>
          <w:sz w:val="21"/>
        </w:rPr>
      </w:pPr>
      <w:r>
        <w:rPr>
          <w:sz w:val="21"/>
        </w:rPr>
        <w:t xml:space="preserve">分包的确定 </w:t>
      </w:r>
    </w:p>
    <w:p w14:paraId="4BFCFF7D">
      <w:pPr>
        <w:spacing w:line="260" w:lineRule="exact"/>
        <w:jc w:val="both"/>
        <w:rPr>
          <w:sz w:val="21"/>
        </w:rPr>
        <w:sectPr>
          <w:pgSz w:w="11910" w:h="16850"/>
          <w:pgMar w:top="1440" w:right="1080" w:bottom="1440" w:left="1080" w:header="0" w:footer="996" w:gutter="0"/>
          <w:cols w:space="720" w:num="1"/>
        </w:sectPr>
      </w:pPr>
    </w:p>
    <w:p w14:paraId="0AD45DC1">
      <w:pPr>
        <w:spacing w:before="56"/>
        <w:ind w:left="581"/>
        <w:rPr>
          <w:rFonts w:ascii="仿宋" w:eastAsia="仿宋"/>
        </w:rPr>
      </w:pPr>
      <w:r>
        <w:rPr>
          <w:sz w:val="21"/>
        </w:rPr>
        <w:t>允许分包的专业工程包括：</w:t>
      </w:r>
      <w:r>
        <w:rPr>
          <w:sz w:val="21"/>
          <w:u w:val="single"/>
        </w:rPr>
        <w:t xml:space="preserve"> 。</w:t>
      </w:r>
      <w:r>
        <w:t>[</w:t>
      </w:r>
      <w:r>
        <w:rPr>
          <w:rFonts w:hint="eastAsia" w:ascii="仿宋" w:eastAsia="仿宋"/>
        </w:rPr>
        <w:t>提示：符合《中华人民共和国建筑法》和《中华人民共和国</w:t>
      </w:r>
    </w:p>
    <w:p w14:paraId="580474F7">
      <w:pPr>
        <w:pStyle w:val="17"/>
        <w:spacing w:before="11"/>
        <w:rPr>
          <w:rFonts w:ascii="仿宋"/>
          <w:sz w:val="8"/>
        </w:rPr>
      </w:pPr>
    </w:p>
    <w:p w14:paraId="4ADF67C2">
      <w:pPr>
        <w:spacing w:before="70"/>
        <w:ind w:left="161"/>
      </w:pPr>
      <w:r>
        <w:rPr>
          <w:rFonts w:hint="eastAsia" w:ascii="仿宋" w:eastAsia="仿宋"/>
        </w:rPr>
        <w:t>招标投标法》的相关规定。</w:t>
      </w:r>
      <w:r>
        <w:t xml:space="preserve">] </w:t>
      </w:r>
    </w:p>
    <w:p w14:paraId="1F1570FE">
      <w:pPr>
        <w:pStyle w:val="17"/>
        <w:spacing w:before="193"/>
        <w:ind w:left="581"/>
      </w:pPr>
      <w:r>
        <w:t xml:space="preserve">3.5.4 分包合同价款 </w:t>
      </w:r>
    </w:p>
    <w:p w14:paraId="6032AEF0">
      <w:pPr>
        <w:pStyle w:val="17"/>
        <w:spacing w:before="7"/>
        <w:rPr>
          <w:sz w:val="16"/>
        </w:rPr>
      </w:pPr>
    </w:p>
    <w:p w14:paraId="0F34A72D">
      <w:pPr>
        <w:pStyle w:val="17"/>
        <w:ind w:left="581"/>
      </w:pPr>
      <w:r>
        <w:rPr>
          <w:spacing w:val="-1"/>
        </w:rPr>
        <w:t>关于分包合同价款支付的约定：</w:t>
      </w:r>
      <w:r>
        <w:rPr>
          <w:u w:val="single"/>
        </w:rPr>
        <w:t>分包合同价款由承包人与分包人结算，未经承包人同意，发包人不</w:t>
      </w:r>
    </w:p>
    <w:p w14:paraId="60A94837">
      <w:pPr>
        <w:pStyle w:val="17"/>
        <w:spacing w:before="10"/>
        <w:rPr>
          <w:sz w:val="9"/>
        </w:rPr>
      </w:pPr>
    </w:p>
    <w:p w14:paraId="3DA41571">
      <w:pPr>
        <w:pStyle w:val="17"/>
        <w:spacing w:before="71"/>
        <w:ind w:left="161"/>
      </w:pPr>
      <w:r>
        <w:rPr>
          <w:u w:val="single"/>
        </w:rPr>
        <w:t>得向分包人支付分包工程价款；生效法律文书要求发包人向分包人支付分包合同价款的，发包人有权从</w:t>
      </w:r>
    </w:p>
    <w:p w14:paraId="77A1717F">
      <w:pPr>
        <w:pStyle w:val="17"/>
        <w:spacing w:before="10"/>
        <w:rPr>
          <w:sz w:val="9"/>
        </w:rPr>
      </w:pPr>
    </w:p>
    <w:p w14:paraId="3C171D61">
      <w:pPr>
        <w:pStyle w:val="17"/>
        <w:spacing w:before="71"/>
        <w:ind w:left="161"/>
      </w:pPr>
      <w:r>
        <w:rPr>
          <w:u w:val="single"/>
        </w:rPr>
        <w:t>应付承包人工程款中扣除该部分款项</w:t>
      </w:r>
      <w:r>
        <w:t xml:space="preserve">。 </w:t>
      </w:r>
    </w:p>
    <w:p w14:paraId="3B48CB90">
      <w:pPr>
        <w:pStyle w:val="17"/>
        <w:spacing w:before="11"/>
        <w:rPr>
          <w:sz w:val="9"/>
        </w:rPr>
      </w:pPr>
    </w:p>
    <w:p w14:paraId="09DD3104">
      <w:pPr>
        <w:pStyle w:val="17"/>
        <w:spacing w:before="70"/>
        <w:ind w:left="581"/>
      </w:pPr>
      <w:r>
        <w:t xml:space="preserve">本款补充 3.5.6 项： </w:t>
      </w:r>
    </w:p>
    <w:p w14:paraId="3C8AD685">
      <w:pPr>
        <w:pStyle w:val="17"/>
        <w:spacing w:before="4"/>
        <w:rPr>
          <w:sz w:val="15"/>
        </w:rPr>
      </w:pPr>
    </w:p>
    <w:p w14:paraId="4517FB7D">
      <w:pPr>
        <w:pStyle w:val="17"/>
        <w:ind w:left="581"/>
      </w:pPr>
      <w:r>
        <w:t xml:space="preserve">3.5.6 严禁违法分包 </w:t>
      </w:r>
    </w:p>
    <w:p w14:paraId="160E1236">
      <w:pPr>
        <w:pStyle w:val="17"/>
        <w:spacing w:before="6"/>
        <w:rPr>
          <w:sz w:val="16"/>
        </w:rPr>
      </w:pPr>
    </w:p>
    <w:p w14:paraId="3AA4A176">
      <w:pPr>
        <w:pStyle w:val="17"/>
        <w:spacing w:line="415" w:lineRule="auto"/>
        <w:ind w:left="161" w:right="1178" w:firstLine="420"/>
      </w:pPr>
      <w:r>
        <w:t>一经查实，承包人的履约担保不予退还，发包人有权终止合同；同时发包人有权向相关行政监管部</w:t>
      </w:r>
      <w:r>
        <w:rPr>
          <w:spacing w:val="-10"/>
        </w:rPr>
        <w:t>门举报，根据《住房和城乡建设部关于印发建筑工程施工发包与承包违法行为认定查处管理办法的通知》</w:t>
      </w:r>
    </w:p>
    <w:p w14:paraId="538B3C56">
      <w:pPr>
        <w:spacing w:before="1" w:line="355" w:lineRule="auto"/>
        <w:ind w:left="581" w:right="6711" w:hanging="421"/>
        <w:rPr>
          <w:rFonts w:ascii="微软雅黑" w:eastAsia="微软雅黑"/>
          <w:b/>
          <w:sz w:val="21"/>
        </w:rPr>
      </w:pPr>
      <w:r>
        <w:rPr>
          <w:sz w:val="21"/>
        </w:rPr>
        <w:t>（建市规〔2019〕1 号）相关规定条执行。</w:t>
      </w:r>
      <w:r>
        <w:rPr>
          <w:rFonts w:hint="eastAsia" w:ascii="微软雅黑" w:eastAsia="微软雅黑"/>
          <w:b/>
          <w:sz w:val="21"/>
        </w:rPr>
        <w:t>3.7 履约担保</w:t>
      </w:r>
      <w:r>
        <w:rPr>
          <w:rFonts w:hint="eastAsia" w:ascii="微软雅黑" w:eastAsia="微软雅黑"/>
          <w:b/>
          <w:w w:val="167"/>
          <w:sz w:val="21"/>
        </w:rPr>
        <w:t xml:space="preserve"> </w:t>
      </w:r>
    </w:p>
    <w:p w14:paraId="2660060E">
      <w:pPr>
        <w:pStyle w:val="317"/>
        <w:numPr>
          <w:ilvl w:val="2"/>
          <w:numId w:val="18"/>
        </w:numPr>
        <w:tabs>
          <w:tab w:val="left" w:pos="1168"/>
        </w:tabs>
        <w:spacing w:line="229" w:lineRule="exact"/>
        <w:ind w:hanging="587"/>
        <w:rPr>
          <w:sz w:val="21"/>
        </w:rPr>
      </w:pPr>
      <w:r>
        <w:rPr>
          <w:sz w:val="21"/>
        </w:rPr>
        <w:t>承包人是否提供履约担保：</w:t>
      </w:r>
      <w:r>
        <w:rPr>
          <w:sz w:val="21"/>
          <w:u w:val="single"/>
        </w:rPr>
        <w:t>提供</w:t>
      </w:r>
      <w:r>
        <w:rPr>
          <w:sz w:val="21"/>
        </w:rPr>
        <w:t xml:space="preserve">。 </w:t>
      </w:r>
    </w:p>
    <w:p w14:paraId="68506149">
      <w:pPr>
        <w:pStyle w:val="17"/>
        <w:spacing w:before="12"/>
        <w:rPr>
          <w:sz w:val="10"/>
        </w:rPr>
      </w:pPr>
    </w:p>
    <w:p w14:paraId="13F8EB12">
      <w:pPr>
        <w:pStyle w:val="317"/>
        <w:numPr>
          <w:ilvl w:val="2"/>
          <w:numId w:val="18"/>
        </w:numPr>
        <w:tabs>
          <w:tab w:val="left" w:pos="1168"/>
        </w:tabs>
        <w:spacing w:before="71"/>
        <w:ind w:hanging="587"/>
        <w:rPr>
          <w:sz w:val="21"/>
        </w:rPr>
      </w:pPr>
      <w:r>
        <w:rPr>
          <w:spacing w:val="-1"/>
          <w:sz w:val="21"/>
        </w:rPr>
        <w:t>承包人提供履约担保的形式、金额及期限：</w:t>
      </w:r>
      <w:r>
        <w:rPr>
          <w:sz w:val="21"/>
        </w:rPr>
        <w:t xml:space="preserve"> </w:t>
      </w:r>
    </w:p>
    <w:p w14:paraId="508F9674">
      <w:pPr>
        <w:pStyle w:val="17"/>
        <w:spacing w:before="3"/>
        <w:rPr>
          <w:sz w:val="15"/>
        </w:rPr>
      </w:pPr>
    </w:p>
    <w:p w14:paraId="56D2C5EE">
      <w:pPr>
        <w:pStyle w:val="317"/>
        <w:numPr>
          <w:ilvl w:val="0"/>
          <w:numId w:val="19"/>
        </w:numPr>
        <w:tabs>
          <w:tab w:val="left" w:pos="1109"/>
        </w:tabs>
        <w:spacing w:before="1" w:line="415" w:lineRule="auto"/>
        <w:ind w:right="1299" w:firstLine="420"/>
        <w:rPr>
          <w:sz w:val="21"/>
        </w:rPr>
      </w:pPr>
      <w:r>
        <w:rPr>
          <w:sz w:val="21"/>
        </w:rPr>
        <w:t xml:space="preserve">履约担保的形式：现金或银行保函或现金+银行保函的组合；采用保函形式的，保函必须为不可撤销且见索即付； </w:t>
      </w:r>
    </w:p>
    <w:p w14:paraId="7F5FCE00">
      <w:pPr>
        <w:pStyle w:val="317"/>
        <w:numPr>
          <w:ilvl w:val="0"/>
          <w:numId w:val="19"/>
        </w:numPr>
        <w:tabs>
          <w:tab w:val="left" w:pos="1109"/>
          <w:tab w:val="left" w:pos="4051"/>
        </w:tabs>
        <w:ind w:left="1108" w:hanging="528"/>
        <w:rPr>
          <w:sz w:val="21"/>
        </w:rPr>
      </w:pPr>
      <w:r>
        <w:rPr>
          <w:sz w:val="21"/>
        </w:rPr>
        <w:t>履约担保的金额：</w:t>
      </w:r>
      <w:r>
        <w:rPr>
          <w:rFonts w:hint="eastAsia"/>
          <w:spacing w:val="-1"/>
          <w:sz w:val="21"/>
          <w:highlight w:val="yellow"/>
          <w:u w:val="single"/>
        </w:rPr>
        <w:t>履约保证金现金或银行保函，合同总价的 10%，收到中标通知书后 15 日内一次性支付</w:t>
      </w:r>
      <w:r>
        <w:rPr>
          <w:sz w:val="21"/>
          <w:highlight w:val="yellow"/>
        </w:rPr>
        <w:t>；</w:t>
      </w:r>
      <w:r>
        <w:rPr>
          <w:sz w:val="21"/>
        </w:rPr>
        <w:t xml:space="preserve"> </w:t>
      </w:r>
    </w:p>
    <w:p w14:paraId="7D53409A">
      <w:pPr>
        <w:pStyle w:val="17"/>
        <w:spacing w:before="4"/>
        <w:rPr>
          <w:sz w:val="15"/>
        </w:rPr>
      </w:pPr>
    </w:p>
    <w:p w14:paraId="3357FCD7">
      <w:pPr>
        <w:pStyle w:val="317"/>
        <w:numPr>
          <w:ilvl w:val="0"/>
          <w:numId w:val="19"/>
        </w:numPr>
        <w:tabs>
          <w:tab w:val="left" w:pos="1109"/>
        </w:tabs>
        <w:ind w:left="1108" w:hanging="528"/>
        <w:rPr>
          <w:sz w:val="21"/>
        </w:rPr>
      </w:pPr>
      <w:r>
        <w:rPr>
          <w:spacing w:val="-1"/>
          <w:sz w:val="21"/>
        </w:rPr>
        <w:t>履约担保的提交时间：</w:t>
      </w:r>
      <w:r>
        <w:rPr>
          <w:spacing w:val="-1"/>
          <w:sz w:val="21"/>
          <w:u w:val="single"/>
        </w:rPr>
        <w:t>在合同签订前，承包人按担保金额向发包人提交履约担保</w:t>
      </w:r>
      <w:r>
        <w:rPr>
          <w:sz w:val="21"/>
        </w:rPr>
        <w:t xml:space="preserve">。 </w:t>
      </w:r>
    </w:p>
    <w:p w14:paraId="7D50F30B">
      <w:pPr>
        <w:pStyle w:val="17"/>
        <w:rPr>
          <w:sz w:val="11"/>
        </w:rPr>
      </w:pPr>
    </w:p>
    <w:p w14:paraId="5958699D">
      <w:pPr>
        <w:pStyle w:val="317"/>
        <w:numPr>
          <w:ilvl w:val="0"/>
          <w:numId w:val="19"/>
        </w:numPr>
        <w:tabs>
          <w:tab w:val="left" w:pos="1109"/>
        </w:tabs>
        <w:spacing w:before="70"/>
        <w:ind w:left="1108" w:hanging="528"/>
        <w:rPr>
          <w:sz w:val="21"/>
        </w:rPr>
      </w:pPr>
      <w:r>
        <w:rPr>
          <w:spacing w:val="-2"/>
          <w:sz w:val="21"/>
        </w:rPr>
        <w:t>履约担保的期限：</w:t>
      </w:r>
      <w:r>
        <w:rPr>
          <w:spacing w:val="-2"/>
          <w:sz w:val="21"/>
          <w:u w:val="single"/>
        </w:rPr>
        <w:t>自我方法定代表人</w:t>
      </w:r>
      <w:r>
        <w:rPr>
          <w:sz w:val="21"/>
          <w:u w:val="single"/>
        </w:rPr>
        <w:t>（</w:t>
      </w:r>
      <w:r>
        <w:rPr>
          <w:spacing w:val="-3"/>
          <w:sz w:val="21"/>
          <w:u w:val="single"/>
        </w:rPr>
        <w:t>或其委托代理人</w:t>
      </w:r>
      <w:r>
        <w:rPr>
          <w:spacing w:val="-16"/>
          <w:sz w:val="21"/>
          <w:u w:val="single"/>
        </w:rPr>
        <w:t>）</w:t>
      </w:r>
      <w:r>
        <w:rPr>
          <w:sz w:val="21"/>
          <w:u w:val="single"/>
        </w:rPr>
        <w:t>签字并加盖公章之日起至你方签发或</w:t>
      </w:r>
    </w:p>
    <w:p w14:paraId="438503C2">
      <w:pPr>
        <w:pStyle w:val="17"/>
        <w:spacing w:before="10"/>
        <w:rPr>
          <w:sz w:val="9"/>
        </w:rPr>
      </w:pPr>
    </w:p>
    <w:p w14:paraId="2C728EA5">
      <w:pPr>
        <w:pStyle w:val="17"/>
        <w:spacing w:before="71"/>
        <w:ind w:left="161"/>
      </w:pPr>
      <w:r>
        <w:rPr>
          <w:u w:val="single"/>
        </w:rPr>
        <w:t>应签发工程接收证书之日止</w:t>
      </w:r>
      <w:r>
        <w:t xml:space="preserve">。 </w:t>
      </w:r>
    </w:p>
    <w:p w14:paraId="6D4A9FF4">
      <w:pPr>
        <w:pStyle w:val="17"/>
        <w:spacing w:before="10"/>
        <w:rPr>
          <w:sz w:val="9"/>
        </w:rPr>
      </w:pPr>
    </w:p>
    <w:p w14:paraId="56CDE299">
      <w:pPr>
        <w:pStyle w:val="317"/>
        <w:numPr>
          <w:ilvl w:val="0"/>
          <w:numId w:val="19"/>
        </w:numPr>
        <w:tabs>
          <w:tab w:val="left" w:pos="1109"/>
        </w:tabs>
        <w:spacing w:before="71"/>
        <w:ind w:left="1108" w:hanging="528"/>
        <w:rPr>
          <w:sz w:val="21"/>
        </w:rPr>
      </w:pPr>
      <w:r>
        <w:rPr>
          <w:spacing w:val="-1"/>
          <w:sz w:val="21"/>
        </w:rPr>
        <w:t>履约担保的退还时间：</w:t>
      </w:r>
      <w:r>
        <w:rPr>
          <w:spacing w:val="-3"/>
          <w:sz w:val="21"/>
          <w:u w:val="single"/>
        </w:rPr>
        <w:t xml:space="preserve">采用现金担保的，工程竣工验收合格后 </w:t>
      </w:r>
      <w:r>
        <w:rPr>
          <w:sz w:val="21"/>
          <w:u w:val="single"/>
        </w:rPr>
        <w:t>14</w:t>
      </w:r>
      <w:r>
        <w:rPr>
          <w:spacing w:val="-7"/>
          <w:sz w:val="21"/>
          <w:u w:val="single"/>
        </w:rPr>
        <w:t xml:space="preserve"> 天内无息退还；采用银行保</w:t>
      </w:r>
    </w:p>
    <w:p w14:paraId="0ABDB704">
      <w:pPr>
        <w:pStyle w:val="17"/>
        <w:spacing w:before="11"/>
        <w:rPr>
          <w:sz w:val="9"/>
        </w:rPr>
      </w:pPr>
    </w:p>
    <w:p w14:paraId="230FA14E">
      <w:pPr>
        <w:pStyle w:val="17"/>
        <w:spacing w:before="70"/>
        <w:ind w:left="161"/>
      </w:pPr>
      <w:r>
        <w:rPr>
          <w:spacing w:val="-11"/>
          <w:u w:val="single"/>
        </w:rPr>
        <w:t xml:space="preserve">函的，工程竣工验收合格后 </w:t>
      </w:r>
      <w:r>
        <w:rPr>
          <w:u w:val="single"/>
        </w:rPr>
        <w:t>14</w:t>
      </w:r>
      <w:r>
        <w:rPr>
          <w:spacing w:val="-15"/>
          <w:u w:val="single"/>
        </w:rPr>
        <w:t xml:space="preserve"> 天内退还，或按工程实际情况约定分阶段退还，阶段划分按以下标准执行</w:t>
      </w:r>
      <w:r>
        <w:rPr>
          <w:spacing w:val="-124"/>
          <w:u w:val="single"/>
        </w:rPr>
        <w:t>：</w:t>
      </w:r>
      <w:r>
        <w:t xml:space="preserve"> </w:t>
      </w:r>
    </w:p>
    <w:p w14:paraId="50CA74A5">
      <w:pPr>
        <w:pStyle w:val="17"/>
        <w:spacing w:before="11"/>
        <w:rPr>
          <w:sz w:val="9"/>
        </w:rPr>
      </w:pPr>
    </w:p>
    <w:p w14:paraId="6A48F5ED">
      <w:pPr>
        <w:pStyle w:val="17"/>
        <w:spacing w:before="70"/>
        <w:ind w:left="161"/>
      </w:pPr>
      <w:r>
        <w:rPr>
          <w:u w:val="single"/>
        </w:rPr>
        <w:t xml:space="preserve">                                                   </w:t>
      </w:r>
      <w:r>
        <w:t xml:space="preserve">。 </w:t>
      </w:r>
    </w:p>
    <w:p w14:paraId="68C3B9E9">
      <w:pPr>
        <w:pStyle w:val="17"/>
        <w:rPr>
          <w:sz w:val="11"/>
        </w:rPr>
      </w:pPr>
    </w:p>
    <w:p w14:paraId="4E5F625F">
      <w:pPr>
        <w:pStyle w:val="17"/>
        <w:spacing w:before="71" w:line="415" w:lineRule="auto"/>
        <w:ind w:left="581" w:right="8333"/>
      </w:pPr>
      <w:r>
        <w:t xml:space="preserve">本款补充 3.7.3 项： 3.7.3 低价风险担保 </w:t>
      </w:r>
    </w:p>
    <w:p w14:paraId="53470308">
      <w:pPr>
        <w:pStyle w:val="17"/>
        <w:spacing w:line="415" w:lineRule="auto"/>
        <w:ind w:left="581" w:right="1184"/>
      </w:pPr>
      <w:r>
        <w:rPr>
          <w:spacing w:val="-4"/>
        </w:rPr>
        <w:t xml:space="preserve">承包人提供低价风险担保的情形：采用经评审的最低投标价法的项目投标报价低于最高限价 </w:t>
      </w:r>
      <w:r>
        <w:t>85%</w:t>
      </w:r>
      <w:r>
        <w:rPr>
          <w:spacing w:val="-61"/>
        </w:rPr>
        <w:t>时。</w:t>
      </w:r>
      <w:r>
        <w:rPr>
          <w:spacing w:val="-1"/>
        </w:rPr>
        <w:t>承包人提供低价风险担保的形式、金额及期限：</w:t>
      </w:r>
      <w:r>
        <w:t xml:space="preserve"> </w:t>
      </w:r>
    </w:p>
    <w:p w14:paraId="45C9CA85">
      <w:pPr>
        <w:pStyle w:val="317"/>
        <w:numPr>
          <w:ilvl w:val="0"/>
          <w:numId w:val="20"/>
        </w:numPr>
        <w:tabs>
          <w:tab w:val="left" w:pos="1109"/>
        </w:tabs>
        <w:spacing w:line="429" w:lineRule="auto"/>
        <w:ind w:right="1301" w:firstLine="420"/>
        <w:jc w:val="left"/>
        <w:rPr>
          <w:sz w:val="21"/>
        </w:rPr>
      </w:pPr>
      <w:r>
        <w:rPr>
          <w:spacing w:val="-1"/>
          <w:sz w:val="21"/>
        </w:rPr>
        <w:t xml:space="preserve">低价风险担保的形式：现金或银行保函或现金+银行保函的组合；采用保函形式的，保函必须为不可撤销且见索即付； </w:t>
      </w:r>
    </w:p>
    <w:p w14:paraId="15A011EE">
      <w:pPr>
        <w:pStyle w:val="317"/>
        <w:numPr>
          <w:ilvl w:val="0"/>
          <w:numId w:val="20"/>
        </w:numPr>
        <w:tabs>
          <w:tab w:val="left" w:pos="1109"/>
          <w:tab w:val="left" w:pos="4471"/>
        </w:tabs>
        <w:spacing w:line="252" w:lineRule="exact"/>
        <w:ind w:left="1108" w:hanging="528"/>
        <w:jc w:val="left"/>
        <w:rPr>
          <w:sz w:val="21"/>
        </w:rPr>
      </w:pPr>
      <w:r>
        <w:rPr>
          <w:sz w:val="21"/>
        </w:rPr>
        <w:t>低价风险担保的金额：</w:t>
      </w:r>
      <w:r>
        <w:rPr>
          <w:sz w:val="21"/>
          <w:u w:val="single"/>
        </w:rPr>
        <w:t xml:space="preserve"> </w:t>
      </w:r>
      <w:r>
        <w:rPr>
          <w:rFonts w:hint="eastAsia"/>
          <w:sz w:val="21"/>
          <w:u w:val="single"/>
          <w:lang w:val="en-US"/>
        </w:rPr>
        <w:t>/</w:t>
      </w:r>
      <w:r>
        <w:rPr>
          <w:sz w:val="21"/>
          <w:u w:val="single"/>
        </w:rPr>
        <w:tab/>
      </w:r>
      <w:r>
        <w:rPr>
          <w:sz w:val="21"/>
        </w:rPr>
        <w:t xml:space="preserve">； </w:t>
      </w:r>
    </w:p>
    <w:p w14:paraId="0CC34A05">
      <w:pPr>
        <w:spacing w:line="252" w:lineRule="exact"/>
        <w:rPr>
          <w:sz w:val="21"/>
        </w:rPr>
        <w:sectPr>
          <w:pgSz w:w="11910" w:h="16850"/>
          <w:pgMar w:top="1440" w:right="1080" w:bottom="1440" w:left="1080" w:header="0" w:footer="996" w:gutter="0"/>
          <w:cols w:space="720" w:num="1"/>
        </w:sectPr>
      </w:pPr>
    </w:p>
    <w:p w14:paraId="478CE181">
      <w:pPr>
        <w:pStyle w:val="317"/>
        <w:numPr>
          <w:ilvl w:val="0"/>
          <w:numId w:val="20"/>
        </w:numPr>
        <w:tabs>
          <w:tab w:val="left" w:pos="1274"/>
          <w:tab w:val="left" w:pos="8872"/>
        </w:tabs>
        <w:spacing w:before="46"/>
        <w:ind w:left="1273" w:hanging="528"/>
        <w:jc w:val="left"/>
        <w:rPr>
          <w:sz w:val="21"/>
        </w:rPr>
      </w:pPr>
      <w:r>
        <w:rPr>
          <w:lang w:val="en-US" w:bidi="ar-SA"/>
        </w:rPr>
        <mc:AlternateContent>
          <mc:Choice Requires="wps">
            <w:drawing>
              <wp:anchor distT="0" distB="0" distL="114300" distR="114300" simplePos="0" relativeHeight="251722752" behindDoc="0" locked="0" layoutInCell="1" allowOverlap="1">
                <wp:simplePos x="0" y="0"/>
                <wp:positionH relativeFrom="page">
                  <wp:posOffset>2918460</wp:posOffset>
                </wp:positionH>
                <wp:positionV relativeFrom="paragraph">
                  <wp:posOffset>186055</wp:posOffset>
                </wp:positionV>
                <wp:extent cx="3928745" cy="0"/>
                <wp:effectExtent l="0" t="4445" r="0" b="5080"/>
                <wp:wrapNone/>
                <wp:docPr id="14" name="Line 16"/>
                <wp:cNvGraphicFramePr/>
                <a:graphic xmlns:a="http://schemas.openxmlformats.org/drawingml/2006/main">
                  <a:graphicData uri="http://schemas.microsoft.com/office/word/2010/wordprocessingShape">
                    <wps:wsp>
                      <wps:cNvCnPr>
                        <a:cxnSpLocks noChangeShapeType="1"/>
                      </wps:cNvCnPr>
                      <wps:spPr bwMode="auto">
                        <a:xfrm>
                          <a:off x="0" y="0"/>
                          <a:ext cx="3928745" cy="0"/>
                        </a:xfrm>
                        <a:prstGeom prst="line">
                          <a:avLst/>
                        </a:prstGeom>
                        <a:noFill/>
                        <a:ln w="9525">
                          <a:solidFill>
                            <a:srgbClr val="000000"/>
                          </a:solidFill>
                          <a:round/>
                        </a:ln>
                      </wps:spPr>
                      <wps:bodyPr/>
                    </wps:wsp>
                  </a:graphicData>
                </a:graphic>
              </wp:anchor>
            </w:drawing>
          </mc:Choice>
          <mc:Fallback>
            <w:pict>
              <v:line id="Line 16" o:spid="_x0000_s1026" o:spt="20" style="position:absolute;left:0pt;margin-left:229.8pt;margin-top:14.65pt;height:0pt;width:309.35pt;mso-position-horizontal-relative:page;z-index:251722752;mso-width-relative:page;mso-height-relative:page;" filled="f" stroked="t" coordsize="21600,21600" o:gfxdata="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ILXj9cAAAAKAQAADwAAAAAAAAABACAAAAAiAAAAZHJz&#10;L2Rvd25yZXYueG1sUEsBAhQAFAAAAAgAh07iQOJQqITMAQAAoQMAAA4AAAAAAAAAAQAgAAAAJgEA&#10;AGRycy9lMm9Eb2MueG1sUEsFBgAAAAAGAAYAWQEAAGQFAAAAAA==&#10;">
                <v:fill on="f" focussize="0,0"/>
                <v:stroke color="#000000" joinstyle="round"/>
                <v:imagedata o:title=""/>
                <o:lock v:ext="edit" aspectratio="f"/>
              </v:line>
            </w:pict>
          </mc:Fallback>
        </mc:AlternateContent>
      </w:r>
      <w:r>
        <w:rPr>
          <w:sz w:val="21"/>
        </w:rPr>
        <w:t>低价风险担保的提交时间</w:t>
      </w:r>
      <w:r>
        <w:rPr>
          <w:spacing w:val="-91"/>
          <w:sz w:val="21"/>
        </w:rPr>
        <w:t>：</w:t>
      </w:r>
      <w:r>
        <w:rPr>
          <w:sz w:val="21"/>
        </w:rPr>
        <w:t>从招标人低价风险担保书面通知送达拟中标人之日起</w:t>
      </w:r>
      <w:r>
        <w:rPr>
          <w:sz w:val="21"/>
        </w:rPr>
        <w:tab/>
      </w:r>
      <w:r>
        <w:rPr>
          <w:sz w:val="21"/>
        </w:rPr>
        <w:t>工作日内</w:t>
      </w:r>
      <w:r>
        <w:rPr>
          <w:spacing w:val="-120"/>
          <w:sz w:val="21"/>
        </w:rPr>
        <w:t>；</w:t>
      </w:r>
      <w:r>
        <w:rPr>
          <w:sz w:val="21"/>
        </w:rPr>
        <w:t xml:space="preserve"> </w:t>
      </w:r>
    </w:p>
    <w:p w14:paraId="72D5A35D">
      <w:pPr>
        <w:pStyle w:val="17"/>
        <w:spacing w:before="11"/>
        <w:rPr>
          <w:sz w:val="9"/>
        </w:rPr>
      </w:pPr>
    </w:p>
    <w:p w14:paraId="18D5440A">
      <w:pPr>
        <w:pStyle w:val="317"/>
        <w:numPr>
          <w:ilvl w:val="0"/>
          <w:numId w:val="20"/>
        </w:numPr>
        <w:tabs>
          <w:tab w:val="left" w:pos="1274"/>
        </w:tabs>
        <w:spacing w:before="70"/>
        <w:ind w:left="1273" w:hanging="528"/>
        <w:jc w:val="left"/>
        <w:rPr>
          <w:sz w:val="21"/>
        </w:rPr>
      </w:pPr>
      <w:r>
        <w:rPr>
          <w:sz w:val="21"/>
        </w:rPr>
        <w:t>低价风险担保的期限：</w:t>
      </w:r>
      <w:r>
        <w:rPr>
          <w:spacing w:val="-1"/>
          <w:sz w:val="21"/>
          <w:u w:val="single"/>
        </w:rPr>
        <w:t>自低价风险担保生效之日起至竣工验收合格之日止</w:t>
      </w:r>
      <w:r>
        <w:rPr>
          <w:sz w:val="21"/>
        </w:rPr>
        <w:t xml:space="preserve">。 </w:t>
      </w:r>
    </w:p>
    <w:p w14:paraId="56D7A1BE">
      <w:pPr>
        <w:pStyle w:val="17"/>
        <w:spacing w:before="10"/>
        <w:rPr>
          <w:sz w:val="9"/>
        </w:rPr>
      </w:pPr>
    </w:p>
    <w:p w14:paraId="294A9A4A">
      <w:pPr>
        <w:pStyle w:val="17"/>
        <w:spacing w:before="71"/>
        <w:ind w:left="746"/>
      </w:pPr>
      <w:r>
        <w:t>低价风险担保的退还时间：</w:t>
      </w:r>
      <w:r>
        <w:rPr>
          <w:u w:val="single"/>
        </w:rPr>
        <w:t>采用现金担保的，工程竣工验收合格后 14 天内无息退还；采用银行保函</w:t>
      </w:r>
    </w:p>
    <w:p w14:paraId="4FAE33FF">
      <w:pPr>
        <w:pStyle w:val="17"/>
        <w:rPr>
          <w:sz w:val="11"/>
        </w:rPr>
      </w:pPr>
    </w:p>
    <w:p w14:paraId="14243710">
      <w:pPr>
        <w:pStyle w:val="17"/>
        <w:spacing w:before="70"/>
        <w:ind w:left="326"/>
      </w:pPr>
      <w:r>
        <w:rPr>
          <w:u w:val="single"/>
        </w:rPr>
        <w:t>的，工程竣工验收合格后 14 天内退还</w:t>
      </w:r>
      <w:r>
        <w:t xml:space="preserve">。 </w:t>
      </w:r>
    </w:p>
    <w:p w14:paraId="6D3AC44E">
      <w:pPr>
        <w:pStyle w:val="17"/>
        <w:spacing w:before="11"/>
        <w:rPr>
          <w:sz w:val="9"/>
        </w:rPr>
      </w:pPr>
    </w:p>
    <w:p w14:paraId="761526F8">
      <w:pPr>
        <w:pStyle w:val="317"/>
        <w:numPr>
          <w:ilvl w:val="0"/>
          <w:numId w:val="20"/>
        </w:numPr>
        <w:tabs>
          <w:tab w:val="left" w:pos="1274"/>
        </w:tabs>
        <w:spacing w:before="71"/>
        <w:ind w:left="1273" w:hanging="528"/>
        <w:jc w:val="left"/>
        <w:rPr>
          <w:sz w:val="21"/>
        </w:rPr>
      </w:pPr>
      <w:r>
        <w:rPr>
          <w:sz w:val="21"/>
        </w:rPr>
        <w:t xml:space="preserve">低价风险担保的扣减： </w:t>
      </w:r>
    </w:p>
    <w:p w14:paraId="23F57500">
      <w:pPr>
        <w:pStyle w:val="17"/>
        <w:spacing w:before="4"/>
        <w:rPr>
          <w:sz w:val="15"/>
        </w:rPr>
      </w:pPr>
    </w:p>
    <w:p w14:paraId="5BCD621E">
      <w:pPr>
        <w:pStyle w:val="17"/>
        <w:spacing w:line="415" w:lineRule="auto"/>
        <w:ind w:left="326" w:right="1130" w:firstLine="420"/>
        <w:jc w:val="both"/>
      </w:pPr>
      <w:r>
        <w:t xml:space="preserve">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 </w:t>
      </w:r>
      <w:r>
        <w:rPr>
          <w:u w:val="single"/>
        </w:rPr>
        <w:t>50～100%</w:t>
      </w:r>
      <w:r>
        <w:t xml:space="preserve">扣减，直至解除合同； </w:t>
      </w:r>
    </w:p>
    <w:p w14:paraId="19E8C8A0">
      <w:pPr>
        <w:pStyle w:val="17"/>
        <w:spacing w:before="14" w:line="415" w:lineRule="auto"/>
        <w:ind w:left="326" w:right="1129" w:firstLine="420"/>
      </w:pPr>
      <w:r>
        <w:t xml:space="preserve">②承包人在工程施工期间或竣工验收时，工程质量不符合国家现行有关施工质量验收规范要求的， 按低价风险担保金额的 </w:t>
      </w:r>
      <w:r>
        <w:rPr>
          <w:u w:val="single"/>
        </w:rPr>
        <w:t>50～100%</w:t>
      </w:r>
      <w:r>
        <w:t xml:space="preserve">扣减，直至解除合同； </w:t>
      </w:r>
    </w:p>
    <w:p w14:paraId="05A3D09B">
      <w:pPr>
        <w:pStyle w:val="17"/>
        <w:spacing w:before="1"/>
        <w:ind w:left="746"/>
      </w:pPr>
      <w:r>
        <w:t xml:space="preserve">③承包人因 16.2.3 项原因被解除合同的，低价风险担保将全额扣除； </w:t>
      </w:r>
    </w:p>
    <w:p w14:paraId="18106C58">
      <w:pPr>
        <w:pStyle w:val="17"/>
        <w:spacing w:before="3"/>
        <w:rPr>
          <w:sz w:val="15"/>
        </w:rPr>
      </w:pPr>
    </w:p>
    <w:p w14:paraId="72B0A621">
      <w:pPr>
        <w:pStyle w:val="17"/>
        <w:spacing w:before="1"/>
        <w:ind w:left="746"/>
      </w:pPr>
      <w:r>
        <w:t>④因承包人过错导致的其他情形：</w:t>
      </w:r>
      <w:r>
        <w:rPr>
          <w:u w:val="single"/>
        </w:rPr>
        <w:t xml:space="preserve"> </w:t>
      </w:r>
      <w:r>
        <w:t xml:space="preserve">。 </w:t>
      </w:r>
    </w:p>
    <w:p w14:paraId="77DD3387">
      <w:pPr>
        <w:spacing w:line="440" w:lineRule="exact"/>
        <w:rPr>
          <w:rFonts w:ascii="仿宋" w:hAnsi="仿宋" w:eastAsia="仿宋"/>
          <w:sz w:val="28"/>
          <w:szCs w:val="28"/>
          <w:highlight w:val="yellow"/>
        </w:rPr>
      </w:pPr>
      <w:r>
        <w:rPr>
          <w:rFonts w:hint="eastAsia" w:ascii="仿宋" w:hAnsi="仿宋" w:eastAsia="仿宋"/>
          <w:sz w:val="28"/>
          <w:szCs w:val="28"/>
          <w:highlight w:val="yellow"/>
        </w:rPr>
        <w:t>3.8 特别说明</w:t>
      </w:r>
    </w:p>
    <w:p w14:paraId="52DEAB30">
      <w:pPr>
        <w:spacing w:line="440" w:lineRule="exact"/>
        <w:ind w:firstLine="560" w:firstLineChars="200"/>
        <w:rPr>
          <w:rFonts w:ascii="仿宋" w:hAnsi="仿宋" w:eastAsia="仿宋"/>
          <w:sz w:val="28"/>
          <w:szCs w:val="28"/>
          <w:highlight w:val="yellow"/>
        </w:rPr>
      </w:pPr>
      <w:r>
        <w:rPr>
          <w:rFonts w:hint="eastAsia" w:ascii="仿宋" w:hAnsi="仿宋" w:eastAsia="仿宋"/>
          <w:sz w:val="28"/>
          <w:szCs w:val="28"/>
          <w:highlight w:val="yellow"/>
        </w:rPr>
        <w:t>3.8.1 承包人同意本项目按照重庆经开区相关政府投资管理办法执行。</w:t>
      </w:r>
    </w:p>
    <w:p w14:paraId="3281FD56">
      <w:pPr>
        <w:spacing w:line="440" w:lineRule="exact"/>
        <w:ind w:firstLine="560" w:firstLineChars="200"/>
        <w:rPr>
          <w:rFonts w:ascii="仿宋" w:hAnsi="仿宋" w:eastAsia="仿宋"/>
          <w:sz w:val="28"/>
          <w:szCs w:val="28"/>
          <w:highlight w:val="yellow"/>
        </w:rPr>
      </w:pPr>
      <w:r>
        <w:rPr>
          <w:rFonts w:hint="eastAsia" w:ascii="仿宋" w:hAnsi="仿宋" w:eastAsia="仿宋"/>
          <w:sz w:val="28"/>
          <w:szCs w:val="28"/>
          <w:highlight w:val="yellow"/>
        </w:rPr>
        <w:t>3.8.2 根据“重庆经济技术开发区管理委员会关于印发《重庆经济技术开发区政府投资项目管理办法（试行）》的通知”《渝经开发〔2018〕13 号文件》中的第三十三条规定：</w:t>
      </w:r>
    </w:p>
    <w:p w14:paraId="2BEA6770">
      <w:pPr>
        <w:spacing w:line="440" w:lineRule="exact"/>
        <w:ind w:firstLine="560" w:firstLineChars="200"/>
        <w:rPr>
          <w:rFonts w:ascii="仿宋" w:hAnsi="仿宋" w:eastAsia="仿宋"/>
          <w:sz w:val="28"/>
          <w:szCs w:val="28"/>
          <w:highlight w:val="yellow"/>
        </w:rPr>
      </w:pPr>
      <w:r>
        <w:rPr>
          <w:rFonts w:hint="eastAsia" w:ascii="仿宋" w:hAnsi="仿宋" w:eastAsia="仿宋"/>
          <w:sz w:val="28"/>
          <w:szCs w:val="28"/>
          <w:highlight w:val="yellow"/>
        </w:rPr>
        <w:t>为政府投资项目提供服务的企业法人和自然人在履约过程中出现以下情况的，要依法承担赔偿等责任。经发局要会同相关部门将其不良行为列入中介机构及施工企业的政府投资项目参建方信用信息库，</w:t>
      </w:r>
      <w:r>
        <w:rPr>
          <w:rFonts w:hint="eastAsia" w:ascii="仿宋" w:hAnsi="仿宋" w:eastAsia="仿宋"/>
          <w:sz w:val="28"/>
          <w:szCs w:val="28"/>
          <w:highlight w:val="yellow"/>
          <w:u w:val="single"/>
        </w:rPr>
        <w:t xml:space="preserve"> 3 </w:t>
      </w:r>
      <w:r>
        <w:rPr>
          <w:rFonts w:hint="eastAsia" w:ascii="仿宋" w:hAnsi="仿宋" w:eastAsia="仿宋"/>
          <w:sz w:val="28"/>
          <w:szCs w:val="28"/>
          <w:highlight w:val="yellow"/>
        </w:rPr>
        <w:t>年内不得承揽经开区政府投资项目相关业务：</w:t>
      </w:r>
    </w:p>
    <w:p w14:paraId="5F367AE2">
      <w:pPr>
        <w:spacing w:line="440" w:lineRule="exact"/>
        <w:rPr>
          <w:rFonts w:ascii="仿宋" w:hAnsi="仿宋" w:eastAsia="仿宋"/>
          <w:sz w:val="28"/>
          <w:szCs w:val="28"/>
          <w:highlight w:val="yellow"/>
        </w:rPr>
      </w:pPr>
      <w:r>
        <w:rPr>
          <w:rFonts w:hint="eastAsia" w:ascii="仿宋" w:hAnsi="仿宋" w:eastAsia="仿宋"/>
          <w:sz w:val="28"/>
          <w:szCs w:val="28"/>
          <w:highlight w:val="yellow"/>
        </w:rPr>
        <w:t>（1）</w:t>
      </w:r>
      <w:r>
        <w:rPr>
          <w:rFonts w:hint="eastAsia" w:ascii="仿宋" w:hAnsi="仿宋" w:eastAsia="仿宋"/>
          <w:sz w:val="28"/>
          <w:szCs w:val="28"/>
          <w:highlight w:val="yellow"/>
          <w:u w:val="single"/>
        </w:rPr>
        <w:t>拖欠工程款造成群体上访的</w:t>
      </w:r>
      <w:r>
        <w:rPr>
          <w:rFonts w:hint="eastAsia" w:ascii="仿宋" w:hAnsi="仿宋" w:eastAsia="仿宋"/>
          <w:sz w:val="28"/>
          <w:szCs w:val="28"/>
          <w:highlight w:val="yellow"/>
        </w:rPr>
        <w:t>；</w:t>
      </w:r>
    </w:p>
    <w:p w14:paraId="5960EF68">
      <w:pPr>
        <w:spacing w:line="440" w:lineRule="exact"/>
        <w:rPr>
          <w:rFonts w:ascii="仿宋" w:hAnsi="仿宋" w:eastAsia="仿宋"/>
          <w:sz w:val="28"/>
          <w:szCs w:val="28"/>
          <w:highlight w:val="yellow"/>
        </w:rPr>
      </w:pPr>
      <w:r>
        <w:rPr>
          <w:rFonts w:hint="eastAsia" w:ascii="仿宋" w:hAnsi="仿宋" w:eastAsia="仿宋"/>
          <w:sz w:val="28"/>
          <w:szCs w:val="28"/>
          <w:highlight w:val="yellow"/>
        </w:rPr>
        <w:t>（2）</w:t>
      </w:r>
      <w:r>
        <w:rPr>
          <w:rFonts w:hint="eastAsia" w:ascii="仿宋" w:hAnsi="仿宋" w:eastAsia="仿宋"/>
          <w:sz w:val="28"/>
          <w:szCs w:val="28"/>
          <w:highlight w:val="yellow"/>
          <w:u w:val="single"/>
        </w:rPr>
        <w:t>提供虚假信息、资料，出具虚假报告、文件的</w:t>
      </w:r>
      <w:r>
        <w:rPr>
          <w:rFonts w:hint="eastAsia" w:ascii="仿宋" w:hAnsi="仿宋" w:eastAsia="仿宋"/>
          <w:sz w:val="28"/>
          <w:szCs w:val="28"/>
          <w:highlight w:val="yellow"/>
        </w:rPr>
        <w:t>；</w:t>
      </w:r>
    </w:p>
    <w:p w14:paraId="1B8E61F5">
      <w:pPr>
        <w:spacing w:line="440" w:lineRule="exact"/>
        <w:rPr>
          <w:rFonts w:ascii="仿宋" w:hAnsi="仿宋" w:eastAsia="仿宋"/>
          <w:sz w:val="28"/>
          <w:szCs w:val="28"/>
          <w:highlight w:val="yellow"/>
        </w:rPr>
      </w:pPr>
      <w:r>
        <w:rPr>
          <w:rFonts w:hint="eastAsia" w:ascii="仿宋" w:hAnsi="仿宋" w:eastAsia="仿宋"/>
          <w:sz w:val="28"/>
          <w:szCs w:val="28"/>
          <w:highlight w:val="yellow"/>
        </w:rPr>
        <w:t>（3）</w:t>
      </w:r>
      <w:r>
        <w:rPr>
          <w:rFonts w:hint="eastAsia" w:ascii="仿宋" w:hAnsi="仿宋" w:eastAsia="仿宋"/>
          <w:sz w:val="28"/>
          <w:szCs w:val="28"/>
          <w:highlight w:val="yellow"/>
          <w:u w:val="single"/>
        </w:rPr>
        <w:t>索取合同约定以外的酬金或其他财物，或者利用执业便利谋取其他不正当利益的</w:t>
      </w:r>
      <w:r>
        <w:rPr>
          <w:rFonts w:hint="eastAsia" w:ascii="仿宋" w:hAnsi="仿宋" w:eastAsia="仿宋"/>
          <w:sz w:val="28"/>
          <w:szCs w:val="28"/>
          <w:highlight w:val="yellow"/>
        </w:rPr>
        <w:t>；</w:t>
      </w:r>
    </w:p>
    <w:p w14:paraId="245F32CE">
      <w:pPr>
        <w:spacing w:line="440" w:lineRule="exact"/>
        <w:rPr>
          <w:rFonts w:ascii="仿宋" w:hAnsi="仿宋" w:eastAsia="仿宋"/>
          <w:sz w:val="28"/>
          <w:szCs w:val="28"/>
          <w:highlight w:val="yellow"/>
        </w:rPr>
      </w:pPr>
      <w:r>
        <w:rPr>
          <w:rFonts w:hint="eastAsia" w:ascii="仿宋" w:hAnsi="仿宋" w:eastAsia="仿宋"/>
          <w:sz w:val="28"/>
          <w:szCs w:val="28"/>
          <w:highlight w:val="yellow"/>
        </w:rPr>
        <w:t>（4）</w:t>
      </w:r>
      <w:r>
        <w:rPr>
          <w:rFonts w:hint="eastAsia" w:ascii="仿宋" w:hAnsi="仿宋" w:eastAsia="仿宋"/>
          <w:sz w:val="28"/>
          <w:szCs w:val="28"/>
          <w:highlight w:val="yellow"/>
          <w:u w:val="single"/>
        </w:rPr>
        <w:t>用欺诈、胁迫、贿赂、串通等手段，损害他人利益的</w:t>
      </w:r>
      <w:r>
        <w:rPr>
          <w:rFonts w:hint="eastAsia" w:ascii="仿宋" w:hAnsi="仿宋" w:eastAsia="仿宋"/>
          <w:sz w:val="28"/>
          <w:szCs w:val="28"/>
          <w:highlight w:val="yellow"/>
        </w:rPr>
        <w:t>；</w:t>
      </w:r>
    </w:p>
    <w:p w14:paraId="465137CE">
      <w:pPr>
        <w:spacing w:line="440" w:lineRule="exact"/>
        <w:rPr>
          <w:rFonts w:ascii="仿宋" w:hAnsi="仿宋" w:eastAsia="仿宋"/>
          <w:sz w:val="28"/>
          <w:szCs w:val="28"/>
          <w:highlight w:val="yellow"/>
        </w:rPr>
      </w:pPr>
      <w:r>
        <w:rPr>
          <w:rFonts w:hint="eastAsia" w:ascii="仿宋" w:hAnsi="仿宋" w:eastAsia="仿宋"/>
          <w:sz w:val="28"/>
          <w:szCs w:val="28"/>
          <w:highlight w:val="yellow"/>
        </w:rPr>
        <w:t>（5）</w:t>
      </w:r>
      <w:r>
        <w:rPr>
          <w:rFonts w:hint="eastAsia" w:ascii="仿宋" w:hAnsi="仿宋" w:eastAsia="仿宋"/>
          <w:sz w:val="28"/>
          <w:szCs w:val="28"/>
          <w:highlight w:val="yellow"/>
          <w:u w:val="single"/>
        </w:rPr>
        <w:t>采用窝工等不正当手段，谋取不正当利益的</w:t>
      </w:r>
      <w:r>
        <w:rPr>
          <w:rFonts w:hint="eastAsia" w:ascii="仿宋" w:hAnsi="仿宋" w:eastAsia="仿宋"/>
          <w:sz w:val="28"/>
          <w:szCs w:val="28"/>
          <w:highlight w:val="yellow"/>
        </w:rPr>
        <w:t>；</w:t>
      </w:r>
    </w:p>
    <w:p w14:paraId="0BE87E25">
      <w:pPr>
        <w:spacing w:line="440" w:lineRule="exact"/>
        <w:rPr>
          <w:rFonts w:ascii="仿宋" w:hAnsi="仿宋" w:eastAsia="仿宋"/>
          <w:sz w:val="28"/>
          <w:szCs w:val="28"/>
          <w:highlight w:val="yellow"/>
        </w:rPr>
      </w:pPr>
      <w:r>
        <w:rPr>
          <w:rFonts w:hint="eastAsia" w:ascii="仿宋" w:hAnsi="仿宋" w:eastAsia="仿宋"/>
          <w:sz w:val="28"/>
          <w:szCs w:val="28"/>
          <w:highlight w:val="yellow"/>
        </w:rPr>
        <w:t>（6）</w:t>
      </w:r>
      <w:r>
        <w:rPr>
          <w:rFonts w:hint="eastAsia" w:ascii="仿宋" w:hAnsi="仿宋" w:eastAsia="仿宋"/>
          <w:sz w:val="28"/>
          <w:szCs w:val="28"/>
          <w:highlight w:val="yellow"/>
          <w:u w:val="single"/>
        </w:rPr>
        <w:t>将服务事项转包或违法分包的，允许其他单位或者个人以本单位名义承揽服务的</w:t>
      </w:r>
      <w:r>
        <w:rPr>
          <w:rFonts w:hint="eastAsia" w:ascii="仿宋" w:hAnsi="仿宋" w:eastAsia="仿宋"/>
          <w:sz w:val="28"/>
          <w:szCs w:val="28"/>
          <w:highlight w:val="yellow"/>
        </w:rPr>
        <w:t>；</w:t>
      </w:r>
    </w:p>
    <w:p w14:paraId="19A8DE3E">
      <w:pPr>
        <w:spacing w:line="440" w:lineRule="exact"/>
        <w:rPr>
          <w:rFonts w:ascii="仿宋" w:hAnsi="仿宋" w:eastAsia="仿宋"/>
          <w:sz w:val="28"/>
          <w:szCs w:val="28"/>
          <w:highlight w:val="yellow"/>
        </w:rPr>
      </w:pPr>
      <w:r>
        <w:rPr>
          <w:rFonts w:hint="eastAsia" w:ascii="仿宋" w:hAnsi="仿宋" w:eastAsia="仿宋"/>
          <w:sz w:val="28"/>
          <w:szCs w:val="28"/>
          <w:highlight w:val="yellow"/>
        </w:rPr>
        <w:t>（7）</w:t>
      </w:r>
      <w:r>
        <w:rPr>
          <w:rFonts w:hint="eastAsia" w:ascii="仿宋" w:hAnsi="仿宋" w:eastAsia="仿宋"/>
          <w:sz w:val="28"/>
          <w:szCs w:val="28"/>
          <w:highlight w:val="yellow"/>
          <w:u w:val="single"/>
        </w:rPr>
        <w:t>无证照执业或超经营范围执业的</w:t>
      </w:r>
      <w:r>
        <w:rPr>
          <w:rFonts w:hint="eastAsia" w:ascii="仿宋" w:hAnsi="仿宋" w:eastAsia="仿宋"/>
          <w:sz w:val="28"/>
          <w:szCs w:val="28"/>
          <w:highlight w:val="yellow"/>
        </w:rPr>
        <w:t>；</w:t>
      </w:r>
    </w:p>
    <w:p w14:paraId="711E8B49">
      <w:pPr>
        <w:spacing w:line="440" w:lineRule="exact"/>
        <w:rPr>
          <w:rFonts w:ascii="仿宋" w:hAnsi="仿宋" w:eastAsia="仿宋"/>
          <w:sz w:val="28"/>
          <w:szCs w:val="28"/>
          <w:highlight w:val="yellow"/>
        </w:rPr>
      </w:pPr>
      <w:r>
        <w:rPr>
          <w:rFonts w:hint="eastAsia" w:ascii="仿宋" w:hAnsi="仿宋" w:eastAsia="仿宋"/>
          <w:sz w:val="28"/>
          <w:szCs w:val="28"/>
          <w:highlight w:val="yellow"/>
        </w:rPr>
        <w:t>（8）</w:t>
      </w:r>
      <w:r>
        <w:rPr>
          <w:rFonts w:hint="eastAsia" w:ascii="仿宋" w:hAnsi="仿宋" w:eastAsia="仿宋"/>
          <w:sz w:val="28"/>
          <w:szCs w:val="28"/>
          <w:highlight w:val="yellow"/>
          <w:u w:val="single"/>
        </w:rPr>
        <w:t>无执业资格人员执业或聘用不得执业的人员执业的</w:t>
      </w:r>
      <w:r>
        <w:rPr>
          <w:rFonts w:hint="eastAsia" w:ascii="仿宋" w:hAnsi="仿宋" w:eastAsia="仿宋"/>
          <w:sz w:val="28"/>
          <w:szCs w:val="28"/>
          <w:highlight w:val="yellow"/>
        </w:rPr>
        <w:t>；</w:t>
      </w:r>
    </w:p>
    <w:p w14:paraId="68779605">
      <w:pPr>
        <w:spacing w:line="440" w:lineRule="exact"/>
        <w:rPr>
          <w:rFonts w:ascii="仿宋" w:hAnsi="仿宋" w:eastAsia="仿宋"/>
          <w:sz w:val="28"/>
          <w:szCs w:val="28"/>
          <w:highlight w:val="yellow"/>
        </w:rPr>
      </w:pPr>
      <w:r>
        <w:rPr>
          <w:rFonts w:hint="eastAsia" w:ascii="仿宋" w:hAnsi="仿宋" w:eastAsia="仿宋"/>
          <w:sz w:val="28"/>
          <w:szCs w:val="28"/>
          <w:highlight w:val="yellow"/>
        </w:rPr>
        <w:t>（9）</w:t>
      </w:r>
      <w:r>
        <w:rPr>
          <w:rFonts w:hint="eastAsia" w:ascii="仿宋" w:hAnsi="仿宋" w:eastAsia="仿宋"/>
          <w:sz w:val="28"/>
          <w:szCs w:val="28"/>
          <w:highlight w:val="yellow"/>
          <w:u w:val="single"/>
        </w:rPr>
        <w:t>未按照工程建设强制性标准进行勘察、设计的，设计不合理，导致工程变更过多，变更金额达到建安费 20%以上的</w:t>
      </w:r>
      <w:r>
        <w:rPr>
          <w:rFonts w:hint="eastAsia" w:ascii="仿宋" w:hAnsi="仿宋" w:eastAsia="仿宋"/>
          <w:sz w:val="28"/>
          <w:szCs w:val="28"/>
          <w:highlight w:val="yellow"/>
        </w:rPr>
        <w:t>；</w:t>
      </w:r>
    </w:p>
    <w:p w14:paraId="08467E66">
      <w:pPr>
        <w:spacing w:line="440" w:lineRule="exact"/>
        <w:rPr>
          <w:rFonts w:ascii="仿宋" w:hAnsi="仿宋" w:eastAsia="仿宋"/>
          <w:sz w:val="28"/>
          <w:szCs w:val="28"/>
          <w:highlight w:val="yellow"/>
        </w:rPr>
      </w:pPr>
      <w:r>
        <w:rPr>
          <w:rFonts w:hint="eastAsia" w:ascii="仿宋" w:hAnsi="仿宋" w:eastAsia="仿宋"/>
          <w:sz w:val="28"/>
          <w:szCs w:val="28"/>
          <w:highlight w:val="yellow"/>
        </w:rPr>
        <w:t>（10）</w:t>
      </w:r>
      <w:r>
        <w:rPr>
          <w:rFonts w:hint="eastAsia" w:ascii="仿宋" w:hAnsi="仿宋" w:eastAsia="仿宋"/>
          <w:sz w:val="28"/>
          <w:szCs w:val="28"/>
          <w:highlight w:val="yellow"/>
          <w:u w:val="single"/>
        </w:rPr>
        <w:t>未根据勘察成果文件进行工程设计的</w:t>
      </w:r>
      <w:r>
        <w:rPr>
          <w:rFonts w:hint="eastAsia" w:ascii="仿宋" w:hAnsi="仿宋" w:eastAsia="仿宋"/>
          <w:sz w:val="28"/>
          <w:szCs w:val="28"/>
          <w:highlight w:val="yellow"/>
        </w:rPr>
        <w:t>；</w:t>
      </w:r>
    </w:p>
    <w:p w14:paraId="49713EF6">
      <w:pPr>
        <w:spacing w:line="440" w:lineRule="exact"/>
        <w:rPr>
          <w:rFonts w:ascii="仿宋" w:hAnsi="仿宋" w:eastAsia="仿宋"/>
          <w:sz w:val="28"/>
          <w:szCs w:val="28"/>
          <w:highlight w:val="yellow"/>
        </w:rPr>
      </w:pPr>
      <w:r>
        <w:rPr>
          <w:rFonts w:hint="eastAsia" w:ascii="仿宋" w:hAnsi="仿宋" w:eastAsia="仿宋"/>
          <w:sz w:val="28"/>
          <w:szCs w:val="28"/>
          <w:highlight w:val="yellow"/>
        </w:rPr>
        <w:t>（11）</w:t>
      </w:r>
      <w:r>
        <w:rPr>
          <w:rFonts w:hint="eastAsia" w:ascii="仿宋" w:hAnsi="仿宋" w:eastAsia="仿宋"/>
          <w:sz w:val="28"/>
          <w:szCs w:val="28"/>
          <w:highlight w:val="yellow"/>
          <w:u w:val="single"/>
        </w:rPr>
        <w:t>指定材料生产厂、供应商或者通过其他方式强行或变相强行推销商品、提供服务的</w:t>
      </w:r>
      <w:r>
        <w:rPr>
          <w:rFonts w:hint="eastAsia" w:ascii="仿宋" w:hAnsi="仿宋" w:eastAsia="仿宋"/>
          <w:sz w:val="28"/>
          <w:szCs w:val="28"/>
          <w:highlight w:val="yellow"/>
        </w:rPr>
        <w:t>；</w:t>
      </w:r>
    </w:p>
    <w:p w14:paraId="72F79880">
      <w:pPr>
        <w:spacing w:line="440" w:lineRule="exact"/>
        <w:rPr>
          <w:rFonts w:ascii="仿宋" w:hAnsi="仿宋" w:eastAsia="仿宋"/>
          <w:sz w:val="28"/>
          <w:szCs w:val="28"/>
          <w:highlight w:val="yellow"/>
        </w:rPr>
      </w:pPr>
      <w:r>
        <w:rPr>
          <w:rFonts w:hint="eastAsia" w:ascii="仿宋" w:hAnsi="仿宋" w:eastAsia="仿宋"/>
          <w:sz w:val="28"/>
          <w:szCs w:val="28"/>
          <w:highlight w:val="yellow"/>
        </w:rPr>
        <w:t>（12）</w:t>
      </w:r>
      <w:r>
        <w:rPr>
          <w:rFonts w:hint="eastAsia" w:ascii="仿宋" w:hAnsi="仿宋" w:eastAsia="仿宋"/>
          <w:sz w:val="28"/>
          <w:szCs w:val="28"/>
          <w:highlight w:val="yellow"/>
          <w:u w:val="single"/>
        </w:rPr>
        <w:t>泄露应当保密的与招标代理业务有关的情况和资料</w:t>
      </w:r>
      <w:r>
        <w:rPr>
          <w:rFonts w:hint="eastAsia" w:ascii="仿宋" w:hAnsi="仿宋" w:eastAsia="仿宋"/>
          <w:sz w:val="28"/>
          <w:szCs w:val="28"/>
          <w:highlight w:val="yellow"/>
        </w:rPr>
        <w:t>；</w:t>
      </w:r>
    </w:p>
    <w:p w14:paraId="566DCA75">
      <w:pPr>
        <w:spacing w:line="440" w:lineRule="exact"/>
        <w:rPr>
          <w:rFonts w:ascii="仿宋" w:hAnsi="仿宋" w:eastAsia="仿宋"/>
          <w:sz w:val="28"/>
          <w:szCs w:val="28"/>
          <w:highlight w:val="yellow"/>
        </w:rPr>
      </w:pPr>
      <w:r>
        <w:rPr>
          <w:rFonts w:hint="eastAsia" w:ascii="仿宋" w:hAnsi="仿宋" w:eastAsia="仿宋"/>
          <w:sz w:val="28"/>
          <w:szCs w:val="28"/>
          <w:highlight w:val="yellow"/>
        </w:rPr>
        <w:t>（13）</w:t>
      </w:r>
      <w:r>
        <w:rPr>
          <w:rFonts w:hint="eastAsia" w:ascii="仿宋" w:hAnsi="仿宋" w:eastAsia="仿宋"/>
          <w:sz w:val="28"/>
          <w:szCs w:val="28"/>
          <w:highlight w:val="yellow"/>
          <w:u w:val="single"/>
        </w:rPr>
        <w:t>与发包人、承包人相互串通损害国家利益、社会公共利益或他人合法权益</w:t>
      </w:r>
      <w:r>
        <w:rPr>
          <w:rFonts w:hint="eastAsia" w:ascii="仿宋" w:hAnsi="仿宋" w:eastAsia="仿宋"/>
          <w:sz w:val="28"/>
          <w:szCs w:val="28"/>
          <w:highlight w:val="yellow"/>
        </w:rPr>
        <w:t>；</w:t>
      </w:r>
    </w:p>
    <w:p w14:paraId="74748F59">
      <w:pPr>
        <w:spacing w:line="440" w:lineRule="exact"/>
        <w:rPr>
          <w:rFonts w:ascii="仿宋" w:hAnsi="仿宋" w:eastAsia="仿宋"/>
          <w:sz w:val="28"/>
          <w:szCs w:val="28"/>
          <w:highlight w:val="yellow"/>
        </w:rPr>
      </w:pPr>
      <w:r>
        <w:rPr>
          <w:rFonts w:hint="eastAsia" w:ascii="仿宋" w:hAnsi="仿宋" w:eastAsia="仿宋"/>
          <w:sz w:val="28"/>
          <w:szCs w:val="28"/>
          <w:highlight w:val="yellow"/>
        </w:rPr>
        <w:t>（14）</w:t>
      </w:r>
      <w:r>
        <w:rPr>
          <w:rFonts w:hint="eastAsia" w:ascii="仿宋" w:hAnsi="仿宋" w:eastAsia="仿宋"/>
          <w:sz w:val="28"/>
          <w:szCs w:val="28"/>
          <w:highlight w:val="yellow"/>
          <w:u w:val="single"/>
        </w:rPr>
        <w:t>以不合理条件限制或排斥潜在承包人的</w:t>
      </w:r>
      <w:r>
        <w:rPr>
          <w:rFonts w:hint="eastAsia" w:ascii="仿宋" w:hAnsi="仿宋" w:eastAsia="仿宋"/>
          <w:sz w:val="28"/>
          <w:szCs w:val="28"/>
          <w:highlight w:val="yellow"/>
        </w:rPr>
        <w:t>；</w:t>
      </w:r>
    </w:p>
    <w:p w14:paraId="11324C4D">
      <w:pPr>
        <w:spacing w:line="440" w:lineRule="exact"/>
        <w:rPr>
          <w:rFonts w:ascii="仿宋" w:hAnsi="仿宋" w:eastAsia="仿宋"/>
          <w:sz w:val="28"/>
          <w:szCs w:val="28"/>
          <w:highlight w:val="yellow"/>
        </w:rPr>
      </w:pPr>
      <w:r>
        <w:rPr>
          <w:rFonts w:hint="eastAsia" w:ascii="仿宋" w:hAnsi="仿宋" w:eastAsia="仿宋"/>
          <w:sz w:val="28"/>
          <w:szCs w:val="28"/>
          <w:highlight w:val="yellow"/>
        </w:rPr>
        <w:t>（15）</w:t>
      </w:r>
      <w:r>
        <w:rPr>
          <w:rFonts w:hint="eastAsia" w:ascii="仿宋" w:hAnsi="仿宋" w:eastAsia="仿宋"/>
          <w:sz w:val="28"/>
          <w:szCs w:val="28"/>
          <w:highlight w:val="yellow"/>
          <w:u w:val="single"/>
        </w:rPr>
        <w:t>施工单位在施工中偷工减料、以次充好的，不按设计图纸或者技术标准施工的其他行为的</w:t>
      </w:r>
      <w:r>
        <w:rPr>
          <w:rFonts w:hint="eastAsia" w:ascii="仿宋" w:hAnsi="仿宋" w:eastAsia="仿宋"/>
          <w:sz w:val="28"/>
          <w:szCs w:val="28"/>
          <w:highlight w:val="yellow"/>
        </w:rPr>
        <w:t>；</w:t>
      </w:r>
    </w:p>
    <w:p w14:paraId="3ACAA73E">
      <w:pPr>
        <w:spacing w:line="440" w:lineRule="exact"/>
        <w:rPr>
          <w:rFonts w:ascii="仿宋" w:hAnsi="仿宋" w:eastAsia="仿宋"/>
          <w:sz w:val="28"/>
          <w:szCs w:val="28"/>
          <w:highlight w:val="yellow"/>
        </w:rPr>
      </w:pPr>
      <w:r>
        <w:rPr>
          <w:rFonts w:hint="eastAsia" w:ascii="仿宋" w:hAnsi="仿宋" w:eastAsia="仿宋"/>
          <w:sz w:val="28"/>
          <w:szCs w:val="28"/>
          <w:highlight w:val="yellow"/>
        </w:rPr>
        <w:t>（17）</w:t>
      </w:r>
      <w:r>
        <w:rPr>
          <w:rFonts w:hint="eastAsia" w:ascii="仿宋" w:hAnsi="仿宋" w:eastAsia="仿宋"/>
          <w:sz w:val="28"/>
          <w:szCs w:val="28"/>
          <w:highlight w:val="yellow"/>
          <w:u w:val="single"/>
        </w:rPr>
        <w:t>较大及以上工程质量安全事故</w:t>
      </w:r>
      <w:r>
        <w:rPr>
          <w:rFonts w:hint="eastAsia" w:ascii="仿宋" w:hAnsi="仿宋" w:eastAsia="仿宋"/>
          <w:sz w:val="28"/>
          <w:szCs w:val="28"/>
          <w:highlight w:val="yellow"/>
        </w:rPr>
        <w:t>；</w:t>
      </w:r>
    </w:p>
    <w:p w14:paraId="3863F6F7">
      <w:pPr>
        <w:spacing w:line="440" w:lineRule="exact"/>
        <w:rPr>
          <w:rFonts w:ascii="仿宋" w:hAnsi="仿宋" w:eastAsia="仿宋"/>
          <w:sz w:val="28"/>
          <w:szCs w:val="28"/>
          <w:highlight w:val="yellow"/>
        </w:rPr>
      </w:pPr>
      <w:r>
        <w:rPr>
          <w:rFonts w:hint="eastAsia" w:ascii="仿宋" w:hAnsi="仿宋" w:eastAsia="仿宋"/>
          <w:sz w:val="28"/>
          <w:szCs w:val="28"/>
          <w:highlight w:val="yellow"/>
        </w:rPr>
        <w:t>（18）</w:t>
      </w:r>
      <w:r>
        <w:rPr>
          <w:rFonts w:hint="eastAsia" w:ascii="仿宋" w:hAnsi="仿宋" w:eastAsia="仿宋"/>
          <w:sz w:val="28"/>
          <w:szCs w:val="28"/>
          <w:highlight w:val="yellow"/>
          <w:u w:val="single"/>
        </w:rPr>
        <w:t>咨询服务机构的成果报告或审查结论出现重大失误及偏差的</w:t>
      </w:r>
      <w:r>
        <w:rPr>
          <w:rFonts w:hint="eastAsia" w:ascii="仿宋" w:hAnsi="仿宋" w:eastAsia="仿宋"/>
          <w:sz w:val="28"/>
          <w:szCs w:val="28"/>
          <w:highlight w:val="yellow"/>
        </w:rPr>
        <w:t>；</w:t>
      </w:r>
    </w:p>
    <w:p w14:paraId="7FF24B95">
      <w:pPr>
        <w:pStyle w:val="17"/>
        <w:spacing w:before="1"/>
        <w:ind w:left="746"/>
      </w:pPr>
      <w:r>
        <w:rPr>
          <w:rFonts w:hint="eastAsia" w:ascii="仿宋" w:hAnsi="仿宋" w:eastAsia="仿宋"/>
          <w:sz w:val="28"/>
          <w:szCs w:val="28"/>
          <w:highlight w:val="yellow"/>
        </w:rPr>
        <w:t>（19）</w:t>
      </w:r>
      <w:r>
        <w:rPr>
          <w:rFonts w:hint="eastAsia" w:ascii="仿宋" w:hAnsi="仿宋" w:eastAsia="仿宋"/>
          <w:sz w:val="28"/>
          <w:szCs w:val="28"/>
          <w:highlight w:val="yellow"/>
          <w:u w:val="single"/>
        </w:rPr>
        <w:t>法律、法规、规章及行业规范禁止的其他行为和违背本区现行规定的</w:t>
      </w:r>
      <w:r>
        <w:rPr>
          <w:rFonts w:hint="eastAsia" w:ascii="仿宋" w:hAnsi="仿宋" w:eastAsia="仿宋"/>
          <w:sz w:val="28"/>
          <w:szCs w:val="28"/>
          <w:highlight w:val="yellow"/>
        </w:rPr>
        <w:t>。</w:t>
      </w:r>
    </w:p>
    <w:p w14:paraId="527C747F">
      <w:pPr>
        <w:pStyle w:val="17"/>
        <w:spacing w:before="6"/>
      </w:pPr>
    </w:p>
    <w:p w14:paraId="14E29A29">
      <w:pPr>
        <w:pStyle w:val="3"/>
        <w:numPr>
          <w:ilvl w:val="0"/>
          <w:numId w:val="5"/>
        </w:numPr>
        <w:tabs>
          <w:tab w:val="left" w:pos="567"/>
        </w:tabs>
        <w:spacing w:before="4"/>
        <w:ind w:hanging="241"/>
        <w:jc w:val="left"/>
      </w:pPr>
      <w:r>
        <w:rPr>
          <w:spacing w:val="15"/>
        </w:rPr>
        <w:t>监理人</w:t>
      </w:r>
      <w:r>
        <w:rPr>
          <w:w w:val="167"/>
        </w:rPr>
        <w:t xml:space="preserve"> </w:t>
      </w:r>
    </w:p>
    <w:p w14:paraId="4D0B04C6">
      <w:pPr>
        <w:pStyle w:val="17"/>
        <w:spacing w:before="3"/>
        <w:rPr>
          <w:rFonts w:ascii="微软雅黑"/>
          <w:b/>
          <w:sz w:val="13"/>
        </w:rPr>
      </w:pPr>
    </w:p>
    <w:p w14:paraId="4D89EC10">
      <w:pPr>
        <w:pStyle w:val="317"/>
        <w:numPr>
          <w:ilvl w:val="1"/>
          <w:numId w:val="5"/>
        </w:numPr>
        <w:tabs>
          <w:tab w:val="left" w:pos="1107"/>
        </w:tabs>
        <w:spacing w:before="1"/>
        <w:ind w:left="1107" w:hanging="361"/>
        <w:rPr>
          <w:rFonts w:ascii="微软雅黑" w:eastAsia="微软雅黑"/>
          <w:b/>
          <w:sz w:val="21"/>
        </w:rPr>
      </w:pPr>
      <w:r>
        <w:rPr>
          <w:rFonts w:hint="eastAsia" w:ascii="微软雅黑" w:eastAsia="微软雅黑"/>
          <w:b/>
          <w:spacing w:val="4"/>
          <w:sz w:val="21"/>
        </w:rPr>
        <w:t>监理人的一般规定</w:t>
      </w:r>
      <w:r>
        <w:rPr>
          <w:rFonts w:hint="eastAsia" w:ascii="微软雅黑" w:eastAsia="微软雅黑"/>
          <w:b/>
          <w:spacing w:val="4"/>
          <w:w w:val="167"/>
          <w:sz w:val="21"/>
        </w:rPr>
        <w:t xml:space="preserve"> </w:t>
      </w:r>
    </w:p>
    <w:p w14:paraId="14C0463E">
      <w:pPr>
        <w:pStyle w:val="17"/>
        <w:spacing w:before="160"/>
        <w:ind w:left="746"/>
      </w:pPr>
      <w:r>
        <w:t>关于监理人的监理内容：</w:t>
      </w:r>
      <w:r>
        <w:rPr>
          <w:u w:val="single"/>
        </w:rPr>
        <w:t>见发包人与监理人就本工程签订的监理合同</w:t>
      </w:r>
      <w:r>
        <w:t xml:space="preserve">。 </w:t>
      </w:r>
    </w:p>
    <w:p w14:paraId="0A60EFA0">
      <w:pPr>
        <w:pStyle w:val="17"/>
        <w:spacing w:before="11"/>
        <w:rPr>
          <w:sz w:val="9"/>
        </w:rPr>
      </w:pPr>
    </w:p>
    <w:p w14:paraId="0FEBC9A3">
      <w:pPr>
        <w:pStyle w:val="17"/>
        <w:spacing w:before="70"/>
        <w:ind w:left="746"/>
      </w:pPr>
      <w:r>
        <w:t>关于监理人的监理权限：</w:t>
      </w:r>
      <w:r>
        <w:rPr>
          <w:u w:val="single"/>
        </w:rPr>
        <w:t>见发包人与监理人就本工程签订的监理合同；任何涉及费用确定和（或）</w:t>
      </w:r>
    </w:p>
    <w:p w14:paraId="2786E903">
      <w:pPr>
        <w:pStyle w:val="17"/>
        <w:spacing w:before="11"/>
        <w:rPr>
          <w:sz w:val="9"/>
        </w:rPr>
      </w:pPr>
    </w:p>
    <w:p w14:paraId="4C719293">
      <w:pPr>
        <w:pStyle w:val="17"/>
        <w:spacing w:before="70"/>
        <w:ind w:left="326"/>
      </w:pPr>
      <w:r>
        <w:rPr>
          <w:u w:val="single"/>
        </w:rPr>
        <w:t>工期调整，或者设计变更，或者变更估价，或者涉及经济责任的事项，监理工程师在发出指令或通知前，</w:t>
      </w:r>
    </w:p>
    <w:p w14:paraId="7E7C83E5">
      <w:pPr>
        <w:pStyle w:val="17"/>
        <w:spacing w:before="11"/>
        <w:rPr>
          <w:sz w:val="9"/>
        </w:rPr>
      </w:pPr>
    </w:p>
    <w:p w14:paraId="402371D1">
      <w:pPr>
        <w:pStyle w:val="17"/>
        <w:spacing w:before="70"/>
        <w:ind w:left="326"/>
      </w:pPr>
      <w:r>
        <w:rPr>
          <w:u w:val="single"/>
        </w:rPr>
        <w:t>须征得发包人书面同意</w:t>
      </w:r>
      <w:r>
        <w:t xml:space="preserve">。 </w:t>
      </w:r>
    </w:p>
    <w:p w14:paraId="72B7ECCE">
      <w:pPr>
        <w:pStyle w:val="17"/>
        <w:spacing w:before="11"/>
        <w:rPr>
          <w:sz w:val="9"/>
        </w:rPr>
      </w:pPr>
    </w:p>
    <w:p w14:paraId="2F9B7BF0">
      <w:pPr>
        <w:pStyle w:val="17"/>
        <w:tabs>
          <w:tab w:val="left" w:pos="8526"/>
        </w:tabs>
        <w:spacing w:before="70"/>
        <w:ind w:left="746"/>
        <w:rPr>
          <w:sz w:val="15"/>
        </w:rPr>
      </w:pPr>
      <w:r>
        <w:rPr>
          <w:lang w:val="en-US" w:bidi="ar-SA"/>
        </w:rPr>
        <w:drawing>
          <wp:anchor distT="0" distB="0" distL="0" distR="0" simplePos="0" relativeHeight="251703296" behindDoc="1" locked="0" layoutInCell="1" allowOverlap="1">
            <wp:simplePos x="0" y="0"/>
            <wp:positionH relativeFrom="page">
              <wp:posOffset>5769610</wp:posOffset>
            </wp:positionH>
            <wp:positionV relativeFrom="paragraph">
              <wp:posOffset>62865</wp:posOffset>
            </wp:positionV>
            <wp:extent cx="400685" cy="133350"/>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t>关于监理人在施工现场的办公场所、生活场所</w:t>
      </w:r>
      <w:r>
        <w:rPr>
          <w:spacing w:val="-4"/>
        </w:rPr>
        <w:t>的</w:t>
      </w:r>
      <w:r>
        <w:t>提供和费用承担的约定</w:t>
      </w:r>
      <w:r>
        <w:rPr>
          <w:spacing w:val="-3"/>
        </w:rPr>
        <w:t>：</w:t>
      </w:r>
      <w:r>
        <w:rPr>
          <w:u w:val="single"/>
        </w:rPr>
        <w:t xml:space="preserve">      </w:t>
      </w:r>
      <w:r>
        <w:rPr>
          <w:rFonts w:hint="eastAsia"/>
          <w:u w:val="single"/>
          <w:lang w:val="en-US"/>
        </w:rPr>
        <w:t>/</w:t>
      </w:r>
      <w:r>
        <w:rPr>
          <w:u w:val="single"/>
        </w:rPr>
        <w:tab/>
      </w:r>
      <w:r>
        <w:rPr>
          <w:u w:val="single"/>
        </w:rPr>
        <w:t xml:space="preserve">            </w:t>
      </w:r>
    </w:p>
    <w:p w14:paraId="58381F19">
      <w:pPr>
        <w:pStyle w:val="17"/>
        <w:spacing w:before="10"/>
        <w:rPr>
          <w:sz w:val="9"/>
        </w:rPr>
      </w:pPr>
    </w:p>
    <w:p w14:paraId="56C3EFED">
      <w:pPr>
        <w:pStyle w:val="317"/>
        <w:numPr>
          <w:ilvl w:val="1"/>
          <w:numId w:val="5"/>
        </w:numPr>
        <w:tabs>
          <w:tab w:val="left" w:pos="1107"/>
        </w:tabs>
        <w:spacing w:before="4" w:line="331" w:lineRule="auto"/>
        <w:ind w:left="746" w:right="8605" w:firstLine="0"/>
        <w:rPr>
          <w:sz w:val="21"/>
        </w:rPr>
      </w:pPr>
      <w:r>
        <w:rPr>
          <w:rFonts w:hint="eastAsia" w:ascii="微软雅黑" w:eastAsia="微软雅黑"/>
          <w:b/>
          <w:spacing w:val="14"/>
          <w:sz w:val="21"/>
        </w:rPr>
        <w:t xml:space="preserve">监理人员 </w:t>
      </w:r>
    </w:p>
    <w:p w14:paraId="5BB7FA6C">
      <w:pPr>
        <w:pStyle w:val="317"/>
        <w:tabs>
          <w:tab w:val="left" w:pos="1107"/>
        </w:tabs>
        <w:spacing w:before="4" w:line="331" w:lineRule="auto"/>
        <w:ind w:left="746" w:right="8605" w:firstLine="0"/>
        <w:rPr>
          <w:sz w:val="21"/>
        </w:rPr>
      </w:pPr>
      <w:r>
        <w:rPr>
          <w:sz w:val="21"/>
        </w:rPr>
        <w:t xml:space="preserve">总监理工程师： </w:t>
      </w:r>
    </w:p>
    <w:p w14:paraId="5728B199">
      <w:pPr>
        <w:pStyle w:val="17"/>
        <w:tabs>
          <w:tab w:val="left" w:pos="5583"/>
        </w:tabs>
        <w:spacing w:before="92"/>
        <w:ind w:left="746"/>
      </w:pPr>
      <w:r>
        <w:rPr>
          <w:lang w:val="en-US" w:bidi="ar-SA"/>
        </w:rPr>
        <w:drawing>
          <wp:anchor distT="0" distB="0" distL="0" distR="0" simplePos="0" relativeHeight="251704320" behindDoc="1" locked="0" layoutInCell="1" allowOverlap="1">
            <wp:simplePos x="0" y="0"/>
            <wp:positionH relativeFrom="page">
              <wp:posOffset>2164715</wp:posOffset>
            </wp:positionH>
            <wp:positionV relativeFrom="paragraph">
              <wp:posOffset>76835</wp:posOffset>
            </wp:positionV>
            <wp:extent cx="2082800" cy="133350"/>
            <wp:effectExtent l="0" t="0" r="0" b="0"/>
            <wp:wrapNone/>
            <wp:docPr id="8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1.png"/>
                    <pic:cNvPicPr>
                      <a:picLocks noChangeAspect="1"/>
                    </pic:cNvPicPr>
                  </pic:nvPicPr>
                  <pic:blipFill>
                    <a:blip r:embed="rId22" cstate="print"/>
                    <a:stretch>
                      <a:fillRect/>
                    </a:stretch>
                  </pic:blipFill>
                  <pic:spPr>
                    <a:xfrm>
                      <a:off x="0" y="0"/>
                      <a:ext cx="2082927" cy="133350"/>
                    </a:xfrm>
                    <a:prstGeom prst="rect">
                      <a:avLst/>
                    </a:prstGeom>
                  </pic:spPr>
                </pic:pic>
              </a:graphicData>
            </a:graphic>
          </wp:anchor>
        </w:drawing>
      </w:r>
      <w:r>
        <w:t>姓    名：</w:t>
      </w:r>
      <w:r>
        <w:rPr>
          <w:u w:val="single"/>
        </w:rPr>
        <w:t xml:space="preserve"> </w:t>
      </w:r>
      <w:r>
        <w:rPr>
          <w:u w:val="single"/>
        </w:rPr>
        <w:tab/>
      </w:r>
      <w:r>
        <w:t xml:space="preserve">； </w:t>
      </w:r>
    </w:p>
    <w:p w14:paraId="74BD2698">
      <w:pPr>
        <w:pStyle w:val="17"/>
        <w:spacing w:before="10"/>
        <w:rPr>
          <w:sz w:val="9"/>
        </w:rPr>
      </w:pPr>
    </w:p>
    <w:p w14:paraId="468F5B7A">
      <w:pPr>
        <w:pStyle w:val="17"/>
        <w:tabs>
          <w:tab w:val="left" w:pos="5583"/>
        </w:tabs>
        <w:spacing w:before="71"/>
        <w:ind w:left="746"/>
      </w:pPr>
      <w:r>
        <w:rPr>
          <w:lang w:val="en-US" w:bidi="ar-SA"/>
        </w:rPr>
        <w:drawing>
          <wp:anchor distT="0" distB="0" distL="0" distR="0" simplePos="0" relativeHeight="251705344" behindDoc="1" locked="0" layoutInCell="1" allowOverlap="1">
            <wp:simplePos x="0" y="0"/>
            <wp:positionH relativeFrom="page">
              <wp:posOffset>2164715</wp:posOffset>
            </wp:positionH>
            <wp:positionV relativeFrom="paragraph">
              <wp:posOffset>63500</wp:posOffset>
            </wp:positionV>
            <wp:extent cx="2082800" cy="133350"/>
            <wp:effectExtent l="0" t="0" r="0" b="0"/>
            <wp:wrapNone/>
            <wp:docPr id="8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1.png"/>
                    <pic:cNvPicPr>
                      <a:picLocks noChangeAspect="1"/>
                    </pic:cNvPicPr>
                  </pic:nvPicPr>
                  <pic:blipFill>
                    <a:blip r:embed="rId22" cstate="print"/>
                    <a:stretch>
                      <a:fillRect/>
                    </a:stretch>
                  </pic:blipFill>
                  <pic:spPr>
                    <a:xfrm>
                      <a:off x="0" y="0"/>
                      <a:ext cx="2082927" cy="133350"/>
                    </a:xfrm>
                    <a:prstGeom prst="rect">
                      <a:avLst/>
                    </a:prstGeom>
                  </pic:spPr>
                </pic:pic>
              </a:graphicData>
            </a:graphic>
          </wp:anchor>
        </w:drawing>
      </w:r>
      <w:r>
        <w:t>职    务：</w:t>
      </w:r>
      <w:r>
        <w:rPr>
          <w:u w:val="single"/>
        </w:rPr>
        <w:t xml:space="preserve"> </w:t>
      </w:r>
      <w:r>
        <w:rPr>
          <w:u w:val="single"/>
        </w:rPr>
        <w:tab/>
      </w:r>
      <w:r>
        <w:t xml:space="preserve">； </w:t>
      </w:r>
    </w:p>
    <w:p w14:paraId="54CCAF5D">
      <w:pPr>
        <w:pStyle w:val="17"/>
        <w:spacing w:before="6"/>
        <w:rPr>
          <w:sz w:val="10"/>
        </w:rPr>
      </w:pPr>
    </w:p>
    <w:p w14:paraId="32FF75E1">
      <w:pPr>
        <w:pStyle w:val="17"/>
        <w:tabs>
          <w:tab w:val="left" w:pos="5583"/>
        </w:tabs>
        <w:spacing w:before="77"/>
        <w:ind w:left="746"/>
      </w:pPr>
      <w:r>
        <w:rPr>
          <w:lang w:val="en-US" w:bidi="ar-SA"/>
        </w:rPr>
        <w:drawing>
          <wp:anchor distT="0" distB="0" distL="0" distR="0" simplePos="0" relativeHeight="251706368" behindDoc="1" locked="0" layoutInCell="1" allowOverlap="1">
            <wp:simplePos x="0" y="0"/>
            <wp:positionH relativeFrom="page">
              <wp:posOffset>2832100</wp:posOffset>
            </wp:positionH>
            <wp:positionV relativeFrom="paragraph">
              <wp:posOffset>67310</wp:posOffset>
            </wp:positionV>
            <wp:extent cx="1413510" cy="133350"/>
            <wp:effectExtent l="0" t="0" r="0" b="0"/>
            <wp:wrapNone/>
            <wp:docPr id="8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4.png"/>
                    <pic:cNvPicPr>
                      <a:picLocks noChangeAspect="1"/>
                    </pic:cNvPicPr>
                  </pic:nvPicPr>
                  <pic:blipFill>
                    <a:blip r:embed="rId34" cstate="print"/>
                    <a:stretch>
                      <a:fillRect/>
                    </a:stretch>
                  </pic:blipFill>
                  <pic:spPr>
                    <a:xfrm>
                      <a:off x="0" y="0"/>
                      <a:ext cx="1413637" cy="133350"/>
                    </a:xfrm>
                    <a:prstGeom prst="rect">
                      <a:avLst/>
                    </a:prstGeom>
                  </pic:spPr>
                </pic:pic>
              </a:graphicData>
            </a:graphic>
          </wp:anchor>
        </w:drawing>
      </w:r>
      <w:r>
        <w:t>监理工程师执业资格证书号</w:t>
      </w:r>
      <w:r>
        <w:rPr>
          <w:spacing w:val="-3"/>
        </w:rPr>
        <w:t>：</w:t>
      </w:r>
      <w:r>
        <w:rPr>
          <w:spacing w:val="-3"/>
          <w:u w:val="single"/>
        </w:rPr>
        <w:t xml:space="preserve"> </w:t>
      </w:r>
      <w:r>
        <w:rPr>
          <w:spacing w:val="-3"/>
          <w:u w:val="single"/>
        </w:rPr>
        <w:tab/>
      </w:r>
      <w:r>
        <w:t xml:space="preserve">； </w:t>
      </w:r>
    </w:p>
    <w:p w14:paraId="7F6C135D">
      <w:pPr>
        <w:pStyle w:val="17"/>
        <w:spacing w:before="11"/>
        <w:rPr>
          <w:sz w:val="9"/>
        </w:rPr>
      </w:pPr>
    </w:p>
    <w:p w14:paraId="47EEE228">
      <w:pPr>
        <w:pStyle w:val="17"/>
        <w:tabs>
          <w:tab w:val="left" w:pos="5583"/>
        </w:tabs>
        <w:spacing w:before="71"/>
        <w:ind w:left="746"/>
      </w:pPr>
      <w:r>
        <w:rPr>
          <w:lang w:val="en-US" w:bidi="ar-SA"/>
        </w:rPr>
        <w:drawing>
          <wp:anchor distT="0" distB="0" distL="0" distR="0" simplePos="0" relativeHeight="251707392" behindDoc="1" locked="0" layoutInCell="1" allowOverlap="1">
            <wp:simplePos x="0" y="0"/>
            <wp:positionH relativeFrom="page">
              <wp:posOffset>2164715</wp:posOffset>
            </wp:positionH>
            <wp:positionV relativeFrom="paragraph">
              <wp:posOffset>63500</wp:posOffset>
            </wp:positionV>
            <wp:extent cx="2082800" cy="133350"/>
            <wp:effectExtent l="0" t="0" r="0" b="0"/>
            <wp:wrapNone/>
            <wp:docPr id="8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1.png"/>
                    <pic:cNvPicPr>
                      <a:picLocks noChangeAspect="1"/>
                    </pic:cNvPicPr>
                  </pic:nvPicPr>
                  <pic:blipFill>
                    <a:blip r:embed="rId22" cstate="print"/>
                    <a:stretch>
                      <a:fillRect/>
                    </a:stretch>
                  </pic:blipFill>
                  <pic:spPr>
                    <a:xfrm>
                      <a:off x="0" y="0"/>
                      <a:ext cx="2082927" cy="133350"/>
                    </a:xfrm>
                    <a:prstGeom prst="rect">
                      <a:avLst/>
                    </a:prstGeom>
                  </pic:spPr>
                </pic:pic>
              </a:graphicData>
            </a:graphic>
          </wp:anchor>
        </w:drawing>
      </w:r>
      <w:r>
        <w:t>联系方式：</w:t>
      </w:r>
      <w:r>
        <w:rPr>
          <w:u w:val="single"/>
        </w:rPr>
        <w:t xml:space="preserve"> </w:t>
      </w:r>
      <w:r>
        <w:rPr>
          <w:u w:val="single"/>
        </w:rPr>
        <w:tab/>
      </w:r>
      <w:r>
        <w:t xml:space="preserve">； </w:t>
      </w:r>
    </w:p>
    <w:p w14:paraId="75A1BF70">
      <w:pPr>
        <w:pStyle w:val="17"/>
        <w:spacing w:before="10"/>
        <w:rPr>
          <w:sz w:val="9"/>
        </w:rPr>
      </w:pPr>
    </w:p>
    <w:p w14:paraId="506BF4F6">
      <w:pPr>
        <w:pStyle w:val="17"/>
        <w:spacing w:before="71"/>
        <w:ind w:left="746"/>
      </w:pPr>
      <w:r>
        <w:t>关于监理人的其他约定：</w:t>
      </w:r>
      <w:r>
        <w:rPr>
          <w:u w:val="single"/>
        </w:rPr>
        <w:t>见发包人与监理人就本工程签订的监理合同</w:t>
      </w:r>
      <w:r>
        <w:t xml:space="preserve">。 </w:t>
      </w:r>
    </w:p>
    <w:p w14:paraId="594DFF4F">
      <w:pPr>
        <w:pStyle w:val="17"/>
        <w:spacing w:before="10"/>
        <w:rPr>
          <w:sz w:val="9"/>
        </w:rPr>
      </w:pPr>
    </w:p>
    <w:p w14:paraId="3CE91E90">
      <w:pPr>
        <w:pStyle w:val="17"/>
        <w:spacing w:before="71"/>
        <w:ind w:left="746"/>
      </w:pPr>
      <w:r>
        <w:t xml:space="preserve">4.4 商定或确定 </w:t>
      </w:r>
    </w:p>
    <w:p w14:paraId="28CE7C97">
      <w:pPr>
        <w:pStyle w:val="17"/>
        <w:spacing w:before="3"/>
        <w:rPr>
          <w:sz w:val="15"/>
        </w:rPr>
      </w:pPr>
    </w:p>
    <w:p w14:paraId="7DE4D1EE">
      <w:pPr>
        <w:pStyle w:val="17"/>
        <w:spacing w:before="1"/>
        <w:ind w:left="746"/>
      </w:pPr>
      <w:r>
        <w:t xml:space="preserve">在发包人和承包人不能通过协商达成一致意见时，发包人授权监理人对以下事项进行确定： </w:t>
      </w:r>
    </w:p>
    <w:p w14:paraId="73B68A62">
      <w:pPr>
        <w:sectPr>
          <w:pgSz w:w="11910" w:h="16850"/>
          <w:pgMar w:top="1440" w:right="1080" w:bottom="1440" w:left="1080" w:header="0" w:footer="996" w:gutter="0"/>
          <w:cols w:space="720" w:num="1"/>
        </w:sectPr>
      </w:pPr>
    </w:p>
    <w:p w14:paraId="5F227C33">
      <w:pPr>
        <w:pStyle w:val="17"/>
        <w:tabs>
          <w:tab w:val="left" w:pos="1633"/>
          <w:tab w:val="left" w:pos="4051"/>
          <w:tab w:val="left" w:pos="4366"/>
        </w:tabs>
        <w:spacing w:before="46"/>
        <w:ind w:left="581"/>
      </w:pPr>
      <w:r>
        <w:rPr>
          <w:lang w:val="en-US" w:bidi="ar-SA"/>
        </w:rPr>
        <w:drawing>
          <wp:anchor distT="0" distB="0" distL="0" distR="0" simplePos="0" relativeHeight="251708416" behindDoc="1" locked="0" layoutInCell="1" allowOverlap="1">
            <wp:simplePos x="0" y="0"/>
            <wp:positionH relativeFrom="page">
              <wp:posOffset>1392555</wp:posOffset>
            </wp:positionH>
            <wp:positionV relativeFrom="paragraph">
              <wp:posOffset>47625</wp:posOffset>
            </wp:positionV>
            <wp:extent cx="400685" cy="133350"/>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a:picLocks noChangeAspect="1"/>
                    </pic:cNvPicPr>
                  </pic:nvPicPr>
                  <pic:blipFill>
                    <a:blip r:embed="rId12" cstate="print"/>
                    <a:stretch>
                      <a:fillRect/>
                    </a:stretch>
                  </pic:blipFill>
                  <pic:spPr>
                    <a:xfrm>
                      <a:off x="0" y="0"/>
                      <a:ext cx="400519" cy="133350"/>
                    </a:xfrm>
                    <a:prstGeom prst="rect">
                      <a:avLst/>
                    </a:prstGeom>
                  </pic:spPr>
                </pic:pic>
              </a:graphicData>
            </a:graphic>
          </wp:anchor>
        </w:drawing>
      </w:r>
      <w:r>
        <w:rPr>
          <w:lang w:val="en-US" w:bidi="ar-SA"/>
        </w:rPr>
        <mc:AlternateContent>
          <mc:Choice Requires="wpg">
            <w:drawing>
              <wp:anchor distT="0" distB="0" distL="114300" distR="114300" simplePos="0" relativeHeight="251709440" behindDoc="1" locked="0" layoutInCell="1" allowOverlap="1">
                <wp:simplePos x="0" y="0"/>
                <wp:positionH relativeFrom="page">
                  <wp:posOffset>2927985</wp:posOffset>
                </wp:positionH>
                <wp:positionV relativeFrom="paragraph">
                  <wp:posOffset>47625</wp:posOffset>
                </wp:positionV>
                <wp:extent cx="601345" cy="133350"/>
                <wp:effectExtent l="0" t="0" r="0" b="0"/>
                <wp:wrapNone/>
                <wp:docPr id="10" name="Group 21"/>
                <wp:cNvGraphicFramePr/>
                <a:graphic xmlns:a="http://schemas.openxmlformats.org/drawingml/2006/main">
                  <a:graphicData uri="http://schemas.microsoft.com/office/word/2010/wordprocessingGroup">
                    <wpg:wgp>
                      <wpg:cNvGrpSpPr/>
                      <wpg:grpSpPr>
                        <a:xfrm>
                          <a:off x="0" y="0"/>
                          <a:ext cx="601345" cy="133350"/>
                          <a:chOff x="4611" y="76"/>
                          <a:chExt cx="947" cy="210"/>
                        </a:xfrm>
                      </wpg:grpSpPr>
                      <pic:pic xmlns:pic="http://schemas.openxmlformats.org/drawingml/2006/picture">
                        <pic:nvPicPr>
                          <pic:cNvPr id="12"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4611" y="76"/>
                            <a:ext cx="631" cy="210"/>
                          </a:xfrm>
                          <a:prstGeom prst="rect">
                            <a:avLst/>
                          </a:prstGeom>
                          <a:noFill/>
                          <a:ln>
                            <a:noFill/>
                          </a:ln>
                        </pic:spPr>
                      </pic:pic>
                      <pic:pic xmlns:pic="http://schemas.openxmlformats.org/drawingml/2006/picture">
                        <pic:nvPicPr>
                          <pic:cNvPr id="16"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5136" y="76"/>
                            <a:ext cx="421" cy="210"/>
                          </a:xfrm>
                          <a:prstGeom prst="rect">
                            <a:avLst/>
                          </a:prstGeom>
                          <a:noFill/>
                          <a:ln>
                            <a:noFill/>
                          </a:ln>
                        </pic:spPr>
                      </pic:pic>
                    </wpg:wgp>
                  </a:graphicData>
                </a:graphic>
              </wp:anchor>
            </w:drawing>
          </mc:Choice>
          <mc:Fallback>
            <w:pict>
              <v:group id="Group 21" o:spid="_x0000_s1026" o:spt="203" style="position:absolute;left:0pt;margin-left:230.55pt;margin-top:3.75pt;height:10.5pt;width:47.35pt;mso-position-horizontal-relative:page;z-index:-251607040;mso-width-relative:page;mso-height-relative:page;" coordorigin="4611,76" coordsize="947,210" o:gfxdata="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">
                <o:lock v:ext="edit" aspectratio="f"/>
                <v:shape id="Picture 22" o:spid="_x0000_s1026" o:spt="75" type="#_x0000_t75" style="position:absolute;left:4611;top:76;height:210;width:631;" filled="f" o:preferrelative="t" stroked="f" coordsize="21600,21600" o:gfxdata="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L9Ky5AAAA2wAA&#10;AA8AAAAAAAAAAQAgAAAAIgAAAGRycy9kb3ducmV2LnhtbFBLAQIUABQAAAAIAIdO4kAzLwWeOwAA&#10;ADkAAAAQAAAAAAAAAAEAIAAAAAgBAABkcnMvc2hhcGV4bWwueG1sUEsFBgAAAAAGAAYAWwEAALID&#10;AAAAAA==&#10;">
                  <v:fill on="f" focussize="0,0"/>
                  <v:stroke on="f"/>
                  <v:imagedata r:id="rId35" o:title=""/>
                  <o:lock v:ext="edit" aspectratio="t"/>
                </v:shape>
                <v:shape id="Picture 23" o:spid="_x0000_s1026" o:spt="75" type="#_x0000_t75" style="position:absolute;left:5136;top:76;height:210;width:421;" filled="f" o:preferrelative="t" stroked="f" coordsize="21600,21600" o:gfxdata="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YhZhugAAANsA&#10;AAAPAAAAAAAAAAEAIAAAACIAAABkcnMvZG93bnJldi54bWxQSwECFAAUAAAACACHTuJAMy8FnjsA&#10;AAA5AAAAEAAAAAAAAAABACAAAAAJAQAAZHJzL3NoYXBleG1sLnhtbFBLBQYAAAAABgAGAFsBAACz&#10;AwAAAAA=&#10;">
                  <v:fill on="f" focussize="0,0"/>
                  <v:stroke on="f"/>
                  <v:imagedata r:id="rId36" o:title=""/>
                  <o:lock v:ext="edit" aspectratio="t"/>
                </v:shape>
              </v:group>
            </w:pict>
          </mc:Fallback>
        </mc:AlternateContent>
      </w:r>
      <w:r>
        <w:rPr>
          <w:u w:val="single"/>
        </w:rPr>
        <w:t xml:space="preserve">      </w:t>
      </w:r>
      <w:r>
        <w:rPr>
          <w:u w:val="single"/>
        </w:rPr>
        <w:tab/>
      </w:r>
      <w:r>
        <w:rPr>
          <w:u w:val="single"/>
        </w:rPr>
        <w:t xml:space="preserve">                   </w:t>
      </w:r>
      <w:r>
        <w:rPr>
          <w:u w:val="single"/>
        </w:rPr>
        <w:tab/>
      </w:r>
      <w:r>
        <w:rPr>
          <w:u w:val="single"/>
        </w:rPr>
        <w:t xml:space="preserve"> </w:t>
      </w:r>
      <w:r>
        <w:rPr>
          <w:u w:val="single"/>
        </w:rPr>
        <w:tab/>
      </w:r>
      <w:r>
        <w:t xml:space="preserve">。 </w:t>
      </w:r>
    </w:p>
    <w:p w14:paraId="7B147879">
      <w:pPr>
        <w:pStyle w:val="17"/>
        <w:spacing w:before="7"/>
      </w:pPr>
    </w:p>
    <w:p w14:paraId="06C9F09E">
      <w:pPr>
        <w:pStyle w:val="3"/>
        <w:numPr>
          <w:ilvl w:val="0"/>
          <w:numId w:val="5"/>
        </w:numPr>
        <w:tabs>
          <w:tab w:val="left" w:pos="402"/>
        </w:tabs>
        <w:spacing w:before="3"/>
        <w:ind w:left="401" w:hanging="241"/>
        <w:jc w:val="left"/>
      </w:pPr>
      <w:r>
        <w:rPr>
          <w:spacing w:val="11"/>
        </w:rPr>
        <w:t>工程质量</w:t>
      </w:r>
      <w:r>
        <w:rPr>
          <w:spacing w:val="11"/>
          <w:w w:val="167"/>
        </w:rPr>
        <w:t xml:space="preserve"> </w:t>
      </w:r>
    </w:p>
    <w:p w14:paraId="331CD472">
      <w:pPr>
        <w:pStyle w:val="17"/>
        <w:spacing w:before="4"/>
        <w:rPr>
          <w:rFonts w:ascii="微软雅黑"/>
          <w:b/>
          <w:sz w:val="13"/>
        </w:rPr>
      </w:pPr>
    </w:p>
    <w:p w14:paraId="0D65F875">
      <w:pPr>
        <w:pStyle w:val="317"/>
        <w:numPr>
          <w:ilvl w:val="1"/>
          <w:numId w:val="5"/>
        </w:numPr>
        <w:tabs>
          <w:tab w:val="left" w:pos="942"/>
        </w:tabs>
        <w:ind w:left="942" w:hanging="361"/>
        <w:rPr>
          <w:rFonts w:ascii="微软雅黑" w:eastAsia="微软雅黑"/>
          <w:b/>
          <w:sz w:val="21"/>
        </w:rPr>
      </w:pPr>
      <w:r>
        <w:rPr>
          <w:rFonts w:hint="eastAsia" w:ascii="微软雅黑" w:eastAsia="微软雅黑"/>
          <w:b/>
          <w:spacing w:val="7"/>
          <w:sz w:val="21"/>
        </w:rPr>
        <w:t>质量要求</w:t>
      </w:r>
      <w:r>
        <w:rPr>
          <w:rFonts w:hint="eastAsia" w:ascii="微软雅黑" w:eastAsia="微软雅黑"/>
          <w:b/>
          <w:spacing w:val="7"/>
          <w:w w:val="167"/>
          <w:sz w:val="21"/>
        </w:rPr>
        <w:t xml:space="preserve"> </w:t>
      </w:r>
    </w:p>
    <w:p w14:paraId="2FE88359">
      <w:pPr>
        <w:pStyle w:val="17"/>
        <w:spacing w:before="146"/>
        <w:ind w:left="581"/>
      </w:pPr>
      <w:r>
        <w:rPr>
          <w:u w:val="single"/>
        </w:rPr>
        <w:t>工程质量符合国家有关施工质量验收规范和标准要求，达到合格标准</w:t>
      </w:r>
      <w:r>
        <w:t xml:space="preserve">。 </w:t>
      </w:r>
    </w:p>
    <w:p w14:paraId="2695820E">
      <w:pPr>
        <w:pStyle w:val="17"/>
        <w:rPr>
          <w:sz w:val="11"/>
        </w:rPr>
      </w:pPr>
    </w:p>
    <w:p w14:paraId="56E09F9D">
      <w:pPr>
        <w:pStyle w:val="317"/>
        <w:numPr>
          <w:ilvl w:val="1"/>
          <w:numId w:val="5"/>
        </w:numPr>
        <w:tabs>
          <w:tab w:val="left" w:pos="942"/>
        </w:tabs>
        <w:spacing w:before="3" w:line="328" w:lineRule="auto"/>
        <w:ind w:left="581" w:right="8333" w:firstLine="0"/>
        <w:rPr>
          <w:sz w:val="21"/>
        </w:rPr>
      </w:pPr>
      <w:r>
        <w:rPr>
          <w:rFonts w:hint="eastAsia" w:ascii="微软雅黑" w:eastAsia="微软雅黑"/>
          <w:b/>
          <w:spacing w:val="11"/>
          <w:sz w:val="21"/>
        </w:rPr>
        <w:t xml:space="preserve">质量保证措施 </w:t>
      </w:r>
      <w:r>
        <w:rPr>
          <w:sz w:val="21"/>
        </w:rPr>
        <w:t>本</w:t>
      </w:r>
      <w:r>
        <w:rPr>
          <w:spacing w:val="-12"/>
          <w:sz w:val="21"/>
        </w:rPr>
        <w:t xml:space="preserve">款补充 </w:t>
      </w:r>
      <w:r>
        <w:rPr>
          <w:sz w:val="21"/>
        </w:rPr>
        <w:t>5.2.4</w:t>
      </w:r>
      <w:r>
        <w:rPr>
          <w:spacing w:val="-15"/>
          <w:sz w:val="21"/>
        </w:rPr>
        <w:t xml:space="preserve"> 项： </w:t>
      </w:r>
    </w:p>
    <w:p w14:paraId="7E14200B">
      <w:pPr>
        <w:pStyle w:val="17"/>
        <w:spacing w:before="99"/>
        <w:ind w:left="581"/>
      </w:pPr>
      <w:r>
        <w:t xml:space="preserve">5.2.4 在工程建设中，参建各方应严格执行以下规定（包括但不限于）： </w:t>
      </w:r>
    </w:p>
    <w:p w14:paraId="5F5DC558">
      <w:pPr>
        <w:pStyle w:val="17"/>
        <w:spacing w:before="4"/>
        <w:rPr>
          <w:sz w:val="15"/>
        </w:rPr>
      </w:pPr>
    </w:p>
    <w:p w14:paraId="7F8C7F56">
      <w:pPr>
        <w:pStyle w:val="317"/>
        <w:numPr>
          <w:ilvl w:val="0"/>
          <w:numId w:val="21"/>
        </w:numPr>
        <w:tabs>
          <w:tab w:val="left" w:pos="1109"/>
        </w:tabs>
        <w:ind w:hanging="528"/>
        <w:rPr>
          <w:sz w:val="21"/>
        </w:rPr>
      </w:pPr>
      <w:r>
        <w:rPr>
          <w:sz w:val="21"/>
          <w:u w:val="single"/>
        </w:rPr>
        <w:t>《建筑工程施工质量验收统一标准》（GB50300-2013）</w:t>
      </w:r>
      <w:r>
        <w:rPr>
          <w:sz w:val="21"/>
        </w:rPr>
        <w:t xml:space="preserve">； </w:t>
      </w:r>
    </w:p>
    <w:p w14:paraId="4B4EA83A">
      <w:pPr>
        <w:pStyle w:val="17"/>
        <w:spacing w:before="11"/>
        <w:rPr>
          <w:sz w:val="9"/>
        </w:rPr>
      </w:pPr>
    </w:p>
    <w:p w14:paraId="1EA844F7">
      <w:pPr>
        <w:pStyle w:val="317"/>
        <w:numPr>
          <w:ilvl w:val="0"/>
          <w:numId w:val="21"/>
        </w:numPr>
        <w:tabs>
          <w:tab w:val="left" w:pos="1109"/>
        </w:tabs>
        <w:spacing w:before="70"/>
        <w:ind w:hanging="528"/>
        <w:rPr>
          <w:sz w:val="21"/>
        </w:rPr>
      </w:pPr>
      <w:r>
        <w:rPr>
          <w:sz w:val="21"/>
          <w:u w:val="single"/>
        </w:rPr>
        <w:t>《住房城乡建设部关于印发工程质量安全提升行动方案的通知》（</w:t>
      </w:r>
      <w:r>
        <w:rPr>
          <w:spacing w:val="-3"/>
          <w:sz w:val="21"/>
          <w:u w:val="single"/>
        </w:rPr>
        <w:t>建质〔</w:t>
      </w:r>
      <w:r>
        <w:rPr>
          <w:sz w:val="21"/>
          <w:u w:val="single"/>
        </w:rPr>
        <w:t>2017〕57</w:t>
      </w:r>
      <w:r>
        <w:rPr>
          <w:spacing w:val="-23"/>
          <w:sz w:val="21"/>
          <w:u w:val="single"/>
        </w:rPr>
        <w:t xml:space="preserve"> 号</w:t>
      </w:r>
      <w:r>
        <w:rPr>
          <w:sz w:val="21"/>
          <w:u w:val="single"/>
        </w:rPr>
        <w:t>）</w:t>
      </w:r>
      <w:r>
        <w:rPr>
          <w:sz w:val="21"/>
        </w:rPr>
        <w:t xml:space="preserve">； </w:t>
      </w:r>
    </w:p>
    <w:p w14:paraId="2BE23728">
      <w:pPr>
        <w:pStyle w:val="17"/>
        <w:rPr>
          <w:sz w:val="11"/>
        </w:rPr>
      </w:pPr>
    </w:p>
    <w:p w14:paraId="5FEDB682">
      <w:pPr>
        <w:pStyle w:val="317"/>
        <w:numPr>
          <w:ilvl w:val="0"/>
          <w:numId w:val="21"/>
        </w:numPr>
        <w:tabs>
          <w:tab w:val="left" w:pos="1109"/>
        </w:tabs>
        <w:spacing w:before="71"/>
        <w:ind w:hanging="528"/>
        <w:rPr>
          <w:sz w:val="21"/>
        </w:rPr>
      </w:pPr>
      <w:r>
        <w:rPr>
          <w:sz w:val="21"/>
          <w:u w:val="single"/>
        </w:rPr>
        <w:t>《房屋建筑和市政基础设施工程竣工验收规定》（</w:t>
      </w:r>
      <w:r>
        <w:rPr>
          <w:spacing w:val="-2"/>
          <w:sz w:val="21"/>
          <w:u w:val="single"/>
        </w:rPr>
        <w:t>建质〔</w:t>
      </w:r>
      <w:r>
        <w:rPr>
          <w:sz w:val="21"/>
          <w:u w:val="single"/>
        </w:rPr>
        <w:t>2013〕171</w:t>
      </w:r>
      <w:r>
        <w:rPr>
          <w:spacing w:val="-23"/>
          <w:sz w:val="21"/>
          <w:u w:val="single"/>
        </w:rPr>
        <w:t xml:space="preserve"> 号</w:t>
      </w:r>
      <w:r>
        <w:rPr>
          <w:sz w:val="21"/>
          <w:u w:val="single"/>
        </w:rPr>
        <w:t>）</w:t>
      </w:r>
      <w:r>
        <w:rPr>
          <w:sz w:val="21"/>
        </w:rPr>
        <w:t xml:space="preserve">； </w:t>
      </w:r>
    </w:p>
    <w:p w14:paraId="42E397A9">
      <w:pPr>
        <w:pStyle w:val="17"/>
        <w:spacing w:before="10"/>
        <w:rPr>
          <w:sz w:val="9"/>
        </w:rPr>
      </w:pPr>
    </w:p>
    <w:p w14:paraId="288D86EF">
      <w:pPr>
        <w:pStyle w:val="317"/>
        <w:numPr>
          <w:ilvl w:val="0"/>
          <w:numId w:val="21"/>
        </w:numPr>
        <w:tabs>
          <w:tab w:val="left" w:pos="1109"/>
        </w:tabs>
        <w:spacing w:before="71"/>
        <w:ind w:hanging="528"/>
        <w:rPr>
          <w:sz w:val="21"/>
        </w:rPr>
      </w:pPr>
      <w:r>
        <w:rPr>
          <w:sz w:val="21"/>
        </w:rPr>
        <w:t>《</w:t>
      </w:r>
      <w:r>
        <w:rPr>
          <w:spacing w:val="-3"/>
          <w:sz w:val="21"/>
          <w:u w:val="single"/>
        </w:rPr>
        <w:t>建设部关于贯彻执行建筑工程勘察设计及施工质量验收规范若干问题的通知》</w:t>
      </w:r>
      <w:r>
        <w:rPr>
          <w:sz w:val="21"/>
          <w:u w:val="single"/>
        </w:rPr>
        <w:t>（</w:t>
      </w:r>
      <w:r>
        <w:rPr>
          <w:spacing w:val="-18"/>
          <w:sz w:val="21"/>
          <w:u w:val="single"/>
        </w:rPr>
        <w:t>建标〔</w:t>
      </w:r>
      <w:r>
        <w:rPr>
          <w:sz w:val="21"/>
          <w:u w:val="single"/>
        </w:rPr>
        <w:t>2002〕</w:t>
      </w:r>
    </w:p>
    <w:p w14:paraId="1A0DE6AC">
      <w:pPr>
        <w:pStyle w:val="17"/>
        <w:spacing w:before="10"/>
        <w:rPr>
          <w:sz w:val="9"/>
        </w:rPr>
      </w:pPr>
    </w:p>
    <w:p w14:paraId="512BAAA7">
      <w:pPr>
        <w:pStyle w:val="17"/>
        <w:spacing w:before="70"/>
        <w:ind w:left="161"/>
      </w:pPr>
      <w:r>
        <w:rPr>
          <w:u w:val="single"/>
        </w:rPr>
        <w:t>212 号）</w:t>
      </w:r>
      <w:r>
        <w:t xml:space="preserve">； </w:t>
      </w:r>
    </w:p>
    <w:p w14:paraId="154BFE52">
      <w:pPr>
        <w:pStyle w:val="17"/>
        <w:spacing w:before="11"/>
        <w:rPr>
          <w:sz w:val="9"/>
        </w:rPr>
      </w:pPr>
    </w:p>
    <w:p w14:paraId="58226550">
      <w:pPr>
        <w:pStyle w:val="317"/>
        <w:numPr>
          <w:ilvl w:val="0"/>
          <w:numId w:val="21"/>
        </w:numPr>
        <w:tabs>
          <w:tab w:val="left" w:pos="1109"/>
        </w:tabs>
        <w:spacing w:before="71"/>
        <w:ind w:hanging="528"/>
        <w:rPr>
          <w:sz w:val="21"/>
        </w:rPr>
      </w:pPr>
      <w:r>
        <w:rPr>
          <w:spacing w:val="-1"/>
          <w:sz w:val="21"/>
          <w:u w:val="single"/>
        </w:rPr>
        <w:t>《重庆市住房和城乡建设委员会关于印发&lt;重庆市房屋建筑和市政基础设施工程质量常见问题</w:t>
      </w:r>
    </w:p>
    <w:p w14:paraId="768D5133">
      <w:pPr>
        <w:pStyle w:val="17"/>
        <w:spacing w:before="10"/>
        <w:rPr>
          <w:sz w:val="9"/>
        </w:rPr>
      </w:pPr>
    </w:p>
    <w:p w14:paraId="0EACB3F8">
      <w:pPr>
        <w:pStyle w:val="17"/>
        <w:spacing w:before="71"/>
        <w:ind w:left="161"/>
      </w:pPr>
      <w:r>
        <w:rPr>
          <w:u w:val="single"/>
        </w:rPr>
        <w:t>防治要点（2019 年版）&gt;的通知》（渝建〔2019〕198 号）</w:t>
      </w:r>
      <w:r>
        <w:t xml:space="preserve">； </w:t>
      </w:r>
    </w:p>
    <w:p w14:paraId="7DAA9634">
      <w:pPr>
        <w:pStyle w:val="17"/>
        <w:spacing w:before="12"/>
        <w:rPr>
          <w:sz w:val="10"/>
        </w:rPr>
      </w:pPr>
    </w:p>
    <w:p w14:paraId="595704F0">
      <w:pPr>
        <w:pStyle w:val="317"/>
        <w:numPr>
          <w:ilvl w:val="0"/>
          <w:numId w:val="21"/>
        </w:numPr>
        <w:tabs>
          <w:tab w:val="left" w:pos="1109"/>
        </w:tabs>
        <w:spacing w:before="71"/>
        <w:ind w:hanging="528"/>
        <w:rPr>
          <w:sz w:val="21"/>
        </w:rPr>
      </w:pPr>
      <w:r>
        <w:rPr>
          <w:sz w:val="21"/>
        </w:rPr>
        <w:t>《</w:t>
      </w:r>
      <w:r>
        <w:rPr>
          <w:spacing w:val="-1"/>
          <w:sz w:val="21"/>
          <w:u w:val="single"/>
        </w:rPr>
        <w:t>关于印发&lt;重庆市房屋建筑和市政基础设施工程预拌商品砂浆应用推进工作方案&gt;的通知</w:t>
      </w:r>
      <w:r>
        <w:rPr>
          <w:spacing w:val="-150"/>
          <w:sz w:val="21"/>
          <w:u w:val="single"/>
        </w:rPr>
        <w:t>》</w:t>
      </w:r>
      <w:r>
        <w:rPr>
          <w:sz w:val="21"/>
          <w:u w:val="single"/>
        </w:rPr>
        <w:t>（渝</w:t>
      </w:r>
    </w:p>
    <w:p w14:paraId="3E8B986A">
      <w:pPr>
        <w:pStyle w:val="17"/>
        <w:spacing w:before="11"/>
        <w:rPr>
          <w:sz w:val="9"/>
        </w:rPr>
      </w:pPr>
    </w:p>
    <w:p w14:paraId="33282C50">
      <w:pPr>
        <w:pStyle w:val="17"/>
        <w:spacing w:before="70"/>
        <w:ind w:left="161"/>
      </w:pPr>
      <w:r>
        <w:rPr>
          <w:u w:val="single"/>
        </w:rPr>
        <w:t>建〔2018〕375 号）</w:t>
      </w:r>
      <w:r>
        <w:t xml:space="preserve">； </w:t>
      </w:r>
    </w:p>
    <w:p w14:paraId="5BCA94B9">
      <w:pPr>
        <w:pStyle w:val="17"/>
        <w:spacing w:before="11"/>
        <w:rPr>
          <w:sz w:val="9"/>
        </w:rPr>
      </w:pPr>
    </w:p>
    <w:p w14:paraId="02A5BED7">
      <w:pPr>
        <w:pStyle w:val="317"/>
        <w:numPr>
          <w:ilvl w:val="0"/>
          <w:numId w:val="21"/>
        </w:numPr>
        <w:tabs>
          <w:tab w:val="left" w:pos="1109"/>
        </w:tabs>
        <w:spacing w:before="70"/>
        <w:ind w:hanging="528"/>
        <w:rPr>
          <w:sz w:val="21"/>
        </w:rPr>
      </w:pPr>
      <w:r>
        <w:rPr>
          <w:sz w:val="21"/>
        </w:rPr>
        <w:t>《</w:t>
      </w:r>
      <w:r>
        <w:rPr>
          <w:spacing w:val="-4"/>
          <w:sz w:val="21"/>
          <w:u w:val="single"/>
        </w:rPr>
        <w:t xml:space="preserve">重庆市城乡建设委员会关于印发 </w:t>
      </w:r>
      <w:r>
        <w:rPr>
          <w:sz w:val="21"/>
          <w:u w:val="single"/>
        </w:rPr>
        <w:t>2018</w:t>
      </w:r>
      <w:r>
        <w:rPr>
          <w:spacing w:val="-12"/>
          <w:sz w:val="21"/>
          <w:u w:val="single"/>
        </w:rPr>
        <w:t xml:space="preserve"> 年房屋建筑和市政基础设施工程质量要点的通知》</w:t>
      </w:r>
      <w:r>
        <w:rPr>
          <w:sz w:val="21"/>
          <w:u w:val="single"/>
        </w:rPr>
        <w:t>（渝</w:t>
      </w:r>
    </w:p>
    <w:p w14:paraId="4EA87BF9">
      <w:pPr>
        <w:pStyle w:val="17"/>
        <w:spacing w:before="10"/>
        <w:rPr>
          <w:sz w:val="9"/>
        </w:rPr>
      </w:pPr>
    </w:p>
    <w:p w14:paraId="673C9EB0">
      <w:pPr>
        <w:pStyle w:val="17"/>
        <w:spacing w:before="71"/>
        <w:ind w:left="161"/>
      </w:pPr>
      <w:r>
        <w:rPr>
          <w:u w:val="single"/>
        </w:rPr>
        <w:t>建〔2018〕94 号）</w:t>
      </w:r>
      <w:r>
        <w:t xml:space="preserve">； </w:t>
      </w:r>
    </w:p>
    <w:p w14:paraId="2583E619">
      <w:pPr>
        <w:pStyle w:val="17"/>
        <w:spacing w:before="10"/>
        <w:rPr>
          <w:sz w:val="9"/>
        </w:rPr>
      </w:pPr>
    </w:p>
    <w:p w14:paraId="13C0FB96">
      <w:pPr>
        <w:pStyle w:val="317"/>
        <w:numPr>
          <w:ilvl w:val="0"/>
          <w:numId w:val="21"/>
        </w:numPr>
        <w:tabs>
          <w:tab w:val="left" w:pos="1109"/>
        </w:tabs>
        <w:spacing w:before="71"/>
        <w:ind w:hanging="528"/>
        <w:rPr>
          <w:sz w:val="21"/>
        </w:rPr>
      </w:pPr>
      <w:r>
        <w:rPr>
          <w:spacing w:val="-1"/>
          <w:sz w:val="21"/>
          <w:u w:val="single"/>
        </w:rPr>
        <w:t>《重庆市城乡建设委员会关于进一步推广应用预拌商品砂浆的通知》</w:t>
      </w:r>
      <w:r>
        <w:rPr>
          <w:sz w:val="21"/>
          <w:u w:val="single"/>
        </w:rPr>
        <w:t>（</w:t>
      </w:r>
      <w:r>
        <w:rPr>
          <w:spacing w:val="-8"/>
          <w:sz w:val="21"/>
          <w:u w:val="single"/>
        </w:rPr>
        <w:t>渝建〔</w:t>
      </w:r>
      <w:r>
        <w:rPr>
          <w:sz w:val="21"/>
          <w:u w:val="single"/>
        </w:rPr>
        <w:t>201</w:t>
      </w:r>
      <w:r>
        <w:rPr>
          <w:spacing w:val="-15"/>
          <w:sz w:val="21"/>
          <w:u w:val="single"/>
        </w:rPr>
        <w:t>6〕</w:t>
      </w:r>
      <w:r>
        <w:rPr>
          <w:sz w:val="21"/>
          <w:u w:val="single"/>
        </w:rPr>
        <w:t>318</w:t>
      </w:r>
      <w:r>
        <w:rPr>
          <w:spacing w:val="-30"/>
          <w:sz w:val="21"/>
          <w:u w:val="single"/>
        </w:rPr>
        <w:t xml:space="preserve"> 号</w:t>
      </w:r>
      <w:r>
        <w:rPr>
          <w:spacing w:val="-15"/>
          <w:sz w:val="21"/>
          <w:u w:val="single"/>
        </w:rPr>
        <w:t>）</w:t>
      </w:r>
      <w:r>
        <w:rPr>
          <w:spacing w:val="-120"/>
          <w:sz w:val="21"/>
        </w:rPr>
        <w:t>；</w:t>
      </w:r>
      <w:r>
        <w:rPr>
          <w:sz w:val="21"/>
        </w:rPr>
        <w:t xml:space="preserve"> </w:t>
      </w:r>
    </w:p>
    <w:p w14:paraId="48B0BC3A">
      <w:pPr>
        <w:pStyle w:val="17"/>
        <w:rPr>
          <w:sz w:val="11"/>
        </w:rPr>
      </w:pPr>
    </w:p>
    <w:p w14:paraId="4CD9DBAE">
      <w:pPr>
        <w:pStyle w:val="317"/>
        <w:numPr>
          <w:ilvl w:val="0"/>
          <w:numId w:val="21"/>
        </w:numPr>
        <w:tabs>
          <w:tab w:val="left" w:pos="1109"/>
        </w:tabs>
        <w:spacing w:before="70"/>
        <w:ind w:hanging="528"/>
        <w:rPr>
          <w:sz w:val="21"/>
        </w:rPr>
      </w:pPr>
      <w:r>
        <w:rPr>
          <w:spacing w:val="-1"/>
          <w:sz w:val="21"/>
          <w:u w:val="single"/>
        </w:rPr>
        <w:t>《重庆市建设委员会关于发布&lt;建筑工程施工质量验收规范用表</w:t>
      </w:r>
      <w:r>
        <w:rPr>
          <w:sz w:val="21"/>
          <w:u w:val="single"/>
        </w:rPr>
        <w:t>（建筑节能分部工程</w:t>
      </w:r>
      <w:r>
        <w:rPr>
          <w:spacing w:val="-3"/>
          <w:sz w:val="21"/>
          <w:u w:val="single"/>
        </w:rPr>
        <w:t>）</w:t>
      </w:r>
      <w:r>
        <w:rPr>
          <w:spacing w:val="-2"/>
          <w:sz w:val="21"/>
          <w:u w:val="single"/>
        </w:rPr>
        <w:t>&gt;和&lt;建</w:t>
      </w:r>
    </w:p>
    <w:p w14:paraId="67D18314">
      <w:pPr>
        <w:pStyle w:val="17"/>
        <w:spacing w:before="11"/>
        <w:rPr>
          <w:sz w:val="9"/>
        </w:rPr>
      </w:pPr>
    </w:p>
    <w:p w14:paraId="4965B08D">
      <w:pPr>
        <w:pStyle w:val="17"/>
        <w:spacing w:before="71"/>
        <w:ind w:left="161"/>
      </w:pPr>
      <w:r>
        <w:rPr>
          <w:u w:val="single"/>
        </w:rPr>
        <w:t>设工程技术用表（建筑节能工程）&gt;的通知》（渝建发〔2008〕76 号）</w:t>
      </w:r>
      <w:r>
        <w:t xml:space="preserve">； </w:t>
      </w:r>
    </w:p>
    <w:p w14:paraId="56176DA8">
      <w:pPr>
        <w:pStyle w:val="17"/>
        <w:spacing w:before="10"/>
        <w:rPr>
          <w:sz w:val="9"/>
        </w:rPr>
      </w:pPr>
    </w:p>
    <w:p w14:paraId="45F3977C">
      <w:pPr>
        <w:pStyle w:val="317"/>
        <w:numPr>
          <w:ilvl w:val="0"/>
          <w:numId w:val="21"/>
        </w:numPr>
        <w:tabs>
          <w:tab w:val="left" w:pos="1214"/>
        </w:tabs>
        <w:spacing w:before="71"/>
        <w:ind w:left="1213" w:hanging="633"/>
        <w:rPr>
          <w:sz w:val="21"/>
        </w:rPr>
      </w:pPr>
      <w:r>
        <w:rPr>
          <w:spacing w:val="-1"/>
          <w:sz w:val="21"/>
          <w:u w:val="single"/>
        </w:rPr>
        <w:t>国家和本市现行有关建设工程质量验收标准、规范和要求</w:t>
      </w:r>
      <w:r>
        <w:rPr>
          <w:sz w:val="21"/>
        </w:rPr>
        <w:t xml:space="preserve">； </w:t>
      </w:r>
    </w:p>
    <w:p w14:paraId="70C080AD">
      <w:pPr>
        <w:pStyle w:val="17"/>
        <w:spacing w:before="10"/>
        <w:rPr>
          <w:sz w:val="9"/>
        </w:rPr>
      </w:pPr>
    </w:p>
    <w:p w14:paraId="48E98D84">
      <w:pPr>
        <w:pStyle w:val="17"/>
        <w:spacing w:before="70"/>
        <w:ind w:left="581"/>
      </w:pPr>
      <w:r>
        <w:t>（11）</w:t>
      </w:r>
      <w:r>
        <w:rPr>
          <w:u w:val="single"/>
        </w:rPr>
        <w:t xml:space="preserve"> </w:t>
      </w:r>
      <w:r>
        <w:t xml:space="preserve">。 </w:t>
      </w:r>
    </w:p>
    <w:p w14:paraId="7C164121">
      <w:pPr>
        <w:pStyle w:val="17"/>
        <w:spacing w:before="11"/>
        <w:rPr>
          <w:sz w:val="9"/>
        </w:rPr>
      </w:pPr>
    </w:p>
    <w:p w14:paraId="7D2981B9">
      <w:pPr>
        <w:pStyle w:val="17"/>
        <w:spacing w:before="71" w:line="429" w:lineRule="auto"/>
        <w:ind w:left="161" w:right="1294" w:firstLine="420"/>
      </w:pPr>
      <w:r>
        <w:t xml:space="preserve">承包人、监理人和发包人在工程建设中，应严格执行国家及重庆市现行标准，如上述标准及规范要求有出入则以较严格者为准。 </w:t>
      </w:r>
    </w:p>
    <w:p w14:paraId="068C5AFC">
      <w:pPr>
        <w:pStyle w:val="3"/>
        <w:numPr>
          <w:ilvl w:val="1"/>
          <w:numId w:val="5"/>
        </w:numPr>
        <w:tabs>
          <w:tab w:val="left" w:pos="1003"/>
        </w:tabs>
        <w:spacing w:line="303" w:lineRule="exact"/>
        <w:ind w:left="1002" w:hanging="422"/>
      </w:pPr>
      <w:r>
        <w:t>隐蔽工程检查</w:t>
      </w:r>
      <w:r>
        <w:rPr>
          <w:w w:val="167"/>
        </w:rPr>
        <w:t xml:space="preserve"> </w:t>
      </w:r>
    </w:p>
    <w:p w14:paraId="78A8D157">
      <w:pPr>
        <w:pStyle w:val="17"/>
        <w:spacing w:before="145"/>
        <w:ind w:left="581"/>
      </w:pPr>
      <w:r>
        <w:t xml:space="preserve">5.3.2 检查程序 </w:t>
      </w:r>
    </w:p>
    <w:p w14:paraId="7DEF15B5">
      <w:pPr>
        <w:pStyle w:val="17"/>
        <w:spacing w:before="4"/>
        <w:rPr>
          <w:sz w:val="15"/>
        </w:rPr>
      </w:pPr>
    </w:p>
    <w:p w14:paraId="7FFFF8E2">
      <w:pPr>
        <w:pStyle w:val="17"/>
        <w:ind w:left="581"/>
      </w:pPr>
      <w:r>
        <w:t>工程隐蔽部位经承包人自检确认具备覆盖条件的，承包人应在共同检查前</w:t>
      </w:r>
      <w:r>
        <w:rPr>
          <w:u w:val="single"/>
        </w:rPr>
        <w:t xml:space="preserve"> </w:t>
      </w:r>
      <w:r>
        <w:t>小时书面通知监理人</w:t>
      </w:r>
    </w:p>
    <w:p w14:paraId="6F313258">
      <w:pPr>
        <w:pStyle w:val="17"/>
        <w:spacing w:before="10"/>
        <w:rPr>
          <w:sz w:val="9"/>
        </w:rPr>
      </w:pPr>
    </w:p>
    <w:p w14:paraId="68F38451">
      <w:pPr>
        <w:pStyle w:val="17"/>
        <w:spacing w:before="71"/>
        <w:ind w:left="161"/>
      </w:pPr>
      <w:r>
        <w:t xml:space="preserve">检查，通知中应载明隐蔽检查的内容、时间和地点，并应附有自检记录和必要的检查资料。 </w:t>
      </w:r>
    </w:p>
    <w:p w14:paraId="2C861365">
      <w:pPr>
        <w:sectPr>
          <w:pgSz w:w="11910" w:h="16850"/>
          <w:pgMar w:top="1440" w:right="1080" w:bottom="1440" w:left="1080" w:header="0" w:footer="996" w:gutter="0"/>
          <w:cols w:space="720" w:num="1"/>
        </w:sectPr>
      </w:pPr>
    </w:p>
    <w:p w14:paraId="0FB07972">
      <w:pPr>
        <w:pStyle w:val="3"/>
        <w:numPr>
          <w:ilvl w:val="1"/>
          <w:numId w:val="5"/>
        </w:numPr>
        <w:tabs>
          <w:tab w:val="left" w:pos="1107"/>
        </w:tabs>
        <w:spacing w:line="367" w:lineRule="exact"/>
        <w:ind w:left="1107" w:hanging="361"/>
      </w:pPr>
      <w:r>
        <w:rPr>
          <w:spacing w:val="4"/>
        </w:rPr>
        <w:t>不合格工程的处理</w:t>
      </w:r>
      <w:r>
        <w:rPr>
          <w:spacing w:val="4"/>
          <w:w w:val="167"/>
        </w:rPr>
        <w:t xml:space="preserve"> </w:t>
      </w:r>
    </w:p>
    <w:p w14:paraId="3B7A5588">
      <w:pPr>
        <w:pStyle w:val="17"/>
        <w:spacing w:before="145"/>
        <w:ind w:left="746"/>
      </w:pPr>
      <w:r>
        <w:t xml:space="preserve">本款补充 5.4.3 项： </w:t>
      </w:r>
    </w:p>
    <w:p w14:paraId="2C00C86D">
      <w:pPr>
        <w:pStyle w:val="17"/>
        <w:spacing w:before="4"/>
        <w:rPr>
          <w:sz w:val="15"/>
        </w:rPr>
      </w:pPr>
    </w:p>
    <w:p w14:paraId="124C5849">
      <w:pPr>
        <w:pStyle w:val="17"/>
        <w:spacing w:line="429" w:lineRule="auto"/>
        <w:ind w:left="326" w:right="1131" w:firstLine="420"/>
      </w:pPr>
      <w:r>
        <w:t xml:space="preserve">5.4.3 承包人在收到监理人发出的《不合格分项报告》或监理通知单后，必须在监理人规定时间内按要求完成整改，未能在限定时间内完成整改的，须承担相应违约责任。 </w:t>
      </w:r>
    </w:p>
    <w:p w14:paraId="6CEBC9EF">
      <w:pPr>
        <w:pStyle w:val="17"/>
        <w:spacing w:line="252" w:lineRule="exact"/>
        <w:ind w:left="746"/>
      </w:pPr>
      <w:r>
        <w:t xml:space="preserve">本条补充 5.6 款： </w:t>
      </w:r>
    </w:p>
    <w:p w14:paraId="021385D9">
      <w:pPr>
        <w:pStyle w:val="3"/>
        <w:numPr>
          <w:ilvl w:val="1"/>
          <w:numId w:val="22"/>
        </w:numPr>
        <w:tabs>
          <w:tab w:val="left" w:pos="1107"/>
        </w:tabs>
        <w:spacing w:before="129"/>
        <w:ind w:hanging="361"/>
      </w:pPr>
      <w:r>
        <w:rPr>
          <w:spacing w:val="5"/>
        </w:rPr>
        <w:t>质量事故的处理</w:t>
      </w:r>
      <w:r>
        <w:rPr>
          <w:spacing w:val="5"/>
          <w:w w:val="167"/>
        </w:rPr>
        <w:t xml:space="preserve"> </w:t>
      </w:r>
    </w:p>
    <w:p w14:paraId="47EE0207">
      <w:pPr>
        <w:pStyle w:val="317"/>
        <w:numPr>
          <w:ilvl w:val="2"/>
          <w:numId w:val="22"/>
        </w:numPr>
        <w:tabs>
          <w:tab w:val="left" w:pos="1273"/>
        </w:tabs>
        <w:spacing w:before="146"/>
        <w:ind w:hanging="527"/>
        <w:rPr>
          <w:sz w:val="21"/>
        </w:rPr>
      </w:pPr>
      <w:r>
        <w:rPr>
          <w:spacing w:val="-1"/>
          <w:sz w:val="21"/>
        </w:rPr>
        <w:t>合同履行过程中，发生工程质量事故的调查处理按照国家及重庆市现行规定处理。</w:t>
      </w:r>
      <w:r>
        <w:rPr>
          <w:sz w:val="21"/>
        </w:rPr>
        <w:t xml:space="preserve"> </w:t>
      </w:r>
    </w:p>
    <w:p w14:paraId="12D0D309">
      <w:pPr>
        <w:pStyle w:val="17"/>
        <w:spacing w:before="4"/>
        <w:rPr>
          <w:sz w:val="15"/>
        </w:rPr>
      </w:pPr>
    </w:p>
    <w:p w14:paraId="246721D8">
      <w:pPr>
        <w:pStyle w:val="317"/>
        <w:numPr>
          <w:ilvl w:val="2"/>
          <w:numId w:val="22"/>
        </w:numPr>
        <w:tabs>
          <w:tab w:val="left" w:pos="1273"/>
        </w:tabs>
        <w:spacing w:line="422" w:lineRule="auto"/>
        <w:ind w:left="326" w:right="1130" w:firstLine="420"/>
        <w:jc w:val="both"/>
        <w:rPr>
          <w:sz w:val="21"/>
        </w:rPr>
      </w:pPr>
      <w:r>
        <w:rPr>
          <w:sz w:val="21"/>
        </w:rPr>
        <w:t>发包人在对工程质量、安全和环境保护、水土保持等建设全过程管理中发现有技术、质量和其他问题的，可通过监理人责令承包人返工或整改；对存在的隐患，有权责令承包人予以解决，承包人</w:t>
      </w:r>
      <w:r>
        <w:rPr>
          <w:spacing w:val="-1"/>
          <w:sz w:val="21"/>
        </w:rPr>
        <w:t>按照合同中其他条款约定承担违约责任。</w:t>
      </w:r>
      <w:r>
        <w:rPr>
          <w:sz w:val="21"/>
        </w:rPr>
        <w:t xml:space="preserve"> </w:t>
      </w:r>
    </w:p>
    <w:p w14:paraId="3F786B7F">
      <w:pPr>
        <w:pStyle w:val="3"/>
        <w:numPr>
          <w:ilvl w:val="0"/>
          <w:numId w:val="5"/>
        </w:numPr>
        <w:tabs>
          <w:tab w:val="left" w:pos="567"/>
        </w:tabs>
        <w:spacing w:before="73"/>
        <w:ind w:hanging="241"/>
        <w:jc w:val="left"/>
      </w:pPr>
      <w:r>
        <w:rPr>
          <w:spacing w:val="3"/>
        </w:rPr>
        <w:t>安全文明施工与环境保护</w:t>
      </w:r>
      <w:r>
        <w:rPr>
          <w:spacing w:val="3"/>
          <w:w w:val="167"/>
        </w:rPr>
        <w:t xml:space="preserve"> </w:t>
      </w:r>
    </w:p>
    <w:p w14:paraId="1E2EC90A">
      <w:pPr>
        <w:pStyle w:val="17"/>
        <w:spacing w:before="4"/>
        <w:rPr>
          <w:rFonts w:ascii="微软雅黑"/>
          <w:b/>
          <w:sz w:val="13"/>
        </w:rPr>
      </w:pPr>
    </w:p>
    <w:p w14:paraId="5D75B78F">
      <w:pPr>
        <w:pStyle w:val="317"/>
        <w:numPr>
          <w:ilvl w:val="1"/>
          <w:numId w:val="5"/>
        </w:numPr>
        <w:tabs>
          <w:tab w:val="left" w:pos="1107"/>
        </w:tabs>
        <w:ind w:left="1107" w:hanging="361"/>
        <w:rPr>
          <w:rFonts w:ascii="微软雅黑" w:eastAsia="微软雅黑"/>
          <w:b/>
          <w:sz w:val="21"/>
        </w:rPr>
      </w:pPr>
      <w:r>
        <w:rPr>
          <w:rFonts w:hint="eastAsia" w:ascii="微软雅黑" w:eastAsia="微软雅黑"/>
          <w:b/>
          <w:spacing w:val="6"/>
          <w:sz w:val="21"/>
        </w:rPr>
        <w:t>安全文明施工</w:t>
      </w:r>
      <w:r>
        <w:rPr>
          <w:rFonts w:hint="eastAsia" w:ascii="微软雅黑" w:eastAsia="微软雅黑"/>
          <w:b/>
          <w:spacing w:val="6"/>
          <w:w w:val="167"/>
          <w:sz w:val="21"/>
        </w:rPr>
        <w:t xml:space="preserve"> </w:t>
      </w:r>
    </w:p>
    <w:p w14:paraId="7E940D3A">
      <w:pPr>
        <w:pStyle w:val="17"/>
        <w:spacing w:before="146" w:line="415" w:lineRule="auto"/>
        <w:ind w:left="326" w:right="1129" w:firstLine="420"/>
      </w:pPr>
      <w:r>
        <w:t xml:space="preserve">承包人必须认真贯彻执行国家安全生产法律、法规、规章和标准，按照重庆市现行的质量、安全文明施工有关规定和发包人安全管理的有关规定，建立完善的质量、安全、文明施工管理制度。 </w:t>
      </w:r>
    </w:p>
    <w:p w14:paraId="0DC7897F">
      <w:pPr>
        <w:pStyle w:val="17"/>
        <w:spacing w:before="15" w:line="415" w:lineRule="auto"/>
        <w:ind w:left="326" w:right="996" w:firstLine="420"/>
      </w:pPr>
      <w:r>
        <w:t>承包人的施工要做到节能、环保，如果通过采用新材料、新设备、新工艺、新技术的手段来提高工</w:t>
      </w:r>
      <w:r>
        <w:rPr>
          <w:spacing w:val="-6"/>
        </w:rPr>
        <w:t xml:space="preserve">程质量或节省工期，则必须保证新材料、新设备、新工艺、新技术是成熟的并获得相关部门正式批准的， </w:t>
      </w:r>
      <w:r>
        <w:rPr>
          <w:spacing w:val="-7"/>
        </w:rPr>
        <w:t>同时使用前承包人必须组织专家论证，并得到发包人、监理人的批准。</w:t>
      </w:r>
      <w:r>
        <w:t xml:space="preserve"> </w:t>
      </w:r>
    </w:p>
    <w:p w14:paraId="387F908C">
      <w:pPr>
        <w:pStyle w:val="317"/>
        <w:numPr>
          <w:ilvl w:val="2"/>
          <w:numId w:val="5"/>
        </w:numPr>
        <w:tabs>
          <w:tab w:val="left" w:pos="1273"/>
        </w:tabs>
        <w:spacing w:line="269" w:lineRule="exact"/>
        <w:ind w:left="1273" w:hanging="527"/>
        <w:jc w:val="left"/>
        <w:rPr>
          <w:sz w:val="21"/>
        </w:rPr>
      </w:pPr>
      <w:r>
        <w:rPr>
          <w:spacing w:val="-1"/>
          <w:sz w:val="21"/>
        </w:rPr>
        <w:t>项目安全生产的达标目标及相应事项的约定：</w:t>
      </w:r>
      <w:r>
        <w:rPr>
          <w:spacing w:val="-7"/>
          <w:sz w:val="21"/>
          <w:u w:val="single"/>
        </w:rPr>
        <w:t>达到《建筑施工安全检查标准》</w:t>
      </w:r>
      <w:r>
        <w:rPr>
          <w:sz w:val="21"/>
          <w:u w:val="single"/>
        </w:rPr>
        <w:t>（JGJ59-2011）</w:t>
      </w:r>
    </w:p>
    <w:p w14:paraId="0C0ACACD">
      <w:pPr>
        <w:pStyle w:val="17"/>
        <w:spacing w:before="10"/>
        <w:rPr>
          <w:sz w:val="9"/>
        </w:rPr>
      </w:pPr>
    </w:p>
    <w:p w14:paraId="5958AD1C">
      <w:pPr>
        <w:pStyle w:val="17"/>
        <w:spacing w:before="71"/>
        <w:ind w:left="326"/>
      </w:pPr>
      <w:r>
        <w:rPr>
          <w:u w:val="single"/>
        </w:rPr>
        <w:t>的要求</w:t>
      </w:r>
      <w:r>
        <w:t xml:space="preserve">。 </w:t>
      </w:r>
    </w:p>
    <w:p w14:paraId="558FE675">
      <w:pPr>
        <w:pStyle w:val="17"/>
        <w:spacing w:before="12"/>
        <w:rPr>
          <w:sz w:val="10"/>
        </w:rPr>
      </w:pPr>
    </w:p>
    <w:p w14:paraId="3DAD076C">
      <w:pPr>
        <w:pStyle w:val="317"/>
        <w:numPr>
          <w:ilvl w:val="0"/>
          <w:numId w:val="23"/>
        </w:numPr>
        <w:tabs>
          <w:tab w:val="left" w:pos="1274"/>
        </w:tabs>
        <w:spacing w:before="71"/>
        <w:ind w:hanging="528"/>
        <w:rPr>
          <w:sz w:val="21"/>
        </w:rPr>
      </w:pPr>
      <w:r>
        <w:rPr>
          <w:spacing w:val="-1"/>
          <w:sz w:val="21"/>
          <w:u w:val="single"/>
        </w:rPr>
        <w:t>按现行安全文明施工费计取及使用管理的政策文件规定及发包人制订的安全管理制度执行</w:t>
      </w:r>
      <w:r>
        <w:rPr>
          <w:sz w:val="21"/>
        </w:rPr>
        <w:t xml:space="preserve">。 </w:t>
      </w:r>
    </w:p>
    <w:p w14:paraId="595378DE">
      <w:pPr>
        <w:pStyle w:val="17"/>
        <w:spacing w:before="10"/>
        <w:rPr>
          <w:sz w:val="9"/>
        </w:rPr>
      </w:pPr>
    </w:p>
    <w:p w14:paraId="3EE8BD88">
      <w:pPr>
        <w:pStyle w:val="317"/>
        <w:numPr>
          <w:ilvl w:val="0"/>
          <w:numId w:val="23"/>
        </w:numPr>
        <w:tabs>
          <w:tab w:val="left" w:pos="1274"/>
        </w:tabs>
        <w:spacing w:before="71"/>
        <w:ind w:hanging="528"/>
        <w:rPr>
          <w:sz w:val="21"/>
        </w:rPr>
      </w:pPr>
      <w:r>
        <w:rPr>
          <w:spacing w:val="-1"/>
          <w:sz w:val="21"/>
          <w:u w:val="single"/>
        </w:rPr>
        <w:t>承包人的原因造成事故，由此产生的法律责任和事故责任及费用由承包人全部承担</w:t>
      </w:r>
      <w:r>
        <w:rPr>
          <w:sz w:val="21"/>
        </w:rPr>
        <w:t xml:space="preserve">。 </w:t>
      </w:r>
    </w:p>
    <w:p w14:paraId="741EBEED">
      <w:pPr>
        <w:pStyle w:val="17"/>
        <w:spacing w:before="11"/>
        <w:rPr>
          <w:sz w:val="9"/>
        </w:rPr>
      </w:pPr>
    </w:p>
    <w:p w14:paraId="43C2C2E7">
      <w:pPr>
        <w:pStyle w:val="317"/>
        <w:numPr>
          <w:ilvl w:val="0"/>
          <w:numId w:val="23"/>
        </w:numPr>
        <w:tabs>
          <w:tab w:val="left" w:pos="1274"/>
        </w:tabs>
        <w:spacing w:before="70"/>
        <w:ind w:hanging="528"/>
        <w:rPr>
          <w:sz w:val="21"/>
        </w:rPr>
      </w:pPr>
      <w:r>
        <w:rPr>
          <w:spacing w:val="-1"/>
          <w:sz w:val="21"/>
          <w:u w:val="single"/>
        </w:rPr>
        <w:t>承包人向发包人做出安全承诺，并签订《安全生产目标责任书》和《安全承诺书》</w:t>
      </w:r>
      <w:r>
        <w:rPr>
          <w:sz w:val="21"/>
        </w:rPr>
        <w:t xml:space="preserve">。 </w:t>
      </w:r>
    </w:p>
    <w:p w14:paraId="5BBFBF50">
      <w:pPr>
        <w:pStyle w:val="17"/>
        <w:spacing w:before="10"/>
        <w:rPr>
          <w:sz w:val="9"/>
        </w:rPr>
      </w:pPr>
    </w:p>
    <w:p w14:paraId="2BF3EFA2">
      <w:pPr>
        <w:pStyle w:val="317"/>
        <w:numPr>
          <w:ilvl w:val="0"/>
          <w:numId w:val="23"/>
        </w:numPr>
        <w:tabs>
          <w:tab w:val="left" w:pos="1274"/>
        </w:tabs>
        <w:spacing w:before="71"/>
        <w:ind w:hanging="528"/>
        <w:rPr>
          <w:sz w:val="21"/>
        </w:rPr>
      </w:pPr>
      <w:r>
        <w:rPr>
          <w:spacing w:val="-1"/>
          <w:sz w:val="21"/>
          <w:u w:val="single"/>
        </w:rPr>
        <w:t>承包人在施工过程中，必须严格执行安全生产法的相关规定，制定切实可靠的安全技术措施</w:t>
      </w:r>
      <w:r>
        <w:rPr>
          <w:spacing w:val="-90"/>
          <w:sz w:val="21"/>
        </w:rPr>
        <w:t>。</w:t>
      </w:r>
      <w:r>
        <w:rPr>
          <w:sz w:val="21"/>
        </w:rPr>
        <w:t xml:space="preserve"> </w:t>
      </w:r>
    </w:p>
    <w:p w14:paraId="1158EEBD">
      <w:pPr>
        <w:pStyle w:val="17"/>
        <w:spacing w:before="10"/>
        <w:rPr>
          <w:sz w:val="9"/>
        </w:rPr>
      </w:pPr>
    </w:p>
    <w:p w14:paraId="575F1A8C">
      <w:pPr>
        <w:pStyle w:val="317"/>
        <w:numPr>
          <w:ilvl w:val="0"/>
          <w:numId w:val="23"/>
        </w:numPr>
        <w:tabs>
          <w:tab w:val="left" w:pos="1274"/>
        </w:tabs>
        <w:spacing w:before="71"/>
        <w:ind w:hanging="528"/>
        <w:rPr>
          <w:sz w:val="21"/>
        </w:rPr>
      </w:pPr>
      <w:r>
        <w:rPr>
          <w:spacing w:val="-5"/>
          <w:sz w:val="21"/>
          <w:u w:val="single"/>
        </w:rPr>
        <w:t>接受发包人安全监督和管理，在施工中违反安全管理规定和操作规程、违章作业的，承担违约</w:t>
      </w:r>
    </w:p>
    <w:p w14:paraId="0F9C832E">
      <w:pPr>
        <w:pStyle w:val="17"/>
        <w:rPr>
          <w:sz w:val="11"/>
        </w:rPr>
      </w:pPr>
    </w:p>
    <w:p w14:paraId="1498F15D">
      <w:pPr>
        <w:pStyle w:val="17"/>
        <w:spacing w:before="70"/>
        <w:ind w:left="326"/>
      </w:pPr>
      <w:r>
        <w:rPr>
          <w:u w:val="single"/>
        </w:rPr>
        <w:t>责任</w:t>
      </w:r>
      <w:r>
        <w:t xml:space="preserve">。 </w:t>
      </w:r>
    </w:p>
    <w:p w14:paraId="2874A642">
      <w:pPr>
        <w:pStyle w:val="17"/>
        <w:spacing w:before="11"/>
        <w:rPr>
          <w:sz w:val="9"/>
        </w:rPr>
      </w:pPr>
    </w:p>
    <w:p w14:paraId="34FD48CF">
      <w:pPr>
        <w:pStyle w:val="317"/>
        <w:numPr>
          <w:ilvl w:val="2"/>
          <w:numId w:val="24"/>
        </w:numPr>
        <w:tabs>
          <w:tab w:val="left" w:pos="1273"/>
        </w:tabs>
        <w:spacing w:before="70"/>
        <w:ind w:hanging="527"/>
        <w:jc w:val="left"/>
        <w:rPr>
          <w:sz w:val="21"/>
        </w:rPr>
      </w:pPr>
      <w:r>
        <w:rPr>
          <w:spacing w:val="-1"/>
          <w:sz w:val="21"/>
        </w:rPr>
        <w:t>关于治安保卫的特别约定：</w:t>
      </w:r>
      <w:r>
        <w:rPr>
          <w:sz w:val="21"/>
          <w:u w:val="single"/>
        </w:rPr>
        <w:t>承包人负责组建施工现场治安管理机构或联防组织；承包人负责</w:t>
      </w:r>
    </w:p>
    <w:p w14:paraId="4E89B218">
      <w:pPr>
        <w:pStyle w:val="17"/>
        <w:spacing w:before="11"/>
        <w:rPr>
          <w:sz w:val="9"/>
        </w:rPr>
      </w:pPr>
    </w:p>
    <w:p w14:paraId="37B8FFF0">
      <w:pPr>
        <w:pStyle w:val="17"/>
        <w:spacing w:before="71"/>
        <w:ind w:left="326"/>
      </w:pPr>
      <w:r>
        <w:rPr>
          <w:u w:val="single"/>
        </w:rPr>
        <w:t>编制施工场地治安管理计划和突发治安事件紧急预案</w:t>
      </w:r>
      <w:r>
        <w:t xml:space="preserve">。 </w:t>
      </w:r>
    </w:p>
    <w:p w14:paraId="765F915E">
      <w:pPr>
        <w:pStyle w:val="17"/>
        <w:spacing w:before="10"/>
        <w:rPr>
          <w:sz w:val="9"/>
        </w:rPr>
      </w:pPr>
    </w:p>
    <w:p w14:paraId="709C76F6">
      <w:pPr>
        <w:pStyle w:val="17"/>
        <w:spacing w:before="71"/>
        <w:ind w:left="746"/>
      </w:pPr>
      <w:r>
        <w:t>关于编制施工场地治安管理计划的约定：</w:t>
      </w:r>
      <w:r>
        <w:rPr>
          <w:u w:val="single"/>
        </w:rPr>
        <w:t>由承包人负责</w:t>
      </w:r>
      <w:r>
        <w:t xml:space="preserve">。 </w:t>
      </w:r>
    </w:p>
    <w:p w14:paraId="61A5FE5E">
      <w:pPr>
        <w:pStyle w:val="17"/>
        <w:spacing w:before="10"/>
        <w:rPr>
          <w:sz w:val="9"/>
        </w:rPr>
      </w:pPr>
    </w:p>
    <w:p w14:paraId="20EAA164">
      <w:pPr>
        <w:pStyle w:val="317"/>
        <w:numPr>
          <w:ilvl w:val="2"/>
          <w:numId w:val="24"/>
        </w:numPr>
        <w:tabs>
          <w:tab w:val="left" w:pos="1273"/>
        </w:tabs>
        <w:spacing w:before="70"/>
        <w:ind w:hanging="527"/>
        <w:jc w:val="left"/>
        <w:rPr>
          <w:sz w:val="21"/>
        </w:rPr>
      </w:pPr>
      <w:r>
        <w:rPr>
          <w:sz w:val="21"/>
        </w:rPr>
        <w:t xml:space="preserve">文明施工 </w:t>
      </w:r>
    </w:p>
    <w:p w14:paraId="40AC285B">
      <w:pPr>
        <w:rPr>
          <w:sz w:val="21"/>
        </w:rPr>
        <w:sectPr>
          <w:pgSz w:w="11910" w:h="16850"/>
          <w:pgMar w:top="1440" w:right="1080" w:bottom="1440" w:left="1080" w:header="0" w:footer="996" w:gutter="0"/>
          <w:cols w:space="720" w:num="1"/>
        </w:sectPr>
      </w:pPr>
    </w:p>
    <w:p w14:paraId="0722D2EB">
      <w:pPr>
        <w:pStyle w:val="17"/>
        <w:spacing w:before="46"/>
        <w:ind w:left="581"/>
      </w:pPr>
      <w:r>
        <w:t>合同当事人对文明施工的要求：</w:t>
      </w:r>
      <w:r>
        <w:rPr>
          <w:u w:val="single"/>
        </w:rPr>
        <w:t>承包人应按照《房屋建筑和市政基础设施工程施工扬尘控制工作方</w:t>
      </w:r>
    </w:p>
    <w:p w14:paraId="2B05C79F">
      <w:pPr>
        <w:pStyle w:val="17"/>
        <w:spacing w:before="11"/>
        <w:rPr>
          <w:sz w:val="9"/>
        </w:rPr>
      </w:pPr>
    </w:p>
    <w:p w14:paraId="7C5B83DE">
      <w:pPr>
        <w:pStyle w:val="17"/>
        <w:spacing w:before="70"/>
        <w:ind w:left="161"/>
      </w:pPr>
      <w:r>
        <w:rPr>
          <w:u w:val="single"/>
        </w:rPr>
        <w:t>案》（渝建发〔2009〕13 号）、《重庆市建设委员会关于印发&lt;重庆市房屋建筑和市政基础设施工程现</w:t>
      </w:r>
    </w:p>
    <w:p w14:paraId="4B2ABBF7">
      <w:pPr>
        <w:pStyle w:val="17"/>
        <w:spacing w:before="10"/>
        <w:rPr>
          <w:sz w:val="9"/>
        </w:rPr>
      </w:pPr>
    </w:p>
    <w:p w14:paraId="219D1CFB">
      <w:pPr>
        <w:pStyle w:val="17"/>
        <w:spacing w:before="71"/>
        <w:ind w:left="161"/>
      </w:pPr>
      <w:r>
        <w:rPr>
          <w:spacing w:val="-5"/>
          <w:u w:val="single"/>
        </w:rPr>
        <w:t>场文明施工标准&gt;的通知》</w:t>
      </w:r>
      <w:r>
        <w:rPr>
          <w:u w:val="single"/>
        </w:rPr>
        <w:t>（</w:t>
      </w:r>
      <w:r>
        <w:rPr>
          <w:spacing w:val="-8"/>
          <w:u w:val="single"/>
        </w:rPr>
        <w:t>渝建发〔</w:t>
      </w:r>
      <w:r>
        <w:rPr>
          <w:spacing w:val="4"/>
          <w:u w:val="single"/>
        </w:rPr>
        <w:t>2008</w:t>
      </w:r>
      <w:r>
        <w:rPr>
          <w:spacing w:val="-30"/>
          <w:u w:val="single"/>
        </w:rPr>
        <w:t>〕</w:t>
      </w:r>
      <w:r>
        <w:rPr>
          <w:u w:val="single"/>
        </w:rPr>
        <w:t>169</w:t>
      </w:r>
      <w:r>
        <w:rPr>
          <w:spacing w:val="-24"/>
          <w:u w:val="single"/>
        </w:rPr>
        <w:t xml:space="preserve"> 号</w:t>
      </w:r>
      <w:r>
        <w:rPr>
          <w:spacing w:val="-30"/>
          <w:u w:val="single"/>
        </w:rPr>
        <w:t>）</w:t>
      </w:r>
      <w:r>
        <w:rPr>
          <w:spacing w:val="-3"/>
          <w:u w:val="single"/>
        </w:rPr>
        <w:t>等相关规定履行好施工扬尘控制、文明施工等责任</w:t>
      </w:r>
      <w:r>
        <w:rPr>
          <w:spacing w:val="-105"/>
        </w:rPr>
        <w:t>。</w:t>
      </w:r>
      <w:r>
        <w:t xml:space="preserve"> </w:t>
      </w:r>
    </w:p>
    <w:p w14:paraId="5381F649">
      <w:pPr>
        <w:pStyle w:val="17"/>
        <w:rPr>
          <w:sz w:val="11"/>
        </w:rPr>
      </w:pPr>
    </w:p>
    <w:p w14:paraId="41377AE5">
      <w:pPr>
        <w:pStyle w:val="17"/>
        <w:spacing w:before="70"/>
        <w:ind w:left="581"/>
      </w:pPr>
      <w:r>
        <w:rPr>
          <w:u w:val="single"/>
        </w:rPr>
        <w:t>承包人应按规定设置施工现场围挡，承包人采用的围挡主体形式应从重庆市城乡建委发布的标准图</w:t>
      </w:r>
    </w:p>
    <w:p w14:paraId="33C76078">
      <w:pPr>
        <w:pStyle w:val="17"/>
        <w:spacing w:before="11"/>
        <w:rPr>
          <w:sz w:val="9"/>
        </w:rPr>
      </w:pPr>
    </w:p>
    <w:p w14:paraId="7C9C2E7F">
      <w:pPr>
        <w:pStyle w:val="17"/>
        <w:spacing w:before="71"/>
        <w:ind w:left="161"/>
      </w:pPr>
      <w:r>
        <w:rPr>
          <w:spacing w:val="-1"/>
          <w:u w:val="single"/>
        </w:rPr>
        <w:t>集</w:t>
      </w:r>
      <w:r>
        <w:rPr>
          <w:u w:val="single"/>
        </w:rPr>
        <w:t>（DJBT-062、DJBT-063）中选用，做好施工围挡，围挡应整齐美观，承包人按相关要求做好日常维护</w:t>
      </w:r>
    </w:p>
    <w:p w14:paraId="7772CE98">
      <w:pPr>
        <w:pStyle w:val="17"/>
        <w:spacing w:before="10"/>
        <w:rPr>
          <w:sz w:val="9"/>
        </w:rPr>
      </w:pPr>
    </w:p>
    <w:p w14:paraId="3E9B5FF4">
      <w:pPr>
        <w:pStyle w:val="17"/>
        <w:spacing w:before="71"/>
        <w:ind w:left="161"/>
      </w:pPr>
      <w:r>
        <w:rPr>
          <w:u w:val="single"/>
        </w:rPr>
        <w:t>和保洁，围挡高度满足规范要求，相关费用已包含在签约合同价中</w:t>
      </w:r>
      <w:r>
        <w:t xml:space="preserve">。 </w:t>
      </w:r>
    </w:p>
    <w:p w14:paraId="22D98BDE">
      <w:pPr>
        <w:pStyle w:val="17"/>
        <w:spacing w:before="10"/>
        <w:rPr>
          <w:sz w:val="9"/>
        </w:rPr>
      </w:pPr>
    </w:p>
    <w:p w14:paraId="2CCC7FC9">
      <w:pPr>
        <w:pStyle w:val="317"/>
        <w:numPr>
          <w:ilvl w:val="2"/>
          <w:numId w:val="24"/>
        </w:numPr>
        <w:tabs>
          <w:tab w:val="left" w:pos="1108"/>
        </w:tabs>
        <w:spacing w:before="71"/>
        <w:ind w:left="1108" w:hanging="527"/>
        <w:jc w:val="left"/>
        <w:rPr>
          <w:sz w:val="21"/>
        </w:rPr>
      </w:pPr>
      <w:r>
        <w:rPr>
          <w:spacing w:val="-1"/>
          <w:sz w:val="21"/>
        </w:rPr>
        <w:t>关于安全文明施工费支付比例和支付期限的约定：按照行业主管部门相关规定</w:t>
      </w:r>
      <w:r>
        <w:rPr>
          <w:sz w:val="21"/>
          <w:u w:val="single"/>
        </w:rPr>
        <w:t xml:space="preserve">            </w:t>
      </w:r>
      <w:r>
        <w:rPr>
          <w:sz w:val="21"/>
        </w:rPr>
        <w:t xml:space="preserve">     </w:t>
      </w:r>
    </w:p>
    <w:p w14:paraId="775A6F9A">
      <w:pPr>
        <w:pStyle w:val="17"/>
        <w:spacing w:before="10"/>
        <w:rPr>
          <w:sz w:val="9"/>
        </w:rPr>
      </w:pPr>
    </w:p>
    <w:p w14:paraId="300DE7FC">
      <w:pPr>
        <w:pStyle w:val="17"/>
        <w:spacing w:before="71"/>
        <w:ind w:left="161"/>
      </w:pPr>
      <w:r>
        <w:t xml:space="preserve">执行。 </w:t>
      </w:r>
    </w:p>
    <w:p w14:paraId="2E1FF397">
      <w:pPr>
        <w:pStyle w:val="17"/>
        <w:spacing w:before="6"/>
        <w:rPr>
          <w:sz w:val="16"/>
        </w:rPr>
      </w:pPr>
    </w:p>
    <w:p w14:paraId="0E21C623">
      <w:pPr>
        <w:pStyle w:val="17"/>
        <w:ind w:left="581"/>
      </w:pPr>
      <w:r>
        <w:rPr>
          <w:u w:val="single"/>
        </w:rPr>
        <w:t>安全文明施工费的要求与内容、提取支付方法以及违反约定造成损失的赔偿等条款，按照现行规范</w:t>
      </w:r>
    </w:p>
    <w:p w14:paraId="25D44E4F">
      <w:pPr>
        <w:pStyle w:val="17"/>
        <w:spacing w:before="10"/>
        <w:rPr>
          <w:sz w:val="9"/>
        </w:rPr>
      </w:pPr>
    </w:p>
    <w:p w14:paraId="0861AD0C">
      <w:pPr>
        <w:pStyle w:val="17"/>
        <w:spacing w:before="71"/>
        <w:ind w:left="161"/>
      </w:pPr>
      <w:r>
        <w:rPr>
          <w:u w:val="single"/>
        </w:rPr>
        <w:t>要求执行，做到专款专用</w:t>
      </w:r>
      <w:r>
        <w:t xml:space="preserve">。 </w:t>
      </w:r>
    </w:p>
    <w:p w14:paraId="7FD26869">
      <w:pPr>
        <w:pStyle w:val="17"/>
        <w:spacing w:before="11"/>
        <w:rPr>
          <w:sz w:val="9"/>
        </w:rPr>
      </w:pPr>
    </w:p>
    <w:p w14:paraId="33B5A9F1">
      <w:pPr>
        <w:pStyle w:val="3"/>
        <w:numPr>
          <w:ilvl w:val="1"/>
          <w:numId w:val="25"/>
        </w:numPr>
        <w:tabs>
          <w:tab w:val="left" w:pos="942"/>
        </w:tabs>
        <w:spacing w:before="3"/>
        <w:ind w:hanging="361"/>
      </w:pPr>
      <w:r>
        <w:rPr>
          <w:spacing w:val="7"/>
        </w:rPr>
        <w:t>环境保护</w:t>
      </w:r>
      <w:r>
        <w:rPr>
          <w:spacing w:val="7"/>
          <w:w w:val="167"/>
        </w:rPr>
        <w:t xml:space="preserve"> </w:t>
      </w:r>
    </w:p>
    <w:p w14:paraId="1B926063">
      <w:pPr>
        <w:pStyle w:val="17"/>
        <w:spacing w:before="146"/>
        <w:ind w:left="581"/>
        <w:jc w:val="both"/>
      </w:pPr>
      <w:r>
        <w:t xml:space="preserve">本款补充 6.3.1～6.3.8 项： </w:t>
      </w:r>
    </w:p>
    <w:p w14:paraId="685DB767">
      <w:pPr>
        <w:pStyle w:val="17"/>
        <w:spacing w:before="4"/>
        <w:rPr>
          <w:sz w:val="15"/>
        </w:rPr>
      </w:pPr>
    </w:p>
    <w:p w14:paraId="6F116A90">
      <w:pPr>
        <w:pStyle w:val="317"/>
        <w:numPr>
          <w:ilvl w:val="2"/>
          <w:numId w:val="25"/>
        </w:numPr>
        <w:tabs>
          <w:tab w:val="left" w:pos="1108"/>
        </w:tabs>
        <w:spacing w:line="422" w:lineRule="auto"/>
        <w:ind w:right="1295" w:firstLine="420"/>
        <w:jc w:val="both"/>
        <w:rPr>
          <w:sz w:val="21"/>
        </w:rPr>
      </w:pPr>
      <w:r>
        <w:rPr>
          <w:sz w:val="21"/>
        </w:rPr>
        <w:t xml:space="preserve">承包人应严格按照项目环境影响评价文件批准书结合发包人报送的环境影响报告书的要求进行环境保护的相关工作。如行政主管部门有新标准，则按最新标准执行，执行新标准增加的费用由发包人承担。 </w:t>
      </w:r>
    </w:p>
    <w:p w14:paraId="6795C859">
      <w:pPr>
        <w:pStyle w:val="317"/>
        <w:numPr>
          <w:ilvl w:val="2"/>
          <w:numId w:val="25"/>
        </w:numPr>
        <w:tabs>
          <w:tab w:val="left" w:pos="1108"/>
        </w:tabs>
        <w:spacing w:line="415" w:lineRule="auto"/>
        <w:ind w:right="1177" w:firstLine="420"/>
        <w:rPr>
          <w:sz w:val="21"/>
        </w:rPr>
      </w:pPr>
      <w:r>
        <w:rPr>
          <w:spacing w:val="-5"/>
          <w:sz w:val="21"/>
        </w:rPr>
        <w:t>承包人应做好对周边环境的调查工作，认真编制施工组织设计，严格按照施工方案组织施工， 涉及交通、绿化、市政、环保、生态、公共安全等的施工方案应达到相关标准要求并在施工前得到相关</w:t>
      </w:r>
      <w:r>
        <w:rPr>
          <w:spacing w:val="-6"/>
          <w:sz w:val="21"/>
        </w:rPr>
        <w:t>行政主管部门和单位的同意，否则不得施工，因施工原因引起的一切投诉及处罚由承包人自行负责。</w:t>
      </w:r>
      <w:r>
        <w:rPr>
          <w:sz w:val="21"/>
        </w:rPr>
        <w:t xml:space="preserve"> </w:t>
      </w:r>
    </w:p>
    <w:p w14:paraId="68B1B557">
      <w:pPr>
        <w:pStyle w:val="317"/>
        <w:numPr>
          <w:ilvl w:val="2"/>
          <w:numId w:val="25"/>
        </w:numPr>
        <w:tabs>
          <w:tab w:val="left" w:pos="1108"/>
        </w:tabs>
        <w:spacing w:before="5" w:line="415" w:lineRule="auto"/>
        <w:ind w:right="1296" w:firstLine="420"/>
        <w:rPr>
          <w:sz w:val="21"/>
        </w:rPr>
      </w:pPr>
      <w:r>
        <w:rPr>
          <w:sz w:val="21"/>
        </w:rPr>
        <w:t>承包人应加强生态环境保护工作。施工期间，采取边坡防护，挡渣坝、排水沟、沉淀池、表</w:t>
      </w:r>
      <w:r>
        <w:rPr>
          <w:spacing w:val="-1"/>
          <w:sz w:val="21"/>
        </w:rPr>
        <w:t>土剥离和绿化恢复等水土保持措施减少水土流失量，绿化恢复宜采用适于当地生长的植物。</w:t>
      </w:r>
      <w:r>
        <w:rPr>
          <w:sz w:val="21"/>
        </w:rPr>
        <w:t xml:space="preserve"> </w:t>
      </w:r>
    </w:p>
    <w:p w14:paraId="44DB83E0">
      <w:pPr>
        <w:pStyle w:val="317"/>
        <w:numPr>
          <w:ilvl w:val="2"/>
          <w:numId w:val="25"/>
        </w:numPr>
        <w:tabs>
          <w:tab w:val="left" w:pos="1108"/>
        </w:tabs>
        <w:spacing w:line="415" w:lineRule="auto"/>
        <w:ind w:right="1291" w:firstLine="420"/>
        <w:jc w:val="both"/>
        <w:rPr>
          <w:sz w:val="21"/>
        </w:rPr>
      </w:pPr>
      <w:r>
        <w:rPr>
          <w:spacing w:val="-1"/>
          <w:sz w:val="21"/>
        </w:rPr>
        <w:t xml:space="preserve">承包人应认真落实水污染防治措施。施工期间，加强机械设备维护，减少跑冒滴漏等现象； </w:t>
      </w:r>
      <w:r>
        <w:rPr>
          <w:spacing w:val="-5"/>
          <w:sz w:val="21"/>
        </w:rPr>
        <w:t>做好含油废水处理措施；施工场地生活污水经生化处理后达到《污水综合排放标准》</w:t>
      </w:r>
      <w:r>
        <w:rPr>
          <w:sz w:val="21"/>
        </w:rPr>
        <w:t>（GB8978-1996）</w:t>
      </w:r>
      <w:r>
        <w:rPr>
          <w:spacing w:val="-15"/>
          <w:sz w:val="21"/>
        </w:rPr>
        <w:t>一</w:t>
      </w:r>
      <w:r>
        <w:rPr>
          <w:sz w:val="21"/>
        </w:rPr>
        <w:t xml:space="preserve">级标准后排放。 </w:t>
      </w:r>
    </w:p>
    <w:p w14:paraId="729B20E5">
      <w:pPr>
        <w:pStyle w:val="317"/>
        <w:numPr>
          <w:ilvl w:val="2"/>
          <w:numId w:val="25"/>
        </w:numPr>
        <w:tabs>
          <w:tab w:val="left" w:pos="1108"/>
        </w:tabs>
        <w:spacing w:before="15" w:line="415" w:lineRule="auto"/>
        <w:ind w:right="1296" w:firstLine="420"/>
        <w:rPr>
          <w:sz w:val="21"/>
        </w:rPr>
      </w:pPr>
      <w:r>
        <w:rPr>
          <w:sz w:val="21"/>
        </w:rPr>
        <w:t>承包人应重视大气污染物污染防治措施。施工期间，严格执行市政府“蓝天行动”方案等有</w:t>
      </w:r>
      <w:r>
        <w:rPr>
          <w:spacing w:val="-1"/>
          <w:sz w:val="21"/>
        </w:rPr>
        <w:t>关规定，通过洒水防尘，严格控制施工场地扬尘和运输扬尘污染。</w:t>
      </w:r>
      <w:r>
        <w:rPr>
          <w:sz w:val="21"/>
        </w:rPr>
        <w:t xml:space="preserve"> </w:t>
      </w:r>
    </w:p>
    <w:p w14:paraId="10BCCD26">
      <w:pPr>
        <w:pStyle w:val="317"/>
        <w:numPr>
          <w:ilvl w:val="2"/>
          <w:numId w:val="25"/>
        </w:numPr>
        <w:tabs>
          <w:tab w:val="left" w:pos="1108"/>
        </w:tabs>
        <w:spacing w:line="415" w:lineRule="auto"/>
        <w:ind w:right="1199" w:firstLine="420"/>
        <w:rPr>
          <w:sz w:val="21"/>
        </w:rPr>
      </w:pPr>
      <w:r>
        <w:rPr>
          <w:spacing w:val="-1"/>
          <w:sz w:val="21"/>
        </w:rPr>
        <w:t>承包人应落实固体废物污染防治措施。施工期间，项目产生的弃方不可合理利用的，应运往指</w:t>
      </w:r>
      <w:r>
        <w:rPr>
          <w:spacing w:val="-2"/>
          <w:sz w:val="21"/>
        </w:rPr>
        <w:t>定的弃渣场内堆存；建筑垃圾运至指定的建筑垃圾消纳场处置；生活垃圾由当地环卫部门统一处置。</w:t>
      </w:r>
      <w:r>
        <w:rPr>
          <w:sz w:val="21"/>
        </w:rPr>
        <w:t xml:space="preserve"> </w:t>
      </w:r>
    </w:p>
    <w:p w14:paraId="19307AA5">
      <w:pPr>
        <w:pStyle w:val="317"/>
        <w:numPr>
          <w:ilvl w:val="2"/>
          <w:numId w:val="25"/>
        </w:numPr>
        <w:tabs>
          <w:tab w:val="left" w:pos="1108"/>
        </w:tabs>
        <w:spacing w:line="429" w:lineRule="auto"/>
        <w:ind w:right="1299" w:firstLine="420"/>
        <w:rPr>
          <w:sz w:val="21"/>
        </w:rPr>
      </w:pPr>
      <w:r>
        <w:rPr>
          <w:spacing w:val="-1"/>
          <w:sz w:val="21"/>
        </w:rPr>
        <w:t xml:space="preserve">承包人应认真落实噪声污染防治措施。施工期间，优选低噪声设备，合理安排施工时间，严格控制夜间施工，昼、夜施工场界需满足《建筑施工场界环境噪声排放标准》（GB12523-2011）。 </w:t>
      </w:r>
    </w:p>
    <w:p w14:paraId="1A1B45A1">
      <w:pPr>
        <w:pStyle w:val="317"/>
        <w:numPr>
          <w:ilvl w:val="2"/>
          <w:numId w:val="25"/>
        </w:numPr>
        <w:tabs>
          <w:tab w:val="left" w:pos="1108"/>
        </w:tabs>
        <w:spacing w:line="252" w:lineRule="exact"/>
        <w:ind w:left="1108" w:hanging="527"/>
        <w:rPr>
          <w:sz w:val="21"/>
        </w:rPr>
      </w:pPr>
      <w:r>
        <w:rPr>
          <w:sz w:val="21"/>
        </w:rPr>
        <w:t>承包人自行负责办理有关施工场地交通、环卫和施工噪音管理等手续，并应按要求结合自身</w:t>
      </w:r>
    </w:p>
    <w:p w14:paraId="3FE3E2D7">
      <w:pPr>
        <w:spacing w:line="252" w:lineRule="exact"/>
        <w:rPr>
          <w:sz w:val="21"/>
        </w:rPr>
        <w:sectPr>
          <w:pgSz w:w="11910" w:h="16850"/>
          <w:pgMar w:top="1440" w:right="1080" w:bottom="1440" w:left="1080" w:header="0" w:footer="996" w:gutter="0"/>
          <w:cols w:space="720" w:num="1"/>
        </w:sectPr>
      </w:pPr>
    </w:p>
    <w:p w14:paraId="71472387">
      <w:pPr>
        <w:pStyle w:val="17"/>
        <w:spacing w:before="46" w:line="415" w:lineRule="auto"/>
        <w:ind w:left="746" w:right="5029" w:hanging="421"/>
      </w:pPr>
      <w:r>
        <w:t>实际和重庆市相关规定，考虑不低于以上标准的此类工作。6.3.9</w:t>
      </w:r>
      <w:r>
        <w:rPr>
          <w:u w:val="single"/>
        </w:rPr>
        <w:t xml:space="preserve"> </w:t>
      </w:r>
      <w:r>
        <w:t xml:space="preserve">。 </w:t>
      </w:r>
    </w:p>
    <w:p w14:paraId="3D259EBE">
      <w:pPr>
        <w:pStyle w:val="3"/>
        <w:numPr>
          <w:ilvl w:val="0"/>
          <w:numId w:val="5"/>
        </w:numPr>
        <w:tabs>
          <w:tab w:val="left" w:pos="567"/>
        </w:tabs>
        <w:spacing w:before="83"/>
        <w:ind w:hanging="241"/>
        <w:jc w:val="left"/>
      </w:pPr>
      <w:r>
        <w:rPr>
          <w:spacing w:val="8"/>
        </w:rPr>
        <w:t>工期和进度</w:t>
      </w:r>
      <w:r>
        <w:rPr>
          <w:spacing w:val="8"/>
          <w:w w:val="167"/>
        </w:rPr>
        <w:t xml:space="preserve"> </w:t>
      </w:r>
    </w:p>
    <w:p w14:paraId="14B1A47F">
      <w:pPr>
        <w:pStyle w:val="17"/>
        <w:spacing w:before="4"/>
        <w:rPr>
          <w:rFonts w:ascii="微软雅黑"/>
          <w:b/>
          <w:sz w:val="13"/>
        </w:rPr>
      </w:pPr>
    </w:p>
    <w:p w14:paraId="742B63D5">
      <w:pPr>
        <w:pStyle w:val="317"/>
        <w:numPr>
          <w:ilvl w:val="1"/>
          <w:numId w:val="5"/>
        </w:numPr>
        <w:tabs>
          <w:tab w:val="left" w:pos="1107"/>
        </w:tabs>
        <w:ind w:left="1107" w:hanging="361"/>
        <w:rPr>
          <w:rFonts w:ascii="微软雅黑" w:eastAsia="微软雅黑"/>
          <w:b/>
          <w:sz w:val="21"/>
        </w:rPr>
      </w:pPr>
      <w:r>
        <w:rPr>
          <w:rFonts w:hint="eastAsia" w:ascii="微软雅黑" w:eastAsia="微软雅黑"/>
          <w:b/>
          <w:spacing w:val="6"/>
          <w:sz w:val="21"/>
        </w:rPr>
        <w:t>施工组织设计</w:t>
      </w:r>
      <w:r>
        <w:rPr>
          <w:rFonts w:hint="eastAsia" w:ascii="微软雅黑" w:eastAsia="微软雅黑"/>
          <w:b/>
          <w:spacing w:val="6"/>
          <w:w w:val="167"/>
          <w:sz w:val="21"/>
        </w:rPr>
        <w:t xml:space="preserve"> </w:t>
      </w:r>
    </w:p>
    <w:p w14:paraId="00B1C799">
      <w:pPr>
        <w:pStyle w:val="317"/>
        <w:numPr>
          <w:ilvl w:val="2"/>
          <w:numId w:val="5"/>
        </w:numPr>
        <w:tabs>
          <w:tab w:val="left" w:pos="1273"/>
        </w:tabs>
        <w:spacing w:before="160"/>
        <w:ind w:left="1273" w:hanging="527"/>
        <w:jc w:val="left"/>
        <w:rPr>
          <w:sz w:val="21"/>
        </w:rPr>
      </w:pPr>
      <w:r>
        <w:rPr>
          <w:spacing w:val="-1"/>
          <w:sz w:val="21"/>
        </w:rPr>
        <w:t>合同当事人约定的施工组织设计应包括的其他内容：</w:t>
      </w:r>
      <w:r>
        <w:rPr>
          <w:sz w:val="21"/>
          <w:u w:val="single"/>
        </w:rPr>
        <w:t>应采用文字并结合图表形式说明施工方</w:t>
      </w:r>
    </w:p>
    <w:p w14:paraId="723D9631">
      <w:pPr>
        <w:pStyle w:val="17"/>
        <w:spacing w:before="10"/>
        <w:rPr>
          <w:sz w:val="9"/>
        </w:rPr>
      </w:pPr>
    </w:p>
    <w:p w14:paraId="4B653BA7">
      <w:pPr>
        <w:pStyle w:val="17"/>
        <w:spacing w:before="71"/>
        <w:ind w:left="326"/>
      </w:pPr>
      <w:r>
        <w:rPr>
          <w:spacing w:val="-1"/>
          <w:u w:val="single"/>
        </w:rPr>
        <w:t>法；拟投入工程的主要施工设备情况、拟配备工程的试验和检测仪器设备情况、劳动力计划等；结合工</w:t>
      </w:r>
    </w:p>
    <w:p w14:paraId="0336AFBE">
      <w:pPr>
        <w:pStyle w:val="17"/>
        <w:spacing w:before="11"/>
        <w:rPr>
          <w:sz w:val="9"/>
        </w:rPr>
      </w:pPr>
    </w:p>
    <w:p w14:paraId="0F33D86F">
      <w:pPr>
        <w:pStyle w:val="17"/>
        <w:spacing w:before="70"/>
        <w:ind w:left="326"/>
      </w:pPr>
      <w:r>
        <w:rPr>
          <w:u w:val="single"/>
        </w:rPr>
        <w:t>程特点提出切实可行的工程质量、安全生产、文明施工、工程进度、技术组织措施，同时应对关键工序、</w:t>
      </w:r>
    </w:p>
    <w:p w14:paraId="43A5C351">
      <w:pPr>
        <w:pStyle w:val="17"/>
        <w:spacing w:before="11"/>
        <w:rPr>
          <w:sz w:val="9"/>
        </w:rPr>
      </w:pPr>
    </w:p>
    <w:p w14:paraId="6A402E99">
      <w:pPr>
        <w:pStyle w:val="17"/>
        <w:spacing w:before="70"/>
        <w:ind w:left="326"/>
      </w:pPr>
      <w:r>
        <w:rPr>
          <w:u w:val="single"/>
        </w:rPr>
        <w:t>复杂环节重点提出相应技术措施，如冬雨季施工技术、减少噪音、降低环境污染、地下管线及其他地上</w:t>
      </w:r>
    </w:p>
    <w:p w14:paraId="32C8E1DC">
      <w:pPr>
        <w:pStyle w:val="17"/>
        <w:spacing w:before="11"/>
        <w:rPr>
          <w:sz w:val="9"/>
        </w:rPr>
      </w:pPr>
    </w:p>
    <w:p w14:paraId="27E73B4C">
      <w:pPr>
        <w:pStyle w:val="17"/>
        <w:spacing w:before="70"/>
        <w:ind w:left="326"/>
      </w:pPr>
      <w:r>
        <w:rPr>
          <w:u w:val="single"/>
        </w:rPr>
        <w:t>地下设施的保护加固措施等按发包人要求提供</w:t>
      </w:r>
      <w:r>
        <w:t xml:space="preserve">。 </w:t>
      </w:r>
    </w:p>
    <w:p w14:paraId="6E76AC88">
      <w:pPr>
        <w:pStyle w:val="17"/>
        <w:rPr>
          <w:sz w:val="11"/>
        </w:rPr>
      </w:pPr>
    </w:p>
    <w:p w14:paraId="1397B790">
      <w:pPr>
        <w:pStyle w:val="317"/>
        <w:numPr>
          <w:ilvl w:val="2"/>
          <w:numId w:val="5"/>
        </w:numPr>
        <w:tabs>
          <w:tab w:val="left" w:pos="1273"/>
        </w:tabs>
        <w:spacing w:before="71"/>
        <w:ind w:left="1273" w:hanging="527"/>
        <w:jc w:val="left"/>
        <w:rPr>
          <w:sz w:val="21"/>
        </w:rPr>
      </w:pPr>
      <w:r>
        <w:rPr>
          <w:spacing w:val="-1"/>
          <w:sz w:val="21"/>
        </w:rPr>
        <w:t>施工组织设计的提交和修改</w:t>
      </w:r>
      <w:r>
        <w:rPr>
          <w:sz w:val="21"/>
        </w:rPr>
        <w:t xml:space="preserve"> </w:t>
      </w:r>
    </w:p>
    <w:p w14:paraId="0A04B5A6">
      <w:pPr>
        <w:pStyle w:val="17"/>
        <w:spacing w:before="4"/>
        <w:rPr>
          <w:sz w:val="15"/>
        </w:rPr>
      </w:pPr>
    </w:p>
    <w:p w14:paraId="4FE1BE16">
      <w:pPr>
        <w:pStyle w:val="17"/>
        <w:ind w:left="746"/>
      </w:pPr>
      <w:r>
        <w:t>承包人提交详细施工组织设计的期限的约定：</w:t>
      </w:r>
      <w:r>
        <w:rPr>
          <w:u w:val="single"/>
        </w:rPr>
        <w:t>合同签订后 天内，但最迟不得晚于开工通知载明的</w:t>
      </w:r>
    </w:p>
    <w:p w14:paraId="6399AF06">
      <w:pPr>
        <w:pStyle w:val="17"/>
        <w:spacing w:before="10"/>
        <w:rPr>
          <w:sz w:val="9"/>
        </w:rPr>
      </w:pPr>
    </w:p>
    <w:p w14:paraId="3EB1563C">
      <w:pPr>
        <w:pStyle w:val="17"/>
        <w:spacing w:before="71"/>
        <w:ind w:left="326"/>
      </w:pPr>
      <w:r>
        <w:rPr>
          <w:u w:val="single"/>
        </w:rPr>
        <w:t>开工日期前7天</w:t>
      </w:r>
      <w:r>
        <w:t xml:space="preserve">。 </w:t>
      </w:r>
    </w:p>
    <w:p w14:paraId="5BFA2BE8">
      <w:pPr>
        <w:pStyle w:val="17"/>
        <w:spacing w:before="10"/>
        <w:rPr>
          <w:sz w:val="9"/>
        </w:rPr>
      </w:pPr>
    </w:p>
    <w:p w14:paraId="0AA8BF95">
      <w:pPr>
        <w:pStyle w:val="17"/>
        <w:spacing w:before="71"/>
        <w:ind w:left="746"/>
      </w:pPr>
      <w:r>
        <w:t>发包人和监理人在收到详细的施工组织设计后确认或提出修改意见的期限：</w:t>
      </w:r>
      <w:r>
        <w:rPr>
          <w:u w:val="single"/>
        </w:rPr>
        <w:t xml:space="preserve">收到施工组织设计后  </w:t>
      </w:r>
    </w:p>
    <w:p w14:paraId="464AB25C">
      <w:pPr>
        <w:pStyle w:val="17"/>
        <w:spacing w:before="10"/>
        <w:rPr>
          <w:sz w:val="9"/>
        </w:rPr>
      </w:pPr>
    </w:p>
    <w:p w14:paraId="1A4B541C">
      <w:pPr>
        <w:pStyle w:val="17"/>
        <w:spacing w:before="71"/>
        <w:ind w:left="326"/>
      </w:pPr>
      <w:r>
        <w:rPr>
          <w:u w:val="single"/>
        </w:rPr>
        <w:t>天内</w:t>
      </w:r>
      <w:r>
        <w:t xml:space="preserve">。 </w:t>
      </w:r>
    </w:p>
    <w:p w14:paraId="04E4EF18">
      <w:pPr>
        <w:pStyle w:val="17"/>
        <w:rPr>
          <w:sz w:val="11"/>
        </w:rPr>
      </w:pPr>
    </w:p>
    <w:p w14:paraId="3940CDB0">
      <w:pPr>
        <w:pStyle w:val="3"/>
        <w:numPr>
          <w:ilvl w:val="1"/>
          <w:numId w:val="5"/>
        </w:numPr>
        <w:tabs>
          <w:tab w:val="left" w:pos="1107"/>
        </w:tabs>
        <w:spacing w:before="3"/>
        <w:ind w:left="1107" w:hanging="361"/>
      </w:pPr>
      <w:r>
        <w:rPr>
          <w:spacing w:val="6"/>
        </w:rPr>
        <w:t>施工进度计划</w:t>
      </w:r>
      <w:r>
        <w:rPr>
          <w:spacing w:val="6"/>
          <w:w w:val="167"/>
        </w:rPr>
        <w:t xml:space="preserve"> </w:t>
      </w:r>
    </w:p>
    <w:p w14:paraId="034EDAF3">
      <w:pPr>
        <w:pStyle w:val="17"/>
        <w:spacing w:before="146"/>
        <w:ind w:left="746"/>
      </w:pPr>
      <w:r>
        <w:t xml:space="preserve">7.2.2 施工进度计划的修订 </w:t>
      </w:r>
    </w:p>
    <w:p w14:paraId="582C86A3">
      <w:pPr>
        <w:pStyle w:val="17"/>
        <w:spacing w:before="4"/>
        <w:rPr>
          <w:sz w:val="15"/>
        </w:rPr>
      </w:pPr>
    </w:p>
    <w:p w14:paraId="7E6F3E36">
      <w:pPr>
        <w:pStyle w:val="17"/>
        <w:ind w:left="746"/>
      </w:pPr>
      <w:r>
        <w:t>发包人和监理人在收到修订的施工进度计划后确认或提出修改意见的期限：</w:t>
      </w:r>
      <w:r>
        <w:rPr>
          <w:u w:val="single"/>
        </w:rPr>
        <w:t>收到修订的施工进度计</w:t>
      </w:r>
    </w:p>
    <w:p w14:paraId="34AEB7C2">
      <w:pPr>
        <w:pStyle w:val="17"/>
        <w:spacing w:before="10"/>
        <w:rPr>
          <w:sz w:val="9"/>
        </w:rPr>
      </w:pPr>
    </w:p>
    <w:p w14:paraId="4CAD049C">
      <w:pPr>
        <w:pStyle w:val="17"/>
        <w:spacing w:before="71"/>
        <w:ind w:left="326"/>
      </w:pPr>
      <w:r>
        <w:rPr>
          <w:u w:val="single"/>
        </w:rPr>
        <w:t xml:space="preserve">划后   </w:t>
      </w:r>
      <w:r>
        <w:rPr>
          <w:highlight w:val="yellow"/>
          <w:u w:val="single"/>
        </w:rPr>
        <w:t>天</w:t>
      </w:r>
      <w:r>
        <w:rPr>
          <w:u w:val="single"/>
        </w:rPr>
        <w:t>内</w:t>
      </w:r>
      <w:r>
        <w:t xml:space="preserve">。 </w:t>
      </w:r>
    </w:p>
    <w:p w14:paraId="6F43868A">
      <w:pPr>
        <w:pStyle w:val="17"/>
        <w:spacing w:before="10"/>
        <w:rPr>
          <w:sz w:val="9"/>
        </w:rPr>
      </w:pPr>
    </w:p>
    <w:p w14:paraId="249EAC8F">
      <w:pPr>
        <w:pStyle w:val="3"/>
        <w:numPr>
          <w:ilvl w:val="1"/>
          <w:numId w:val="5"/>
        </w:numPr>
        <w:tabs>
          <w:tab w:val="left" w:pos="1107"/>
        </w:tabs>
        <w:spacing w:before="4"/>
        <w:ind w:left="1107" w:hanging="361"/>
      </w:pPr>
      <w:r>
        <w:rPr>
          <w:spacing w:val="15"/>
        </w:rPr>
        <w:t>开工</w:t>
      </w:r>
      <w:r>
        <w:rPr>
          <w:w w:val="167"/>
        </w:rPr>
        <w:t xml:space="preserve"> </w:t>
      </w:r>
    </w:p>
    <w:p w14:paraId="066A00C9">
      <w:pPr>
        <w:pStyle w:val="317"/>
        <w:numPr>
          <w:ilvl w:val="2"/>
          <w:numId w:val="5"/>
        </w:numPr>
        <w:tabs>
          <w:tab w:val="left" w:pos="1273"/>
        </w:tabs>
        <w:spacing w:before="160"/>
        <w:ind w:left="1273" w:hanging="527"/>
        <w:jc w:val="left"/>
        <w:rPr>
          <w:sz w:val="21"/>
        </w:rPr>
      </w:pPr>
      <w:r>
        <w:rPr>
          <w:spacing w:val="-1"/>
          <w:sz w:val="21"/>
        </w:rPr>
        <w:t xml:space="preserve">开工准备 </w:t>
      </w:r>
    </w:p>
    <w:p w14:paraId="1D5D3DD0">
      <w:pPr>
        <w:pStyle w:val="17"/>
        <w:spacing w:before="4"/>
        <w:rPr>
          <w:sz w:val="15"/>
        </w:rPr>
      </w:pPr>
    </w:p>
    <w:p w14:paraId="4DD52B73">
      <w:pPr>
        <w:pStyle w:val="17"/>
        <w:spacing w:before="1"/>
        <w:ind w:left="746"/>
      </w:pPr>
      <w:r>
        <w:t>关于承包人提交工程开工报审表的期限：</w:t>
      </w:r>
      <w:r>
        <w:rPr>
          <w:u w:val="single"/>
        </w:rPr>
        <w:t>不晚于开工前 天</w:t>
      </w:r>
      <w:r>
        <w:t xml:space="preserve">。 </w:t>
      </w:r>
    </w:p>
    <w:p w14:paraId="122CCC01">
      <w:pPr>
        <w:pStyle w:val="17"/>
        <w:spacing w:before="10"/>
        <w:rPr>
          <w:sz w:val="9"/>
        </w:rPr>
      </w:pPr>
    </w:p>
    <w:p w14:paraId="0B49B879">
      <w:pPr>
        <w:pStyle w:val="17"/>
        <w:spacing w:before="71"/>
        <w:ind w:left="746"/>
      </w:pPr>
      <w:r>
        <w:rPr>
          <w:spacing w:val="-1"/>
        </w:rPr>
        <w:t>关于发包人应完成的其他开工准备工作及期限：</w:t>
      </w:r>
      <w:r>
        <w:rPr>
          <w:spacing w:val="12"/>
          <w:u w:val="single"/>
        </w:rPr>
        <w:t>不晚于开工前 天</w:t>
      </w:r>
      <w:r>
        <w:t xml:space="preserve">。 </w:t>
      </w:r>
    </w:p>
    <w:p w14:paraId="3DDAB0D9">
      <w:pPr>
        <w:pStyle w:val="17"/>
        <w:spacing w:before="10"/>
        <w:rPr>
          <w:sz w:val="9"/>
        </w:rPr>
      </w:pPr>
    </w:p>
    <w:p w14:paraId="2BDCB353">
      <w:pPr>
        <w:pStyle w:val="17"/>
        <w:spacing w:before="70"/>
        <w:ind w:left="746"/>
      </w:pPr>
      <w:r>
        <w:rPr>
          <w:spacing w:val="-1"/>
        </w:rPr>
        <w:t>关于承包人应完成的其他开工准备工作及期限：</w:t>
      </w:r>
      <w:r>
        <w:rPr>
          <w:spacing w:val="12"/>
          <w:u w:val="single"/>
        </w:rPr>
        <w:t>不晚于开工前 天</w:t>
      </w:r>
      <w:r>
        <w:t xml:space="preserve">。 </w:t>
      </w:r>
    </w:p>
    <w:p w14:paraId="1E4BFCA7">
      <w:pPr>
        <w:pStyle w:val="17"/>
        <w:spacing w:before="11"/>
        <w:rPr>
          <w:sz w:val="9"/>
        </w:rPr>
      </w:pPr>
    </w:p>
    <w:p w14:paraId="021B1BED">
      <w:pPr>
        <w:pStyle w:val="3"/>
        <w:numPr>
          <w:ilvl w:val="1"/>
          <w:numId w:val="5"/>
        </w:numPr>
        <w:tabs>
          <w:tab w:val="left" w:pos="1107"/>
        </w:tabs>
        <w:spacing w:before="3"/>
        <w:ind w:left="1107" w:hanging="361"/>
      </w:pPr>
      <w:r>
        <w:rPr>
          <w:spacing w:val="7"/>
        </w:rPr>
        <w:t>测量放线</w:t>
      </w:r>
      <w:r>
        <w:rPr>
          <w:spacing w:val="7"/>
          <w:w w:val="167"/>
        </w:rPr>
        <w:t xml:space="preserve"> </w:t>
      </w:r>
    </w:p>
    <w:p w14:paraId="5EB7BE9A">
      <w:pPr>
        <w:pStyle w:val="317"/>
        <w:numPr>
          <w:ilvl w:val="2"/>
          <w:numId w:val="5"/>
        </w:numPr>
        <w:tabs>
          <w:tab w:val="left" w:pos="1273"/>
        </w:tabs>
        <w:spacing w:before="161"/>
        <w:ind w:left="1273" w:hanging="527"/>
        <w:jc w:val="left"/>
        <w:rPr>
          <w:sz w:val="21"/>
        </w:rPr>
      </w:pPr>
      <w:r>
        <w:rPr>
          <w:spacing w:val="-1"/>
          <w:sz w:val="21"/>
        </w:rPr>
        <w:t>发包人通过监理人向承包人提供测量基准点、基准线和水准点及其书面资料的期限：</w:t>
      </w:r>
      <w:r>
        <w:rPr>
          <w:sz w:val="21"/>
          <w:u w:val="single"/>
        </w:rPr>
        <w:t>不晚于</w:t>
      </w:r>
    </w:p>
    <w:p w14:paraId="0B3767AA">
      <w:pPr>
        <w:pStyle w:val="17"/>
        <w:spacing w:before="10"/>
        <w:rPr>
          <w:sz w:val="9"/>
        </w:rPr>
      </w:pPr>
    </w:p>
    <w:p w14:paraId="23D53878">
      <w:pPr>
        <w:pStyle w:val="17"/>
        <w:spacing w:before="71"/>
        <w:ind w:left="326"/>
      </w:pPr>
      <w:r>
        <w:rPr>
          <w:u w:val="single"/>
        </w:rPr>
        <w:t>开工前 天</w:t>
      </w:r>
      <w:r>
        <w:t xml:space="preserve">。 </w:t>
      </w:r>
    </w:p>
    <w:p w14:paraId="1875AE63">
      <w:pPr>
        <w:pStyle w:val="17"/>
        <w:spacing w:before="10"/>
        <w:rPr>
          <w:sz w:val="9"/>
        </w:rPr>
      </w:pPr>
    </w:p>
    <w:p w14:paraId="2EF51AE2">
      <w:pPr>
        <w:pStyle w:val="17"/>
        <w:spacing w:before="71"/>
        <w:ind w:left="746"/>
      </w:pPr>
      <w:r>
        <w:rPr>
          <w:spacing w:val="-1"/>
        </w:rPr>
        <w:t>承包人报监理人审批施工控制网资料的期限：</w:t>
      </w:r>
      <w:r>
        <w:rPr>
          <w:u w:val="single"/>
        </w:rPr>
        <w:t>发出开工通知后 天。承包人发现发包人提供的测量</w:t>
      </w:r>
    </w:p>
    <w:p w14:paraId="01F4B658">
      <w:pPr>
        <w:pStyle w:val="17"/>
        <w:spacing w:before="11"/>
        <w:rPr>
          <w:sz w:val="9"/>
        </w:rPr>
      </w:pPr>
    </w:p>
    <w:p w14:paraId="76F7C453">
      <w:pPr>
        <w:pStyle w:val="17"/>
        <w:spacing w:before="70"/>
        <w:ind w:left="326"/>
      </w:pPr>
      <w:r>
        <w:rPr>
          <w:u w:val="single"/>
        </w:rPr>
        <w:t>基准点、基准线和水准点及其书面资料存在错误或疏漏的，应及时通知监理人并报告发包人，承包人应</w:t>
      </w:r>
    </w:p>
    <w:p w14:paraId="0234BF43">
      <w:pPr>
        <w:pStyle w:val="17"/>
        <w:spacing w:before="10"/>
        <w:rPr>
          <w:sz w:val="9"/>
        </w:rPr>
      </w:pPr>
    </w:p>
    <w:p w14:paraId="29A7241C">
      <w:pPr>
        <w:pStyle w:val="17"/>
        <w:spacing w:before="71"/>
        <w:ind w:left="326"/>
      </w:pPr>
      <w:r>
        <w:rPr>
          <w:u w:val="single"/>
        </w:rPr>
        <w:t>会同监理人、发包人核实，发包人就如何处理和是否继续施工作出决定，并通过监理人通知承包人</w:t>
      </w:r>
      <w:r>
        <w:t xml:space="preserve">。 </w:t>
      </w:r>
    </w:p>
    <w:p w14:paraId="3D71F72F">
      <w:pPr>
        <w:sectPr>
          <w:pgSz w:w="11910" w:h="16850"/>
          <w:pgMar w:top="1440" w:right="1080" w:bottom="1440" w:left="1080" w:header="0" w:footer="996" w:gutter="0"/>
          <w:cols w:space="720" w:num="1"/>
        </w:sectPr>
      </w:pPr>
    </w:p>
    <w:p w14:paraId="638B8C40">
      <w:pPr>
        <w:pStyle w:val="3"/>
        <w:numPr>
          <w:ilvl w:val="1"/>
          <w:numId w:val="5"/>
        </w:numPr>
        <w:tabs>
          <w:tab w:val="left" w:pos="942"/>
        </w:tabs>
        <w:spacing w:line="367" w:lineRule="exact"/>
        <w:ind w:left="942" w:hanging="361"/>
      </w:pPr>
      <w:r>
        <w:rPr>
          <w:spacing w:val="7"/>
        </w:rPr>
        <w:t>工期延误</w:t>
      </w:r>
      <w:r>
        <w:rPr>
          <w:spacing w:val="7"/>
          <w:w w:val="167"/>
        </w:rPr>
        <w:t xml:space="preserve"> </w:t>
      </w:r>
    </w:p>
    <w:p w14:paraId="5273842C">
      <w:pPr>
        <w:pStyle w:val="317"/>
        <w:numPr>
          <w:ilvl w:val="2"/>
          <w:numId w:val="5"/>
        </w:numPr>
        <w:tabs>
          <w:tab w:val="left" w:pos="1108"/>
        </w:tabs>
        <w:spacing w:before="145"/>
        <w:ind w:left="1108" w:hanging="527"/>
        <w:jc w:val="left"/>
        <w:rPr>
          <w:sz w:val="21"/>
        </w:rPr>
      </w:pPr>
      <w:r>
        <w:rPr>
          <w:spacing w:val="-1"/>
          <w:sz w:val="21"/>
        </w:rPr>
        <w:t>因发包人原因导致工期延误：</w:t>
      </w:r>
      <w:r>
        <w:rPr>
          <w:sz w:val="21"/>
        </w:rPr>
        <w:t xml:space="preserve"> </w:t>
      </w:r>
    </w:p>
    <w:p w14:paraId="380234FC">
      <w:pPr>
        <w:pStyle w:val="17"/>
        <w:spacing w:before="4"/>
        <w:rPr>
          <w:sz w:val="15"/>
        </w:rPr>
      </w:pPr>
    </w:p>
    <w:p w14:paraId="5876F5E3">
      <w:pPr>
        <w:pStyle w:val="17"/>
        <w:spacing w:line="429" w:lineRule="auto"/>
        <w:ind w:left="161" w:right="1294" w:firstLine="420"/>
      </w:pPr>
      <w:r>
        <w:rPr>
          <w:rFonts w:hint="eastAsia" w:ascii="仿宋" w:hAnsi="仿宋" w:eastAsia="仿宋"/>
          <w:sz w:val="28"/>
          <w:szCs w:val="28"/>
          <w:highlight w:val="yellow"/>
        </w:rPr>
        <w:t>在合同履行过程中，因发包人原因导致工期延误，工期顺延；发包人不再支付其它费用及利润</w:t>
      </w:r>
      <w:r>
        <w:t>。</w:t>
      </w:r>
    </w:p>
    <w:p w14:paraId="0A6CAD4E">
      <w:pPr>
        <w:pStyle w:val="17"/>
        <w:spacing w:before="11"/>
        <w:rPr>
          <w:sz w:val="9"/>
        </w:rPr>
      </w:pPr>
    </w:p>
    <w:p w14:paraId="3E1FB82C">
      <w:pPr>
        <w:pStyle w:val="317"/>
        <w:numPr>
          <w:ilvl w:val="2"/>
          <w:numId w:val="5"/>
        </w:numPr>
        <w:tabs>
          <w:tab w:val="left" w:pos="1108"/>
        </w:tabs>
        <w:spacing w:before="70"/>
        <w:ind w:left="1108" w:hanging="527"/>
        <w:jc w:val="left"/>
        <w:rPr>
          <w:sz w:val="21"/>
        </w:rPr>
      </w:pPr>
      <w:r>
        <w:rPr>
          <w:spacing w:val="-1"/>
          <w:sz w:val="21"/>
        </w:rPr>
        <w:t>因承包人原因导致工期延误</w:t>
      </w:r>
      <w:r>
        <w:rPr>
          <w:sz w:val="21"/>
        </w:rPr>
        <w:t xml:space="preserve"> </w:t>
      </w:r>
    </w:p>
    <w:p w14:paraId="18477058">
      <w:pPr>
        <w:pStyle w:val="17"/>
        <w:spacing w:before="4"/>
        <w:rPr>
          <w:sz w:val="15"/>
        </w:rPr>
      </w:pPr>
    </w:p>
    <w:p w14:paraId="06438465">
      <w:pPr>
        <w:pStyle w:val="17"/>
        <w:spacing w:before="1"/>
        <w:ind w:left="581"/>
      </w:pPr>
      <w:r>
        <w:rPr>
          <w:rFonts w:hint="eastAsia" w:ascii="仿宋" w:hAnsi="仿宋" w:eastAsia="仿宋"/>
          <w:sz w:val="28"/>
          <w:szCs w:val="28"/>
          <w:highlight w:val="yellow"/>
        </w:rPr>
        <w:t>因承包人原因造成工期延误，工期不得顺延，且承包人自行承担因此引起的窝工损失，逾期竣工违约金的计算方法为：</w:t>
      </w:r>
      <w:r>
        <w:rPr>
          <w:rFonts w:hint="eastAsia" w:ascii="仿宋" w:hAnsi="仿宋" w:eastAsia="仿宋"/>
          <w:sz w:val="28"/>
          <w:szCs w:val="28"/>
          <w:highlight w:val="yellow"/>
          <w:u w:val="single"/>
        </w:rPr>
        <w:t>工期延误十天以内处违约金人民币 1000 元/天计算，超过十天按 2000 元/天计算，时间自预定的竣工日期起到竣工证书中写明的实际竣工日期止（扣除发包人已批准的免责延长工期），按天计算</w:t>
      </w:r>
      <w:r>
        <w:rPr>
          <w:rFonts w:hint="eastAsia" w:ascii="仿宋" w:hAnsi="仿宋" w:eastAsia="仿宋"/>
          <w:sz w:val="28"/>
          <w:szCs w:val="28"/>
          <w:highlight w:val="yellow"/>
        </w:rPr>
        <w:t>。因承包人原因造成工期延误，逾期竣工违约金的上限：</w:t>
      </w:r>
      <w:r>
        <w:rPr>
          <w:rFonts w:hint="eastAsia" w:ascii="仿宋" w:hAnsi="仿宋" w:eastAsia="仿宋"/>
          <w:sz w:val="28"/>
          <w:szCs w:val="28"/>
          <w:highlight w:val="yellow"/>
          <w:u w:val="single"/>
        </w:rPr>
        <w:t>最高不超过签约合同价的 10%，逾期竣（完）工违约金已达到暂定合同价的10%而未竣工时，甲方有权解除合同，一切损失及后果由承包人承担</w:t>
      </w:r>
      <w:r>
        <w:rPr>
          <w:rFonts w:hint="eastAsia" w:ascii="仿宋" w:hAnsi="仿宋" w:eastAsia="仿宋"/>
          <w:sz w:val="28"/>
          <w:szCs w:val="28"/>
          <w:highlight w:val="yellow"/>
        </w:rPr>
        <w:t>。</w:t>
      </w:r>
      <w:r>
        <w:t xml:space="preserve"> </w:t>
      </w:r>
    </w:p>
    <w:p w14:paraId="482B1235">
      <w:pPr>
        <w:pStyle w:val="17"/>
        <w:spacing w:before="12"/>
        <w:rPr>
          <w:sz w:val="10"/>
        </w:rPr>
      </w:pPr>
    </w:p>
    <w:p w14:paraId="769A9363">
      <w:pPr>
        <w:pStyle w:val="3"/>
        <w:numPr>
          <w:ilvl w:val="1"/>
          <w:numId w:val="5"/>
        </w:numPr>
        <w:tabs>
          <w:tab w:val="left" w:pos="942"/>
        </w:tabs>
        <w:spacing w:before="4"/>
        <w:ind w:left="942" w:hanging="361"/>
      </w:pPr>
      <w:r>
        <w:rPr>
          <w:spacing w:val="6"/>
        </w:rPr>
        <w:t>不利物质条件</w:t>
      </w:r>
      <w:r>
        <w:rPr>
          <w:spacing w:val="6"/>
          <w:w w:val="167"/>
        </w:rPr>
        <w:t xml:space="preserve"> </w:t>
      </w:r>
    </w:p>
    <w:p w14:paraId="3310614E">
      <w:pPr>
        <w:pStyle w:val="17"/>
        <w:spacing w:before="145"/>
        <w:ind w:left="581"/>
      </w:pPr>
      <w:r>
        <w:t>不利物质条件的其他情形和有关约定：</w:t>
      </w:r>
      <w:r>
        <w:rPr>
          <w:rFonts w:hint="eastAsia" w:ascii="仿宋" w:hAnsi="仿宋" w:eastAsia="仿宋"/>
          <w:sz w:val="28"/>
          <w:szCs w:val="28"/>
          <w:highlight w:val="yellow"/>
          <w:u w:val="single"/>
        </w:rPr>
        <w:t>承包人按要求对施工场地和周围环境进行踏勘并充分收集相关资料，不利物质条件由承包人自行考虑，其费用已纳入合同价中</w:t>
      </w:r>
      <w:r>
        <w:rPr>
          <w:rFonts w:hint="eastAsia" w:ascii="仿宋" w:hAnsi="仿宋" w:eastAsia="仿宋"/>
          <w:sz w:val="28"/>
          <w:szCs w:val="28"/>
          <w:highlight w:val="yellow"/>
        </w:rPr>
        <w:t>。</w:t>
      </w:r>
      <w:r>
        <w:t xml:space="preserve">。 </w:t>
      </w:r>
    </w:p>
    <w:p w14:paraId="3EF05ADD">
      <w:pPr>
        <w:pStyle w:val="17"/>
        <w:spacing w:before="10"/>
        <w:rPr>
          <w:sz w:val="9"/>
        </w:rPr>
      </w:pPr>
    </w:p>
    <w:p w14:paraId="6E50A168">
      <w:pPr>
        <w:pStyle w:val="3"/>
        <w:numPr>
          <w:ilvl w:val="1"/>
          <w:numId w:val="5"/>
        </w:numPr>
        <w:tabs>
          <w:tab w:val="left" w:pos="1003"/>
        </w:tabs>
        <w:spacing w:before="4"/>
        <w:ind w:left="1002" w:hanging="422"/>
      </w:pPr>
      <w:r>
        <w:t>异常恶劣的气候条件</w:t>
      </w:r>
      <w:r>
        <w:rPr>
          <w:w w:val="167"/>
        </w:rPr>
        <w:t xml:space="preserve"> </w:t>
      </w:r>
    </w:p>
    <w:p w14:paraId="43C7C860">
      <w:pPr>
        <w:pStyle w:val="17"/>
        <w:spacing w:before="145"/>
        <w:ind w:left="581"/>
      </w:pPr>
      <w:r>
        <w:t>发包人和承包人同意以下情形视为异常恶劣的气候条件：</w:t>
      </w:r>
      <w:r>
        <w:rPr>
          <w:u w:val="single"/>
        </w:rPr>
        <w:t xml:space="preserve"> （异常气候是指项目所在地 50 年以上</w:t>
      </w:r>
    </w:p>
    <w:p w14:paraId="04D84C1A">
      <w:pPr>
        <w:pStyle w:val="17"/>
        <w:spacing w:before="11"/>
        <w:rPr>
          <w:sz w:val="9"/>
        </w:rPr>
      </w:pPr>
    </w:p>
    <w:p w14:paraId="667E4A1A">
      <w:pPr>
        <w:pStyle w:val="17"/>
        <w:spacing w:before="70"/>
        <w:ind w:left="161"/>
      </w:pPr>
      <w:r>
        <w:rPr>
          <w:u w:val="single"/>
        </w:rPr>
        <w:t>一遇的罕见气候现象）</w:t>
      </w:r>
      <w:r>
        <w:t xml:space="preserve">。 </w:t>
      </w:r>
    </w:p>
    <w:p w14:paraId="14ADD9ED">
      <w:pPr>
        <w:pStyle w:val="17"/>
        <w:rPr>
          <w:sz w:val="11"/>
        </w:rPr>
      </w:pPr>
    </w:p>
    <w:p w14:paraId="6716F2AE">
      <w:pPr>
        <w:pStyle w:val="3"/>
        <w:numPr>
          <w:ilvl w:val="1"/>
          <w:numId w:val="26"/>
        </w:numPr>
        <w:tabs>
          <w:tab w:val="left" w:pos="942"/>
        </w:tabs>
        <w:spacing w:before="4"/>
        <w:ind w:hanging="361"/>
      </w:pPr>
      <w:r>
        <w:rPr>
          <w:spacing w:val="7"/>
        </w:rPr>
        <w:t>提前竣工</w:t>
      </w:r>
      <w:r>
        <w:rPr>
          <w:spacing w:val="7"/>
          <w:w w:val="167"/>
        </w:rPr>
        <w:t xml:space="preserve"> </w:t>
      </w:r>
    </w:p>
    <w:p w14:paraId="18D59D5B">
      <w:pPr>
        <w:pStyle w:val="317"/>
        <w:numPr>
          <w:ilvl w:val="2"/>
          <w:numId w:val="26"/>
        </w:numPr>
        <w:tabs>
          <w:tab w:val="left" w:pos="1273"/>
        </w:tabs>
        <w:spacing w:before="15"/>
        <w:ind w:left="1273" w:hanging="527"/>
        <w:jc w:val="left"/>
        <w:rPr>
          <w:sz w:val="21"/>
        </w:rPr>
      </w:pPr>
      <w:r>
        <w:rPr>
          <w:rFonts w:hint="eastAsia" w:ascii="仿宋" w:hAnsi="仿宋" w:eastAsia="仿宋"/>
          <w:sz w:val="28"/>
          <w:szCs w:val="28"/>
          <w:highlight w:val="yellow"/>
        </w:rPr>
        <w:t>提前竣工的奖励：</w:t>
      </w:r>
      <w:r>
        <w:rPr>
          <w:rFonts w:hint="eastAsia" w:ascii="仿宋" w:hAnsi="仿宋" w:eastAsia="仿宋"/>
          <w:sz w:val="28"/>
          <w:szCs w:val="28"/>
          <w:highlight w:val="yellow"/>
          <w:u w:val="single"/>
        </w:rPr>
        <w:t>无</w:t>
      </w:r>
    </w:p>
    <w:p w14:paraId="0AE0B55B">
      <w:pPr>
        <w:pStyle w:val="17"/>
        <w:spacing w:before="7"/>
      </w:pPr>
    </w:p>
    <w:p w14:paraId="242D390E">
      <w:pPr>
        <w:pStyle w:val="3"/>
        <w:numPr>
          <w:ilvl w:val="0"/>
          <w:numId w:val="5"/>
        </w:numPr>
        <w:tabs>
          <w:tab w:val="left" w:pos="567"/>
        </w:tabs>
        <w:spacing w:before="3"/>
        <w:ind w:hanging="241"/>
        <w:jc w:val="left"/>
      </w:pPr>
      <w:r>
        <w:rPr>
          <w:spacing w:val="8"/>
        </w:rPr>
        <w:t>材料与设备</w:t>
      </w:r>
      <w:r>
        <w:rPr>
          <w:spacing w:val="8"/>
          <w:w w:val="167"/>
        </w:rPr>
        <w:t xml:space="preserve"> </w:t>
      </w:r>
    </w:p>
    <w:p w14:paraId="553087BD">
      <w:pPr>
        <w:pStyle w:val="17"/>
        <w:spacing w:before="4"/>
        <w:rPr>
          <w:rFonts w:ascii="微软雅黑"/>
          <w:b/>
          <w:sz w:val="13"/>
        </w:rPr>
      </w:pPr>
    </w:p>
    <w:p w14:paraId="42A088A8">
      <w:pPr>
        <w:pStyle w:val="317"/>
        <w:numPr>
          <w:ilvl w:val="1"/>
          <w:numId w:val="5"/>
        </w:numPr>
        <w:tabs>
          <w:tab w:val="left" w:pos="1168"/>
        </w:tabs>
        <w:ind w:left="1167" w:hanging="422"/>
        <w:rPr>
          <w:rFonts w:ascii="微软雅黑" w:eastAsia="微软雅黑"/>
          <w:b/>
          <w:sz w:val="21"/>
        </w:rPr>
      </w:pPr>
      <w:r>
        <w:rPr>
          <w:rFonts w:hint="eastAsia" w:ascii="微软雅黑" w:eastAsia="微软雅黑"/>
          <w:b/>
          <w:sz w:val="21"/>
        </w:rPr>
        <w:t>发包人供应材料与工程设备</w:t>
      </w:r>
      <w:r>
        <w:rPr>
          <w:rFonts w:hint="eastAsia" w:ascii="微软雅黑" w:eastAsia="微软雅黑"/>
          <w:b/>
          <w:w w:val="167"/>
          <w:sz w:val="21"/>
        </w:rPr>
        <w:t xml:space="preserve"> </w:t>
      </w:r>
    </w:p>
    <w:p w14:paraId="6E2EBEA0">
      <w:pPr>
        <w:pStyle w:val="17"/>
        <w:spacing w:before="146"/>
        <w:ind w:left="746"/>
      </w:pPr>
      <w:r>
        <w:t>材料的名称、规格、数量和价格：</w:t>
      </w:r>
      <w:r>
        <w:rPr>
          <w:u w:val="single"/>
        </w:rPr>
        <w:t>发包人应提供甲供材料的明细表，结算时按经监理人、承包人共</w:t>
      </w:r>
    </w:p>
    <w:p w14:paraId="0952FE1B">
      <w:pPr>
        <w:pStyle w:val="17"/>
        <w:spacing w:before="10"/>
        <w:rPr>
          <w:sz w:val="9"/>
        </w:rPr>
      </w:pPr>
    </w:p>
    <w:p w14:paraId="537594AA">
      <w:pPr>
        <w:pStyle w:val="17"/>
        <w:spacing w:before="71"/>
        <w:ind w:left="326"/>
      </w:pPr>
      <w:r>
        <w:rPr>
          <w:u w:val="single"/>
        </w:rPr>
        <w:t>同确认的供应数量乘以招标时甲供材料暂定价格，在支付工程款时扣除</w:t>
      </w:r>
      <w:r>
        <w:t xml:space="preserve">。 </w:t>
      </w:r>
    </w:p>
    <w:p w14:paraId="0F0D0332">
      <w:pPr>
        <w:pStyle w:val="17"/>
        <w:spacing w:before="10"/>
        <w:rPr>
          <w:sz w:val="9"/>
        </w:rPr>
      </w:pPr>
    </w:p>
    <w:p w14:paraId="3A948464">
      <w:pPr>
        <w:pStyle w:val="17"/>
        <w:spacing w:before="71"/>
        <w:ind w:left="746"/>
      </w:pPr>
      <w:r>
        <w:rPr>
          <w:u w:val="single"/>
        </w:rPr>
        <w:t>发包人按约定的内容提供材料设备并对提供的材料设备质量负责，承包人按施工规范和检测规范对</w:t>
      </w:r>
    </w:p>
    <w:p w14:paraId="435A2571">
      <w:pPr>
        <w:pStyle w:val="17"/>
        <w:rPr>
          <w:sz w:val="11"/>
        </w:rPr>
      </w:pPr>
    </w:p>
    <w:p w14:paraId="39D9D9B3">
      <w:pPr>
        <w:pStyle w:val="17"/>
        <w:spacing w:before="70"/>
        <w:ind w:left="326"/>
      </w:pPr>
      <w:r>
        <w:rPr>
          <w:spacing w:val="-1"/>
          <w:u w:val="single"/>
        </w:rPr>
        <w:t>一切进场材料进行质量检验，承包人有权退回检验不合格的材料；承包人对投入使用的材料质量负责</w:t>
      </w:r>
      <w:r>
        <w:t xml:space="preserve">。 </w:t>
      </w:r>
    </w:p>
    <w:p w14:paraId="3D678BB4">
      <w:pPr>
        <w:pStyle w:val="17"/>
        <w:spacing w:before="11"/>
        <w:rPr>
          <w:sz w:val="9"/>
        </w:rPr>
      </w:pPr>
    </w:p>
    <w:p w14:paraId="70DCD468">
      <w:pPr>
        <w:pStyle w:val="3"/>
        <w:numPr>
          <w:ilvl w:val="1"/>
          <w:numId w:val="5"/>
        </w:numPr>
        <w:tabs>
          <w:tab w:val="left" w:pos="1107"/>
        </w:tabs>
        <w:spacing w:before="3"/>
        <w:ind w:left="1107" w:hanging="361"/>
      </w:pPr>
      <w:r>
        <w:t>承包人采购材料与工程设备</w:t>
      </w:r>
      <w:r>
        <w:rPr>
          <w:w w:val="167"/>
        </w:rPr>
        <w:t xml:space="preserve"> </w:t>
      </w:r>
    </w:p>
    <w:p w14:paraId="08FCB139">
      <w:pPr>
        <w:pStyle w:val="317"/>
        <w:numPr>
          <w:ilvl w:val="2"/>
          <w:numId w:val="5"/>
        </w:numPr>
        <w:tabs>
          <w:tab w:val="left" w:pos="1333"/>
        </w:tabs>
        <w:spacing w:before="145"/>
        <w:ind w:left="1333" w:hanging="587"/>
        <w:jc w:val="left"/>
        <w:rPr>
          <w:sz w:val="21"/>
        </w:rPr>
      </w:pPr>
      <w:r>
        <w:rPr>
          <w:spacing w:val="-1"/>
          <w:sz w:val="21"/>
        </w:rPr>
        <w:t>承包人负责采购、运输和保管的材料、工程设备：</w:t>
      </w:r>
      <w:r>
        <w:rPr>
          <w:sz w:val="21"/>
          <w:u w:val="single"/>
        </w:rPr>
        <w:t>由承包人自行采购。承包人采购材料设备</w:t>
      </w:r>
    </w:p>
    <w:p w14:paraId="023BBEB2">
      <w:pPr>
        <w:pStyle w:val="17"/>
        <w:spacing w:before="11"/>
        <w:rPr>
          <w:sz w:val="9"/>
        </w:rPr>
      </w:pPr>
    </w:p>
    <w:p w14:paraId="5C78691A">
      <w:pPr>
        <w:pStyle w:val="17"/>
        <w:spacing w:before="71"/>
        <w:ind w:left="326"/>
      </w:pPr>
      <w:r>
        <w:rPr>
          <w:spacing w:val="-8"/>
          <w:u w:val="single"/>
        </w:rPr>
        <w:t>必须经监理人和发包人批准，结算时由监理人和发包人按招标文件规定审核的数量和合同约定价格计算</w:t>
      </w:r>
      <w:r>
        <w:rPr>
          <w:spacing w:val="-105"/>
        </w:rPr>
        <w:t>。</w:t>
      </w:r>
      <w:r>
        <w:t xml:space="preserve"> </w:t>
      </w:r>
    </w:p>
    <w:p w14:paraId="38C9EB15">
      <w:pPr>
        <w:pStyle w:val="17"/>
        <w:spacing w:before="10"/>
        <w:rPr>
          <w:sz w:val="9"/>
        </w:rPr>
      </w:pPr>
    </w:p>
    <w:p w14:paraId="1B1B48C5">
      <w:pPr>
        <w:pStyle w:val="317"/>
        <w:numPr>
          <w:ilvl w:val="2"/>
          <w:numId w:val="5"/>
        </w:numPr>
        <w:tabs>
          <w:tab w:val="left" w:pos="1333"/>
        </w:tabs>
        <w:spacing w:before="71"/>
        <w:ind w:left="1333" w:hanging="587"/>
        <w:jc w:val="left"/>
        <w:rPr>
          <w:sz w:val="21"/>
        </w:rPr>
      </w:pPr>
      <w:r>
        <w:rPr>
          <w:spacing w:val="-1"/>
          <w:sz w:val="21"/>
        </w:rPr>
        <w:t>承包人报送监理人审批的时间：</w:t>
      </w:r>
      <w:r>
        <w:rPr>
          <w:spacing w:val="-1"/>
          <w:sz w:val="21"/>
          <w:u w:val="single"/>
        </w:rPr>
        <w:t>按发包人及监理单位的相关规定执行</w:t>
      </w:r>
      <w:r>
        <w:rPr>
          <w:sz w:val="21"/>
        </w:rPr>
        <w:t xml:space="preserve">。 </w:t>
      </w:r>
    </w:p>
    <w:p w14:paraId="3B9DFE4E">
      <w:pPr>
        <w:pStyle w:val="17"/>
        <w:spacing w:before="12"/>
        <w:rPr>
          <w:sz w:val="10"/>
        </w:rPr>
      </w:pPr>
    </w:p>
    <w:p w14:paraId="63154A50">
      <w:pPr>
        <w:pStyle w:val="317"/>
        <w:numPr>
          <w:ilvl w:val="2"/>
          <w:numId w:val="5"/>
        </w:numPr>
        <w:tabs>
          <w:tab w:val="left" w:pos="1333"/>
        </w:tabs>
        <w:spacing w:before="71"/>
        <w:ind w:left="1333" w:hanging="587"/>
        <w:jc w:val="left"/>
        <w:rPr>
          <w:sz w:val="21"/>
        </w:rPr>
      </w:pPr>
      <w:r>
        <w:rPr>
          <w:spacing w:val="-1"/>
          <w:sz w:val="21"/>
        </w:rPr>
        <w:t>承包人选择的生产厂家或供应商满足下列条件：</w:t>
      </w:r>
      <w:r>
        <w:rPr>
          <w:sz w:val="21"/>
        </w:rPr>
        <w:t xml:space="preserve"> </w:t>
      </w:r>
    </w:p>
    <w:p w14:paraId="58668675">
      <w:pPr>
        <w:pStyle w:val="17"/>
        <w:spacing w:before="4"/>
        <w:rPr>
          <w:sz w:val="15"/>
        </w:rPr>
      </w:pPr>
    </w:p>
    <w:p w14:paraId="241CA2A3">
      <w:pPr>
        <w:pStyle w:val="317"/>
        <w:numPr>
          <w:ilvl w:val="0"/>
          <w:numId w:val="27"/>
        </w:numPr>
        <w:tabs>
          <w:tab w:val="left" w:pos="958"/>
        </w:tabs>
        <w:ind w:hanging="212"/>
        <w:rPr>
          <w:sz w:val="21"/>
        </w:rPr>
      </w:pPr>
      <w:r>
        <w:rPr>
          <w:spacing w:val="-1"/>
          <w:sz w:val="21"/>
        </w:rPr>
        <w:t>承包人选择的混凝土供应商应满足下列条件：</w:t>
      </w:r>
      <w:r>
        <w:rPr>
          <w:spacing w:val="14"/>
          <w:sz w:val="21"/>
        </w:rPr>
        <w:t xml:space="preserve"> ； </w:t>
      </w:r>
    </w:p>
    <w:p w14:paraId="30607041">
      <w:pPr>
        <w:pStyle w:val="17"/>
        <w:spacing w:before="11"/>
        <w:rPr>
          <w:sz w:val="9"/>
        </w:rPr>
      </w:pPr>
    </w:p>
    <w:p w14:paraId="20C79874">
      <w:pPr>
        <w:pStyle w:val="317"/>
        <w:numPr>
          <w:ilvl w:val="0"/>
          <w:numId w:val="27"/>
        </w:numPr>
        <w:tabs>
          <w:tab w:val="left" w:pos="958"/>
        </w:tabs>
        <w:spacing w:before="70"/>
        <w:ind w:hanging="212"/>
        <w:rPr>
          <w:sz w:val="21"/>
        </w:rPr>
      </w:pPr>
      <w:r>
        <w:rPr>
          <w:spacing w:val="-1"/>
          <w:sz w:val="21"/>
        </w:rPr>
        <w:t>承包人选择的钢材供应商应满足下列条件：</w:t>
      </w:r>
      <w:r>
        <w:rPr>
          <w:spacing w:val="-4"/>
          <w:sz w:val="21"/>
          <w:u w:val="single"/>
        </w:rPr>
        <w:t xml:space="preserve">       </w:t>
      </w:r>
      <w:r>
        <w:rPr>
          <w:spacing w:val="14"/>
          <w:sz w:val="21"/>
        </w:rPr>
        <w:t xml:space="preserve"> ； </w:t>
      </w:r>
    </w:p>
    <w:p w14:paraId="27FFEB06">
      <w:pPr>
        <w:pStyle w:val="17"/>
        <w:spacing w:before="10"/>
        <w:rPr>
          <w:sz w:val="9"/>
        </w:rPr>
      </w:pPr>
    </w:p>
    <w:p w14:paraId="1DEDF780">
      <w:pPr>
        <w:pStyle w:val="317"/>
        <w:numPr>
          <w:ilvl w:val="0"/>
          <w:numId w:val="27"/>
        </w:numPr>
        <w:tabs>
          <w:tab w:val="left" w:pos="958"/>
        </w:tabs>
        <w:spacing w:before="71"/>
        <w:ind w:hanging="212"/>
        <w:rPr>
          <w:sz w:val="21"/>
        </w:rPr>
      </w:pPr>
      <w:r>
        <w:rPr>
          <w:spacing w:val="-1"/>
          <w:sz w:val="21"/>
        </w:rPr>
        <w:t>承包人选择的水泥供应商应满足下列条件：</w:t>
      </w:r>
      <w:r>
        <w:rPr>
          <w:spacing w:val="-4"/>
          <w:sz w:val="21"/>
          <w:u w:val="single"/>
        </w:rPr>
        <w:t xml:space="preserve">       </w:t>
      </w:r>
      <w:r>
        <w:rPr>
          <w:spacing w:val="14"/>
          <w:sz w:val="21"/>
        </w:rPr>
        <w:t xml:space="preserve"> ； </w:t>
      </w:r>
    </w:p>
    <w:p w14:paraId="1105FAED">
      <w:pPr>
        <w:pStyle w:val="17"/>
        <w:spacing w:before="10"/>
        <w:rPr>
          <w:sz w:val="9"/>
        </w:rPr>
      </w:pPr>
    </w:p>
    <w:p w14:paraId="5035EFA4">
      <w:pPr>
        <w:pStyle w:val="317"/>
        <w:numPr>
          <w:ilvl w:val="0"/>
          <w:numId w:val="27"/>
        </w:numPr>
        <w:tabs>
          <w:tab w:val="left" w:pos="958"/>
        </w:tabs>
        <w:spacing w:before="71" w:line="429" w:lineRule="auto"/>
        <w:ind w:left="326" w:right="1129" w:firstLine="420"/>
        <w:rPr>
          <w:sz w:val="21"/>
        </w:rPr>
      </w:pPr>
      <w:r>
        <w:rPr>
          <w:sz w:val="21"/>
        </w:rPr>
        <w:t>承包人采购的材料与设计或标准要求不符时，承包人应按发包人和监理人要求的时间运出施工场</w:t>
      </w:r>
      <w:r>
        <w:rPr>
          <w:spacing w:val="-1"/>
          <w:sz w:val="21"/>
        </w:rPr>
        <w:t>地，并重新采购符合要求的产品，并承担由此发生的费用，因此延误的工期不予顺延。</w:t>
      </w:r>
      <w:r>
        <w:rPr>
          <w:sz w:val="21"/>
        </w:rPr>
        <w:t xml:space="preserve"> </w:t>
      </w:r>
    </w:p>
    <w:p w14:paraId="6251D998">
      <w:pPr>
        <w:pStyle w:val="317"/>
        <w:numPr>
          <w:ilvl w:val="0"/>
          <w:numId w:val="27"/>
        </w:numPr>
        <w:tabs>
          <w:tab w:val="left" w:pos="958"/>
        </w:tabs>
        <w:spacing w:line="252" w:lineRule="exact"/>
        <w:ind w:hanging="212"/>
        <w:rPr>
          <w:sz w:val="21"/>
        </w:rPr>
      </w:pPr>
      <w:r>
        <w:rPr>
          <w:spacing w:val="-1"/>
          <w:sz w:val="21"/>
        </w:rPr>
        <w:t>承包人采购的材料在使用前，应按发包人和监理人的要求进行检验或试验，不合格的不得使用。</w:t>
      </w:r>
      <w:r>
        <w:rPr>
          <w:sz w:val="21"/>
        </w:rPr>
        <w:t xml:space="preserve"> </w:t>
      </w:r>
    </w:p>
    <w:p w14:paraId="05E6EDC5">
      <w:pPr>
        <w:pStyle w:val="17"/>
        <w:spacing w:before="4"/>
        <w:rPr>
          <w:sz w:val="15"/>
        </w:rPr>
      </w:pPr>
    </w:p>
    <w:p w14:paraId="6C0DC5E6">
      <w:pPr>
        <w:pStyle w:val="17"/>
        <w:ind w:left="746"/>
      </w:pPr>
      <w:r>
        <w:t>F.</w:t>
      </w:r>
      <w:r>
        <w:rPr>
          <w:u w:val="single"/>
        </w:rPr>
        <w:t xml:space="preserve"> </w:t>
      </w:r>
      <w:r>
        <w:t xml:space="preserve">。 </w:t>
      </w:r>
    </w:p>
    <w:p w14:paraId="482A8711">
      <w:pPr>
        <w:pStyle w:val="17"/>
        <w:spacing w:before="10"/>
        <w:rPr>
          <w:sz w:val="9"/>
        </w:rPr>
      </w:pPr>
    </w:p>
    <w:p w14:paraId="0AF7E6C7">
      <w:pPr>
        <w:pStyle w:val="3"/>
        <w:numPr>
          <w:ilvl w:val="1"/>
          <w:numId w:val="28"/>
        </w:numPr>
        <w:tabs>
          <w:tab w:val="left" w:pos="1107"/>
        </w:tabs>
        <w:spacing w:before="4"/>
        <w:ind w:hanging="361"/>
      </w:pPr>
      <w:r>
        <w:t>材料与工程设备的保管与使用</w:t>
      </w:r>
      <w:r>
        <w:rPr>
          <w:w w:val="167"/>
        </w:rPr>
        <w:t xml:space="preserve"> </w:t>
      </w:r>
    </w:p>
    <w:p w14:paraId="713E6FC3">
      <w:pPr>
        <w:pStyle w:val="317"/>
        <w:numPr>
          <w:ilvl w:val="2"/>
          <w:numId w:val="28"/>
        </w:numPr>
        <w:tabs>
          <w:tab w:val="left" w:pos="1273"/>
        </w:tabs>
        <w:spacing w:before="145"/>
        <w:ind w:hanging="527"/>
        <w:rPr>
          <w:sz w:val="21"/>
        </w:rPr>
      </w:pPr>
      <w:r>
        <w:rPr>
          <w:spacing w:val="-1"/>
          <w:sz w:val="21"/>
        </w:rPr>
        <w:t>发包人供应的材料设备的保管费用的承担：</w:t>
      </w:r>
      <w:r>
        <w:rPr>
          <w:spacing w:val="20"/>
          <w:sz w:val="21"/>
        </w:rPr>
        <w:t xml:space="preserve"> 。 </w:t>
      </w:r>
    </w:p>
    <w:p w14:paraId="3072D023">
      <w:pPr>
        <w:pStyle w:val="17"/>
        <w:rPr>
          <w:sz w:val="11"/>
        </w:rPr>
      </w:pPr>
    </w:p>
    <w:p w14:paraId="2254A844">
      <w:pPr>
        <w:pStyle w:val="3"/>
        <w:numPr>
          <w:ilvl w:val="1"/>
          <w:numId w:val="29"/>
        </w:numPr>
        <w:tabs>
          <w:tab w:val="left" w:pos="1107"/>
        </w:tabs>
        <w:spacing w:before="4"/>
        <w:ind w:hanging="361"/>
      </w:pPr>
      <w:r>
        <w:rPr>
          <w:spacing w:val="15"/>
        </w:rPr>
        <w:t>样品</w:t>
      </w:r>
      <w:r>
        <w:rPr>
          <w:w w:val="167"/>
        </w:rPr>
        <w:t xml:space="preserve"> </w:t>
      </w:r>
    </w:p>
    <w:p w14:paraId="02E097B4">
      <w:pPr>
        <w:pStyle w:val="317"/>
        <w:numPr>
          <w:ilvl w:val="2"/>
          <w:numId w:val="29"/>
        </w:numPr>
        <w:tabs>
          <w:tab w:val="left" w:pos="1273"/>
        </w:tabs>
        <w:spacing w:before="145"/>
        <w:ind w:hanging="527"/>
        <w:rPr>
          <w:sz w:val="21"/>
        </w:rPr>
      </w:pPr>
      <w:r>
        <w:rPr>
          <w:sz w:val="21"/>
        </w:rPr>
        <w:t xml:space="preserve">样品的报送与封存 </w:t>
      </w:r>
    </w:p>
    <w:p w14:paraId="124369D6">
      <w:pPr>
        <w:pStyle w:val="17"/>
        <w:spacing w:before="4"/>
        <w:rPr>
          <w:sz w:val="15"/>
        </w:rPr>
      </w:pPr>
    </w:p>
    <w:p w14:paraId="7FD2AF0D">
      <w:pPr>
        <w:pStyle w:val="17"/>
        <w:ind w:left="746"/>
      </w:pPr>
      <w:r>
        <w:rPr>
          <w:spacing w:val="-1"/>
        </w:rPr>
        <w:t>需要承包人报送样品的材料或工程设备，样品的种类、名称、规格、数量要求：</w:t>
      </w:r>
      <w:r>
        <w:rPr>
          <w:spacing w:val="56"/>
          <w:u w:val="single"/>
        </w:rPr>
        <w:t xml:space="preserve"> </w:t>
      </w:r>
      <w:r>
        <w:t xml:space="preserve">。 </w:t>
      </w:r>
    </w:p>
    <w:p w14:paraId="7498DC10">
      <w:pPr>
        <w:pStyle w:val="17"/>
        <w:spacing w:before="11"/>
        <w:rPr>
          <w:sz w:val="9"/>
        </w:rPr>
      </w:pPr>
    </w:p>
    <w:p w14:paraId="43A2AD4C">
      <w:pPr>
        <w:pStyle w:val="3"/>
        <w:numPr>
          <w:ilvl w:val="1"/>
          <w:numId w:val="30"/>
        </w:numPr>
        <w:tabs>
          <w:tab w:val="left" w:pos="1107"/>
        </w:tabs>
        <w:spacing w:before="3"/>
        <w:ind w:hanging="361"/>
      </w:pPr>
      <w:r>
        <w:rPr>
          <w:spacing w:val="3"/>
        </w:rPr>
        <w:t>施工设备和临时设施</w:t>
      </w:r>
      <w:r>
        <w:rPr>
          <w:spacing w:val="3"/>
          <w:w w:val="167"/>
        </w:rPr>
        <w:t xml:space="preserve"> </w:t>
      </w:r>
    </w:p>
    <w:p w14:paraId="3D0AB2B3">
      <w:pPr>
        <w:pStyle w:val="317"/>
        <w:numPr>
          <w:ilvl w:val="2"/>
          <w:numId w:val="30"/>
        </w:numPr>
        <w:tabs>
          <w:tab w:val="left" w:pos="1273"/>
        </w:tabs>
        <w:spacing w:before="146"/>
        <w:ind w:hanging="527"/>
        <w:rPr>
          <w:sz w:val="21"/>
        </w:rPr>
      </w:pPr>
      <w:r>
        <w:rPr>
          <w:spacing w:val="-1"/>
          <w:sz w:val="21"/>
        </w:rPr>
        <w:t>承包人提供的施工设备和临时设施</w:t>
      </w:r>
      <w:r>
        <w:rPr>
          <w:sz w:val="21"/>
        </w:rPr>
        <w:t xml:space="preserve"> </w:t>
      </w:r>
    </w:p>
    <w:p w14:paraId="1353EF68">
      <w:pPr>
        <w:rPr>
          <w:sz w:val="21"/>
        </w:rPr>
        <w:sectPr>
          <w:pgSz w:w="11910" w:h="16850"/>
          <w:pgMar w:top="1440" w:right="1080" w:bottom="1440" w:left="1080" w:header="0" w:footer="996" w:gutter="0"/>
          <w:cols w:space="720" w:num="1"/>
        </w:sectPr>
      </w:pPr>
    </w:p>
    <w:p w14:paraId="5CD84E9F">
      <w:pPr>
        <w:pStyle w:val="17"/>
        <w:spacing w:before="46"/>
        <w:ind w:left="581"/>
      </w:pPr>
      <w:r>
        <w:t>关于修建临时设施费用承担的约定：</w:t>
      </w:r>
      <w:r>
        <w:rPr>
          <w:u w:val="single"/>
        </w:rPr>
        <w:t>由承包人承担</w:t>
      </w:r>
      <w:r>
        <w:t xml:space="preserve">。 </w:t>
      </w:r>
    </w:p>
    <w:p w14:paraId="682297DA">
      <w:pPr>
        <w:pStyle w:val="17"/>
        <w:spacing w:before="7"/>
      </w:pPr>
    </w:p>
    <w:p w14:paraId="390518CC">
      <w:pPr>
        <w:pStyle w:val="3"/>
        <w:numPr>
          <w:ilvl w:val="0"/>
          <w:numId w:val="5"/>
        </w:numPr>
        <w:tabs>
          <w:tab w:val="left" w:pos="402"/>
        </w:tabs>
        <w:spacing w:before="3"/>
        <w:ind w:left="401" w:hanging="241"/>
        <w:jc w:val="left"/>
      </w:pPr>
      <w:r>
        <w:rPr>
          <w:spacing w:val="8"/>
        </w:rPr>
        <w:t>试验与检验</w:t>
      </w:r>
      <w:r>
        <w:rPr>
          <w:spacing w:val="8"/>
          <w:w w:val="167"/>
        </w:rPr>
        <w:t xml:space="preserve"> </w:t>
      </w:r>
    </w:p>
    <w:p w14:paraId="0B9956F3">
      <w:pPr>
        <w:pStyle w:val="17"/>
        <w:spacing w:before="4"/>
        <w:rPr>
          <w:rFonts w:ascii="微软雅黑"/>
          <w:b/>
          <w:sz w:val="13"/>
        </w:rPr>
      </w:pPr>
    </w:p>
    <w:p w14:paraId="4F497A44">
      <w:pPr>
        <w:pStyle w:val="317"/>
        <w:numPr>
          <w:ilvl w:val="1"/>
          <w:numId w:val="5"/>
        </w:numPr>
        <w:tabs>
          <w:tab w:val="left" w:pos="942"/>
        </w:tabs>
        <w:ind w:left="942" w:hanging="361"/>
        <w:rPr>
          <w:rFonts w:ascii="微软雅黑" w:eastAsia="微软雅黑"/>
          <w:b/>
          <w:sz w:val="21"/>
        </w:rPr>
      </w:pPr>
      <w:r>
        <w:rPr>
          <w:rFonts w:hint="eastAsia" w:ascii="微软雅黑" w:eastAsia="微软雅黑"/>
          <w:b/>
          <w:spacing w:val="3"/>
          <w:sz w:val="21"/>
        </w:rPr>
        <w:t>试验设备与试验人员</w:t>
      </w:r>
      <w:r>
        <w:rPr>
          <w:rFonts w:hint="eastAsia" w:ascii="微软雅黑" w:eastAsia="微软雅黑"/>
          <w:b/>
          <w:spacing w:val="3"/>
          <w:w w:val="167"/>
          <w:sz w:val="21"/>
        </w:rPr>
        <w:t xml:space="preserve"> </w:t>
      </w:r>
    </w:p>
    <w:p w14:paraId="4531B5DE">
      <w:pPr>
        <w:pStyle w:val="17"/>
        <w:spacing w:before="146"/>
        <w:ind w:left="581"/>
      </w:pPr>
      <w:r>
        <w:t xml:space="preserve">9.1.2 试验设备 </w:t>
      </w:r>
    </w:p>
    <w:p w14:paraId="779D11D7">
      <w:pPr>
        <w:pStyle w:val="17"/>
        <w:spacing w:before="6"/>
        <w:rPr>
          <w:sz w:val="16"/>
        </w:rPr>
      </w:pPr>
    </w:p>
    <w:p w14:paraId="2A1A27C8">
      <w:pPr>
        <w:pStyle w:val="17"/>
        <w:ind w:left="581"/>
      </w:pPr>
      <w:r>
        <w:rPr>
          <w:spacing w:val="-2"/>
        </w:rPr>
        <w:t>施工现场需要配置的试验场所：</w:t>
      </w:r>
      <w:r>
        <w:rPr>
          <w:u w:val="single"/>
        </w:rPr>
        <w:t>满足工程施工的需要</w:t>
      </w:r>
      <w:r>
        <w:t xml:space="preserve">。 </w:t>
      </w:r>
    </w:p>
    <w:p w14:paraId="71BDF8B4">
      <w:pPr>
        <w:pStyle w:val="17"/>
        <w:spacing w:before="10"/>
        <w:rPr>
          <w:sz w:val="9"/>
        </w:rPr>
      </w:pPr>
    </w:p>
    <w:p w14:paraId="4E828077">
      <w:pPr>
        <w:pStyle w:val="17"/>
        <w:spacing w:before="71"/>
        <w:ind w:left="581"/>
      </w:pPr>
      <w:r>
        <w:rPr>
          <w:spacing w:val="-2"/>
        </w:rPr>
        <w:t>施工现场需要配备的试验设备：</w:t>
      </w:r>
      <w:r>
        <w:rPr>
          <w:u w:val="single"/>
        </w:rPr>
        <w:t>满足工程施工的需要</w:t>
      </w:r>
      <w:r>
        <w:t xml:space="preserve">。 </w:t>
      </w:r>
    </w:p>
    <w:p w14:paraId="122B2080">
      <w:pPr>
        <w:pStyle w:val="17"/>
        <w:spacing w:before="10"/>
        <w:rPr>
          <w:sz w:val="9"/>
        </w:rPr>
      </w:pPr>
    </w:p>
    <w:p w14:paraId="441490D9">
      <w:pPr>
        <w:pStyle w:val="17"/>
        <w:spacing w:before="71"/>
        <w:ind w:left="581"/>
      </w:pPr>
      <w:r>
        <w:t>施工现场需要具备的其他试验条件：</w:t>
      </w:r>
      <w:r>
        <w:rPr>
          <w:u w:val="single"/>
        </w:rPr>
        <w:t xml:space="preserve"> </w:t>
      </w:r>
      <w:r>
        <w:t xml:space="preserve">。 </w:t>
      </w:r>
    </w:p>
    <w:p w14:paraId="65B79CBB">
      <w:pPr>
        <w:pStyle w:val="17"/>
        <w:spacing w:before="10"/>
        <w:rPr>
          <w:sz w:val="9"/>
        </w:rPr>
      </w:pPr>
    </w:p>
    <w:p w14:paraId="2DE0E06B">
      <w:pPr>
        <w:pStyle w:val="3"/>
        <w:numPr>
          <w:ilvl w:val="1"/>
          <w:numId w:val="31"/>
        </w:numPr>
        <w:tabs>
          <w:tab w:val="left" w:pos="942"/>
        </w:tabs>
        <w:spacing w:before="4"/>
        <w:ind w:hanging="361"/>
      </w:pPr>
      <w:r>
        <w:rPr>
          <w:spacing w:val="5"/>
        </w:rPr>
        <w:t>现场工艺试验</w:t>
      </w:r>
      <w:r>
        <w:rPr>
          <w:spacing w:val="5"/>
          <w:w w:val="167"/>
        </w:rPr>
        <w:t xml:space="preserve"> </w:t>
      </w:r>
    </w:p>
    <w:p w14:paraId="49B85963">
      <w:pPr>
        <w:pStyle w:val="17"/>
        <w:spacing w:before="146"/>
        <w:ind w:left="581"/>
      </w:pPr>
      <w:r>
        <w:rPr>
          <w:spacing w:val="-10"/>
        </w:rPr>
        <w:t xml:space="preserve">本款补充 </w:t>
      </w:r>
      <w:r>
        <w:t>9.4.1～9.4.5</w:t>
      </w:r>
      <w:r>
        <w:rPr>
          <w:spacing w:val="-15"/>
        </w:rPr>
        <w:t xml:space="preserve"> 项： </w:t>
      </w:r>
    </w:p>
    <w:p w14:paraId="12871972">
      <w:pPr>
        <w:pStyle w:val="17"/>
        <w:spacing w:before="6"/>
        <w:rPr>
          <w:sz w:val="16"/>
        </w:rPr>
      </w:pPr>
    </w:p>
    <w:p w14:paraId="64C92440">
      <w:pPr>
        <w:pStyle w:val="317"/>
        <w:numPr>
          <w:ilvl w:val="2"/>
          <w:numId w:val="31"/>
        </w:numPr>
        <w:tabs>
          <w:tab w:val="left" w:pos="1168"/>
        </w:tabs>
        <w:ind w:hanging="587"/>
        <w:jc w:val="both"/>
        <w:rPr>
          <w:sz w:val="21"/>
        </w:rPr>
      </w:pPr>
      <w:r>
        <w:rPr>
          <w:sz w:val="21"/>
        </w:rPr>
        <w:t xml:space="preserve">一般检验试验： </w:t>
      </w:r>
    </w:p>
    <w:p w14:paraId="40327D77">
      <w:pPr>
        <w:pStyle w:val="17"/>
        <w:spacing w:before="4"/>
        <w:rPr>
          <w:sz w:val="15"/>
        </w:rPr>
      </w:pPr>
    </w:p>
    <w:p w14:paraId="45D14B5C">
      <w:pPr>
        <w:pStyle w:val="17"/>
        <w:spacing w:line="417" w:lineRule="auto"/>
        <w:ind w:left="161" w:right="1161" w:firstLine="420"/>
        <w:jc w:val="both"/>
      </w:pPr>
      <w:r>
        <w:t>根据《建设工程质量检测管理办法》（</w:t>
      </w:r>
      <w:r>
        <w:rPr>
          <w:spacing w:val="-9"/>
        </w:rPr>
        <w:t xml:space="preserve">建设部令第 </w:t>
      </w:r>
      <w:r>
        <w:t>141</w:t>
      </w:r>
      <w:r>
        <w:rPr>
          <w:spacing w:val="-23"/>
        </w:rPr>
        <w:t xml:space="preserve"> 号</w:t>
      </w:r>
      <w:r>
        <w:t>）</w:t>
      </w:r>
      <w:r>
        <w:rPr>
          <w:spacing w:val="-1"/>
        </w:rPr>
        <w:t>、关于实施《建设工程质量检测管理办法》有关问题的通知（</w:t>
      </w:r>
      <w:r>
        <w:rPr>
          <w:spacing w:val="-2"/>
        </w:rPr>
        <w:t>建质〔</w:t>
      </w:r>
      <w:r>
        <w:t>2009〕25</w:t>
      </w:r>
      <w:r>
        <w:rPr>
          <w:spacing w:val="-23"/>
        </w:rPr>
        <w:t xml:space="preserve"> 号</w:t>
      </w:r>
      <w:r>
        <w:t>）、《重庆市建设工程质量检测管理规定》（</w:t>
      </w:r>
      <w:r>
        <w:rPr>
          <w:spacing w:val="-2"/>
        </w:rPr>
        <w:t>渝建发〔</w:t>
      </w:r>
      <w:r>
        <w:t>2009〕123</w:t>
      </w:r>
      <w:r>
        <w:rPr>
          <w:spacing w:val="-23"/>
        </w:rPr>
        <w:t xml:space="preserve"> 号</w:t>
      </w:r>
      <w:r>
        <w:rPr>
          <w:spacing w:val="-30"/>
        </w:rPr>
        <w:t>）</w:t>
      </w:r>
      <w:r>
        <w:rPr>
          <w:spacing w:val="-10"/>
        </w:rPr>
        <w:t>、《关于加强我市建设工程质量检测委托管理的通知》</w:t>
      </w:r>
      <w:r>
        <w:t>（</w:t>
      </w:r>
      <w:r>
        <w:rPr>
          <w:spacing w:val="-12"/>
        </w:rPr>
        <w:t>渝建〔</w:t>
      </w:r>
      <w:r>
        <w:rPr>
          <w:spacing w:val="4"/>
        </w:rPr>
        <w:t>2015</w:t>
      </w:r>
      <w:r>
        <w:rPr>
          <w:spacing w:val="-30"/>
        </w:rPr>
        <w:t>〕</w:t>
      </w:r>
      <w:r>
        <w:t>420</w:t>
      </w:r>
      <w:r>
        <w:rPr>
          <w:spacing w:val="-23"/>
        </w:rPr>
        <w:t xml:space="preserve"> 号</w:t>
      </w:r>
      <w:r>
        <w:rPr>
          <w:spacing w:val="-30"/>
        </w:rPr>
        <w:t>）</w:t>
      </w:r>
      <w:r>
        <w:t>和有关施工规范、</w:t>
      </w:r>
      <w:r>
        <w:rPr>
          <w:spacing w:val="-6"/>
        </w:rPr>
        <w:t>验收标准及施工图的规定或要求，对工程材料、构件、建筑安装物、半成品、成品进行的一般质量鉴定、</w:t>
      </w:r>
      <w:r>
        <w:rPr>
          <w:spacing w:val="-10"/>
        </w:rPr>
        <w:t xml:space="preserve">检测和试验，由发包人委托的第三方检测试验机构实施，所发生的鉴定、检测和试验费用由发包人承担， 不包含在合同价格中。 </w:t>
      </w:r>
    </w:p>
    <w:p w14:paraId="68563368">
      <w:pPr>
        <w:pStyle w:val="17"/>
        <w:spacing w:line="415" w:lineRule="auto"/>
        <w:ind w:left="161" w:right="1294" w:firstLine="420"/>
        <w:jc w:val="both"/>
      </w:pPr>
      <w:r>
        <w:t>根据渝建〔2015〕420</w:t>
      </w:r>
      <w:r>
        <w:rPr>
          <w:spacing w:val="-7"/>
        </w:rPr>
        <w:t xml:space="preserve"> 号文和有关施工规范、验收标准及施工图的规定或要求，所做的上述检测试验所需的试件取样、制作、送检，试件制作需要提供的材料以及检测、试验的配合工作由承包人负责完成并承担由此产生的所有相关费用。</w:t>
      </w:r>
      <w:r>
        <w:t xml:space="preserve"> </w:t>
      </w:r>
    </w:p>
    <w:p w14:paraId="204A3A9E">
      <w:pPr>
        <w:pStyle w:val="317"/>
        <w:numPr>
          <w:ilvl w:val="2"/>
          <w:numId w:val="31"/>
        </w:numPr>
        <w:tabs>
          <w:tab w:val="left" w:pos="1168"/>
        </w:tabs>
        <w:spacing w:before="13"/>
        <w:ind w:hanging="587"/>
        <w:jc w:val="both"/>
        <w:rPr>
          <w:sz w:val="21"/>
        </w:rPr>
      </w:pPr>
      <w:r>
        <w:rPr>
          <w:sz w:val="21"/>
        </w:rPr>
        <w:t xml:space="preserve">特殊检验试验： </w:t>
      </w:r>
    </w:p>
    <w:p w14:paraId="1B348EFA">
      <w:pPr>
        <w:pStyle w:val="17"/>
        <w:spacing w:before="4"/>
        <w:rPr>
          <w:sz w:val="15"/>
        </w:rPr>
      </w:pPr>
    </w:p>
    <w:p w14:paraId="04097565">
      <w:pPr>
        <w:pStyle w:val="317"/>
        <w:numPr>
          <w:ilvl w:val="0"/>
          <w:numId w:val="32"/>
        </w:numPr>
        <w:tabs>
          <w:tab w:val="left" w:pos="1109"/>
        </w:tabs>
        <w:spacing w:line="415" w:lineRule="auto"/>
        <w:ind w:right="1285" w:firstLine="420"/>
        <w:jc w:val="both"/>
        <w:rPr>
          <w:sz w:val="21"/>
        </w:rPr>
      </w:pPr>
      <w:r>
        <w:rPr>
          <w:spacing w:val="-10"/>
          <w:sz w:val="21"/>
        </w:rPr>
        <w:t>除“施工措施的检测、试验”外，包括但不限于路基弯沉值试验、路面承载力试验、桥梁荷载试验、锚固试验、桩基检测、锚杆抗拔检验、锚索预应力检测、外墙面砖抗粘接试验、室内有害物质检</w:t>
      </w:r>
      <w:r>
        <w:rPr>
          <w:spacing w:val="-9"/>
          <w:sz w:val="21"/>
        </w:rPr>
        <w:t xml:space="preserve">测、门窗 </w:t>
      </w:r>
      <w:r>
        <w:rPr>
          <w:sz w:val="21"/>
        </w:rPr>
        <w:t>（幕墙</w:t>
      </w:r>
      <w:r>
        <w:rPr>
          <w:spacing w:val="-15"/>
          <w:sz w:val="21"/>
        </w:rPr>
        <w:t>）</w:t>
      </w:r>
      <w:r>
        <w:rPr>
          <w:spacing w:val="-6"/>
          <w:sz w:val="21"/>
        </w:rPr>
        <w:t>三性检测、石材放射性检测、石膏板阻燃检测、挡土墙抗渗试验、保温层隔热检测等</w:t>
      </w:r>
    </w:p>
    <w:p w14:paraId="48FCBAB9">
      <w:pPr>
        <w:pStyle w:val="17"/>
        <w:spacing w:line="422" w:lineRule="auto"/>
        <w:ind w:left="161" w:right="1184"/>
      </w:pPr>
      <w:r>
        <w:t>（根据项目实际情况增减</w:t>
      </w:r>
      <w:r>
        <w:rPr>
          <w:spacing w:val="-105"/>
        </w:rPr>
        <w:t>）</w:t>
      </w:r>
      <w:r>
        <w:rPr>
          <w:spacing w:val="-9"/>
        </w:rPr>
        <w:t>设计施工规范及其他法律法规规范规定的特殊检验试验项目，根据渝建〔</w:t>
      </w:r>
      <w:r>
        <w:rPr>
          <w:spacing w:val="3"/>
        </w:rPr>
        <w:t>2015</w:t>
      </w:r>
      <w:r>
        <w:t>〕420</w:t>
      </w:r>
      <w:r>
        <w:rPr>
          <w:spacing w:val="-7"/>
        </w:rPr>
        <w:t xml:space="preserve"> 号文的规定，均由发包人委托相应的第三方检测试验机构进行检测，所发生的特殊检验试验费由发包人承担，不包含在合同价格中。</w:t>
      </w:r>
      <w:r>
        <w:t xml:space="preserve"> </w:t>
      </w:r>
    </w:p>
    <w:p w14:paraId="3854E59A">
      <w:pPr>
        <w:pStyle w:val="17"/>
        <w:spacing w:line="415" w:lineRule="auto"/>
        <w:ind w:left="161" w:right="1294" w:firstLine="420"/>
      </w:pPr>
      <w:r>
        <w:t xml:space="preserve">发包人委托的第三方检测试验机构检测试验的试件所需的材料、取样、送检及相关配合工作由承包人负责完成并承担由此产生的所有相关费用。 </w:t>
      </w:r>
    </w:p>
    <w:p w14:paraId="34AF9F12">
      <w:pPr>
        <w:pStyle w:val="317"/>
        <w:numPr>
          <w:ilvl w:val="0"/>
          <w:numId w:val="32"/>
        </w:numPr>
        <w:tabs>
          <w:tab w:val="left" w:pos="1109"/>
        </w:tabs>
        <w:spacing w:line="269" w:lineRule="exact"/>
        <w:ind w:left="1108" w:hanging="528"/>
        <w:rPr>
          <w:sz w:val="21"/>
        </w:rPr>
      </w:pPr>
      <w:r>
        <w:rPr>
          <w:spacing w:val="-6"/>
          <w:sz w:val="21"/>
        </w:rPr>
        <w:t>施工措施的检测、试验：因施工措施需要而做的相关检测、试验由承包人负责实施，其费用由</w:t>
      </w:r>
    </w:p>
    <w:p w14:paraId="15A0164D">
      <w:pPr>
        <w:spacing w:line="269" w:lineRule="exact"/>
        <w:rPr>
          <w:sz w:val="21"/>
        </w:rPr>
        <w:sectPr>
          <w:pgSz w:w="11910" w:h="16850"/>
          <w:pgMar w:top="1440" w:right="1080" w:bottom="1440" w:left="1080" w:header="0" w:footer="996" w:gutter="0"/>
          <w:cols w:space="720" w:num="1"/>
        </w:sectPr>
      </w:pPr>
    </w:p>
    <w:p w14:paraId="2894587E">
      <w:pPr>
        <w:pStyle w:val="17"/>
        <w:spacing w:before="46"/>
        <w:ind w:left="326"/>
      </w:pPr>
      <w:r>
        <w:t xml:space="preserve">承包人承担。 </w:t>
      </w:r>
    </w:p>
    <w:p w14:paraId="554D4B11">
      <w:pPr>
        <w:pStyle w:val="17"/>
        <w:spacing w:before="4"/>
        <w:rPr>
          <w:sz w:val="15"/>
        </w:rPr>
      </w:pPr>
    </w:p>
    <w:p w14:paraId="69874A47">
      <w:pPr>
        <w:pStyle w:val="17"/>
        <w:ind w:left="746"/>
      </w:pPr>
      <w:r>
        <w:t>9.4.3 专 项 检 测 ：</w:t>
      </w:r>
      <w:r>
        <w:rPr>
          <w:spacing w:val="60"/>
          <w:u w:val="single"/>
        </w:rPr>
        <w:t xml:space="preserve"> </w:t>
      </w:r>
      <w:r>
        <w:t xml:space="preserve">。 </w:t>
      </w:r>
    </w:p>
    <w:p w14:paraId="2109BA67">
      <w:pPr>
        <w:pStyle w:val="17"/>
        <w:spacing w:before="10"/>
        <w:rPr>
          <w:sz w:val="9"/>
        </w:rPr>
      </w:pPr>
    </w:p>
    <w:p w14:paraId="7AB17B47">
      <w:pPr>
        <w:pStyle w:val="317"/>
        <w:numPr>
          <w:ilvl w:val="2"/>
          <w:numId w:val="33"/>
        </w:numPr>
        <w:tabs>
          <w:tab w:val="left" w:pos="1333"/>
        </w:tabs>
        <w:spacing w:before="71" w:line="429" w:lineRule="auto"/>
        <w:ind w:right="1176" w:firstLine="420"/>
        <w:rPr>
          <w:sz w:val="21"/>
        </w:rPr>
      </w:pPr>
      <w:r>
        <w:rPr>
          <w:sz w:val="21"/>
        </w:rPr>
        <w:t>若因承包人取样、制样、送检及相关配合不及时而导致工程的工期和费用增加，影响的工期</w:t>
      </w:r>
      <w:r>
        <w:rPr>
          <w:spacing w:val="-1"/>
          <w:sz w:val="21"/>
        </w:rPr>
        <w:t xml:space="preserve">不予延长，增加费用由承包人承担。 </w:t>
      </w:r>
    </w:p>
    <w:p w14:paraId="38078FD5">
      <w:pPr>
        <w:pStyle w:val="317"/>
        <w:numPr>
          <w:ilvl w:val="2"/>
          <w:numId w:val="33"/>
        </w:numPr>
        <w:tabs>
          <w:tab w:val="left" w:pos="1333"/>
        </w:tabs>
        <w:spacing w:line="252" w:lineRule="exact"/>
        <w:ind w:left="1333" w:hanging="587"/>
        <w:rPr>
          <w:sz w:val="21"/>
        </w:rPr>
      </w:pPr>
      <w:r>
        <w:rPr>
          <w:spacing w:val="-1"/>
          <w:sz w:val="21"/>
        </w:rPr>
        <w:t>检测试验不合格的项目，其缺陷处理和复测费用由承包人承担，工期不予延长。</w:t>
      </w:r>
      <w:r>
        <w:rPr>
          <w:sz w:val="21"/>
        </w:rPr>
        <w:t xml:space="preserve"> </w:t>
      </w:r>
    </w:p>
    <w:p w14:paraId="2E4DB143">
      <w:pPr>
        <w:pStyle w:val="17"/>
        <w:spacing w:before="10"/>
      </w:pPr>
    </w:p>
    <w:p w14:paraId="3C3A0237">
      <w:pPr>
        <w:pStyle w:val="3"/>
        <w:numPr>
          <w:ilvl w:val="0"/>
          <w:numId w:val="5"/>
        </w:numPr>
        <w:tabs>
          <w:tab w:val="left" w:pos="687"/>
        </w:tabs>
        <w:ind w:left="686" w:hanging="361"/>
        <w:jc w:val="left"/>
      </w:pPr>
      <w:r>
        <w:rPr>
          <w:spacing w:val="15"/>
        </w:rPr>
        <w:t>变更</w:t>
      </w:r>
      <w:r>
        <w:rPr>
          <w:w w:val="167"/>
        </w:rPr>
        <w:t xml:space="preserve"> </w:t>
      </w:r>
    </w:p>
    <w:p w14:paraId="7D995AAC">
      <w:pPr>
        <w:pStyle w:val="17"/>
        <w:spacing w:before="4"/>
        <w:rPr>
          <w:rFonts w:ascii="微软雅黑"/>
          <w:b/>
          <w:sz w:val="13"/>
        </w:rPr>
      </w:pPr>
    </w:p>
    <w:p w14:paraId="16577E7C">
      <w:pPr>
        <w:pStyle w:val="317"/>
        <w:numPr>
          <w:ilvl w:val="1"/>
          <w:numId w:val="5"/>
        </w:numPr>
        <w:tabs>
          <w:tab w:val="left" w:pos="1273"/>
        </w:tabs>
        <w:ind w:left="1273" w:hanging="527"/>
        <w:rPr>
          <w:rFonts w:ascii="微软雅黑" w:eastAsia="微软雅黑"/>
          <w:b/>
          <w:sz w:val="21"/>
        </w:rPr>
      </w:pPr>
      <w:r>
        <w:rPr>
          <w:rFonts w:hint="eastAsia" w:ascii="微软雅黑" w:eastAsia="微软雅黑"/>
          <w:b/>
          <w:sz w:val="21"/>
        </w:rPr>
        <w:t>变更的范围</w:t>
      </w:r>
      <w:r>
        <w:rPr>
          <w:rFonts w:hint="eastAsia" w:ascii="微软雅黑" w:eastAsia="微软雅黑"/>
          <w:b/>
          <w:w w:val="167"/>
          <w:sz w:val="21"/>
        </w:rPr>
        <w:t xml:space="preserve"> </w:t>
      </w:r>
    </w:p>
    <w:p w14:paraId="4683C99E">
      <w:pPr>
        <w:pStyle w:val="17"/>
        <w:spacing w:before="146"/>
        <w:ind w:left="746"/>
      </w:pPr>
      <w:r>
        <w:t xml:space="preserve">关于变更范围的约定： </w:t>
      </w:r>
    </w:p>
    <w:p w14:paraId="41443C18">
      <w:pPr>
        <w:pStyle w:val="17"/>
        <w:spacing w:before="4"/>
        <w:rPr>
          <w:sz w:val="15"/>
        </w:rPr>
      </w:pPr>
    </w:p>
    <w:p w14:paraId="438967FC">
      <w:pPr>
        <w:pStyle w:val="317"/>
        <w:numPr>
          <w:ilvl w:val="0"/>
          <w:numId w:val="34"/>
        </w:numPr>
        <w:tabs>
          <w:tab w:val="left" w:pos="1274"/>
        </w:tabs>
        <w:ind w:hanging="528"/>
        <w:rPr>
          <w:sz w:val="21"/>
        </w:rPr>
      </w:pPr>
      <w:r>
        <w:rPr>
          <w:spacing w:val="-1"/>
          <w:sz w:val="21"/>
        </w:rPr>
        <w:t>增加或减少合同中任何工作，或追加额外的工作；</w:t>
      </w:r>
      <w:r>
        <w:rPr>
          <w:sz w:val="21"/>
        </w:rPr>
        <w:t xml:space="preserve"> </w:t>
      </w:r>
    </w:p>
    <w:p w14:paraId="29E5C294">
      <w:pPr>
        <w:pStyle w:val="17"/>
        <w:spacing w:before="6"/>
        <w:rPr>
          <w:sz w:val="16"/>
        </w:rPr>
      </w:pPr>
    </w:p>
    <w:p w14:paraId="079C0BAD">
      <w:pPr>
        <w:pStyle w:val="317"/>
        <w:numPr>
          <w:ilvl w:val="0"/>
          <w:numId w:val="34"/>
        </w:numPr>
        <w:tabs>
          <w:tab w:val="left" w:pos="1274"/>
        </w:tabs>
        <w:ind w:hanging="528"/>
        <w:rPr>
          <w:sz w:val="21"/>
        </w:rPr>
      </w:pPr>
      <w:r>
        <w:rPr>
          <w:sz w:val="21"/>
        </w:rPr>
        <w:t xml:space="preserve">取消合同中任何工作； </w:t>
      </w:r>
    </w:p>
    <w:p w14:paraId="3B1695CC">
      <w:pPr>
        <w:pStyle w:val="17"/>
        <w:spacing w:before="4"/>
        <w:rPr>
          <w:sz w:val="15"/>
        </w:rPr>
      </w:pPr>
    </w:p>
    <w:p w14:paraId="2BD9D5E9">
      <w:pPr>
        <w:pStyle w:val="317"/>
        <w:numPr>
          <w:ilvl w:val="0"/>
          <w:numId w:val="34"/>
        </w:numPr>
        <w:tabs>
          <w:tab w:val="left" w:pos="1274"/>
        </w:tabs>
        <w:spacing w:before="1"/>
        <w:ind w:hanging="528"/>
        <w:rPr>
          <w:sz w:val="21"/>
        </w:rPr>
      </w:pPr>
      <w:r>
        <w:rPr>
          <w:spacing w:val="-1"/>
          <w:sz w:val="21"/>
        </w:rPr>
        <w:t>改变合同中任何工作的质量标准或其他特性；</w:t>
      </w:r>
      <w:r>
        <w:rPr>
          <w:sz w:val="21"/>
        </w:rPr>
        <w:t xml:space="preserve"> </w:t>
      </w:r>
    </w:p>
    <w:p w14:paraId="6472937C">
      <w:pPr>
        <w:pStyle w:val="17"/>
        <w:spacing w:before="3"/>
        <w:rPr>
          <w:sz w:val="15"/>
        </w:rPr>
      </w:pPr>
    </w:p>
    <w:p w14:paraId="1F44DF95">
      <w:pPr>
        <w:pStyle w:val="317"/>
        <w:numPr>
          <w:ilvl w:val="0"/>
          <w:numId w:val="34"/>
        </w:numPr>
        <w:tabs>
          <w:tab w:val="left" w:pos="1274"/>
        </w:tabs>
        <w:ind w:hanging="528"/>
        <w:rPr>
          <w:sz w:val="21"/>
        </w:rPr>
      </w:pPr>
      <w:r>
        <w:rPr>
          <w:spacing w:val="-1"/>
          <w:sz w:val="21"/>
        </w:rPr>
        <w:t>改变工程的基线、标高、位置和尺寸；</w:t>
      </w:r>
      <w:r>
        <w:rPr>
          <w:sz w:val="21"/>
        </w:rPr>
        <w:t xml:space="preserve"> </w:t>
      </w:r>
    </w:p>
    <w:p w14:paraId="333B57AD">
      <w:pPr>
        <w:pStyle w:val="17"/>
        <w:spacing w:before="5"/>
        <w:rPr>
          <w:sz w:val="15"/>
        </w:rPr>
      </w:pPr>
    </w:p>
    <w:p w14:paraId="0FE48C75">
      <w:pPr>
        <w:pStyle w:val="317"/>
        <w:numPr>
          <w:ilvl w:val="0"/>
          <w:numId w:val="34"/>
        </w:numPr>
        <w:tabs>
          <w:tab w:val="left" w:pos="1274"/>
        </w:tabs>
        <w:spacing w:line="415" w:lineRule="auto"/>
        <w:ind w:left="326" w:right="1120" w:firstLine="420"/>
        <w:rPr>
          <w:sz w:val="21"/>
        </w:rPr>
      </w:pPr>
      <w:r>
        <w:rPr>
          <w:spacing w:val="-2"/>
          <w:sz w:val="21"/>
        </w:rPr>
        <w:t>适用于工程的标准和</w:t>
      </w:r>
      <w:r>
        <w:rPr>
          <w:sz w:val="21"/>
        </w:rPr>
        <w:t>（或</w:t>
      </w:r>
      <w:r>
        <w:rPr>
          <w:spacing w:val="-15"/>
          <w:sz w:val="21"/>
        </w:rPr>
        <w:t>）</w:t>
      </w:r>
      <w:r>
        <w:rPr>
          <w:spacing w:val="-2"/>
          <w:sz w:val="21"/>
        </w:rPr>
        <w:t>规范变化导致需要对工程进行改变，且该改变导致工期和</w:t>
      </w:r>
      <w:r>
        <w:rPr>
          <w:sz w:val="21"/>
        </w:rPr>
        <w:t>（或</w:t>
      </w:r>
      <w:r>
        <w:rPr>
          <w:spacing w:val="-15"/>
          <w:sz w:val="21"/>
        </w:rPr>
        <w:t>）</w:t>
      </w:r>
      <w:r>
        <w:rPr>
          <w:sz w:val="21"/>
        </w:rPr>
        <w:t xml:space="preserve">费用变化的； </w:t>
      </w:r>
    </w:p>
    <w:p w14:paraId="70D8B956">
      <w:pPr>
        <w:pStyle w:val="317"/>
        <w:numPr>
          <w:ilvl w:val="0"/>
          <w:numId w:val="34"/>
        </w:numPr>
        <w:tabs>
          <w:tab w:val="left" w:pos="1274"/>
        </w:tabs>
        <w:spacing w:before="15"/>
        <w:ind w:hanging="528"/>
        <w:rPr>
          <w:sz w:val="21"/>
        </w:rPr>
      </w:pPr>
      <w:r>
        <w:rPr>
          <w:sz w:val="21"/>
        </w:rPr>
        <w:t xml:space="preserve">勘察设计变更； </w:t>
      </w:r>
    </w:p>
    <w:p w14:paraId="5179316D">
      <w:pPr>
        <w:pStyle w:val="17"/>
        <w:spacing w:before="4"/>
        <w:rPr>
          <w:sz w:val="15"/>
        </w:rPr>
      </w:pPr>
    </w:p>
    <w:p w14:paraId="726073C2">
      <w:pPr>
        <w:pStyle w:val="317"/>
        <w:numPr>
          <w:ilvl w:val="0"/>
          <w:numId w:val="34"/>
        </w:numPr>
        <w:tabs>
          <w:tab w:val="left" w:pos="1274"/>
        </w:tabs>
        <w:spacing w:line="415" w:lineRule="auto"/>
        <w:ind w:left="326" w:right="1108" w:firstLine="420"/>
        <w:rPr>
          <w:sz w:val="21"/>
        </w:rPr>
      </w:pPr>
      <w:r>
        <w:rPr>
          <w:spacing w:val="-6"/>
          <w:sz w:val="21"/>
        </w:rPr>
        <w:t>实施内容变更，包括因设计变更和非设计变更引起的实施地点、投资规模、结构型式、采购数</w:t>
      </w:r>
      <w:r>
        <w:rPr>
          <w:spacing w:val="-7"/>
          <w:sz w:val="21"/>
        </w:rPr>
        <w:t>量、服务内容等进行的调整，以及因此导致的合同价格、工期变更；</w:t>
      </w:r>
      <w:r>
        <w:rPr>
          <w:sz w:val="21"/>
        </w:rPr>
        <w:t xml:space="preserve"> </w:t>
      </w:r>
    </w:p>
    <w:p w14:paraId="42D26D79">
      <w:pPr>
        <w:pStyle w:val="317"/>
        <w:numPr>
          <w:ilvl w:val="0"/>
          <w:numId w:val="34"/>
        </w:numPr>
        <w:tabs>
          <w:tab w:val="left" w:pos="1274"/>
        </w:tabs>
        <w:spacing w:line="269" w:lineRule="exact"/>
        <w:ind w:hanging="528"/>
        <w:rPr>
          <w:sz w:val="21"/>
        </w:rPr>
      </w:pPr>
      <w:r>
        <w:rPr>
          <w:sz w:val="21"/>
        </w:rPr>
        <w:t xml:space="preserve">项目管理人员变更； </w:t>
      </w:r>
    </w:p>
    <w:p w14:paraId="551E8E11">
      <w:pPr>
        <w:pStyle w:val="17"/>
        <w:spacing w:before="4"/>
        <w:rPr>
          <w:sz w:val="15"/>
        </w:rPr>
      </w:pPr>
    </w:p>
    <w:p w14:paraId="6D4F044E">
      <w:pPr>
        <w:pStyle w:val="317"/>
        <w:numPr>
          <w:ilvl w:val="0"/>
          <w:numId w:val="34"/>
        </w:numPr>
        <w:tabs>
          <w:tab w:val="left" w:pos="1274"/>
        </w:tabs>
        <w:ind w:hanging="528"/>
        <w:rPr>
          <w:sz w:val="21"/>
        </w:rPr>
      </w:pPr>
      <w:r>
        <w:rPr>
          <w:spacing w:val="-1"/>
          <w:sz w:val="21"/>
        </w:rPr>
        <w:t>因人工、原材料等价格变化导致的合同总价变更；</w:t>
      </w:r>
      <w:r>
        <w:rPr>
          <w:sz w:val="21"/>
        </w:rPr>
        <w:t xml:space="preserve"> </w:t>
      </w:r>
    </w:p>
    <w:p w14:paraId="13C23F45">
      <w:pPr>
        <w:pStyle w:val="17"/>
        <w:spacing w:before="6"/>
        <w:rPr>
          <w:sz w:val="16"/>
        </w:rPr>
      </w:pPr>
    </w:p>
    <w:p w14:paraId="6D242ADC">
      <w:pPr>
        <w:pStyle w:val="317"/>
        <w:numPr>
          <w:ilvl w:val="0"/>
          <w:numId w:val="34"/>
        </w:numPr>
        <w:tabs>
          <w:tab w:val="left" w:pos="1379"/>
        </w:tabs>
        <w:ind w:left="1378" w:hanging="633"/>
        <w:rPr>
          <w:sz w:val="21"/>
        </w:rPr>
      </w:pPr>
      <w:r>
        <w:rPr>
          <w:spacing w:val="-1"/>
          <w:sz w:val="21"/>
        </w:rPr>
        <w:t>非实施内容变化导致的工期变更；</w:t>
      </w:r>
      <w:r>
        <w:rPr>
          <w:sz w:val="21"/>
        </w:rPr>
        <w:t xml:space="preserve"> </w:t>
      </w:r>
    </w:p>
    <w:p w14:paraId="7A434CDB">
      <w:pPr>
        <w:pStyle w:val="17"/>
        <w:spacing w:before="5"/>
        <w:rPr>
          <w:sz w:val="15"/>
        </w:rPr>
      </w:pPr>
    </w:p>
    <w:p w14:paraId="17EEE498">
      <w:pPr>
        <w:pStyle w:val="17"/>
        <w:ind w:left="746"/>
      </w:pPr>
      <w:r>
        <w:t>（11）</w:t>
      </w:r>
      <w:r>
        <w:rPr>
          <w:u w:val="single"/>
        </w:rPr>
        <w:t xml:space="preserve"> </w:t>
      </w:r>
      <w:r>
        <w:t xml:space="preserve">。 </w:t>
      </w:r>
    </w:p>
    <w:p w14:paraId="0AB20E45">
      <w:pPr>
        <w:pStyle w:val="17"/>
        <w:spacing w:before="10"/>
        <w:rPr>
          <w:sz w:val="9"/>
        </w:rPr>
      </w:pPr>
    </w:p>
    <w:p w14:paraId="297DC33B">
      <w:pPr>
        <w:pStyle w:val="17"/>
        <w:spacing w:before="71" w:line="417" w:lineRule="auto"/>
        <w:ind w:left="326" w:right="1130" w:firstLine="420"/>
        <w:jc w:val="both"/>
      </w:pPr>
      <w:r>
        <w:t xml:space="preserve">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 </w:t>
      </w:r>
    </w:p>
    <w:p w14:paraId="497657D7">
      <w:pPr>
        <w:pStyle w:val="17"/>
        <w:spacing w:before="1" w:line="415" w:lineRule="auto"/>
        <w:ind w:left="326" w:right="1129" w:firstLine="420"/>
      </w:pPr>
      <w:r>
        <w:t xml:space="preserve">承包人对其提供的材料、工程设备、施工、无负荷试车、热负荷试车及图纸参数存在的缺陷，自费修正、调整和完善，不属于变更。 </w:t>
      </w:r>
    </w:p>
    <w:p w14:paraId="49D397CA">
      <w:pPr>
        <w:pStyle w:val="3"/>
        <w:numPr>
          <w:ilvl w:val="1"/>
          <w:numId w:val="5"/>
        </w:numPr>
        <w:tabs>
          <w:tab w:val="left" w:pos="1273"/>
        </w:tabs>
        <w:spacing w:line="320" w:lineRule="exact"/>
        <w:ind w:left="1273" w:hanging="527"/>
      </w:pPr>
      <w:r>
        <w:t>变更权</w:t>
      </w:r>
      <w:r>
        <w:rPr>
          <w:w w:val="167"/>
        </w:rPr>
        <w:t xml:space="preserve"> </w:t>
      </w:r>
    </w:p>
    <w:p w14:paraId="497F1345">
      <w:pPr>
        <w:spacing w:line="320" w:lineRule="exact"/>
        <w:sectPr>
          <w:pgSz w:w="11910" w:h="16850"/>
          <w:pgMar w:top="1440" w:right="1080" w:bottom="1440" w:left="1080" w:header="0" w:footer="996" w:gutter="0"/>
          <w:cols w:space="720" w:num="1"/>
        </w:sectPr>
      </w:pPr>
    </w:p>
    <w:p w14:paraId="152D360A">
      <w:pPr>
        <w:pStyle w:val="317"/>
        <w:numPr>
          <w:ilvl w:val="2"/>
          <w:numId w:val="5"/>
        </w:numPr>
        <w:tabs>
          <w:tab w:val="left" w:pos="1273"/>
        </w:tabs>
        <w:spacing w:before="46"/>
        <w:ind w:left="1273" w:hanging="692"/>
        <w:jc w:val="both"/>
        <w:rPr>
          <w:sz w:val="21"/>
        </w:rPr>
      </w:pPr>
      <w:r>
        <w:rPr>
          <w:sz w:val="21"/>
        </w:rPr>
        <w:t xml:space="preserve">发包人和监理人提出变更 </w:t>
      </w:r>
    </w:p>
    <w:p w14:paraId="340F4561">
      <w:pPr>
        <w:pStyle w:val="17"/>
        <w:spacing w:before="4"/>
        <w:rPr>
          <w:sz w:val="15"/>
        </w:rPr>
      </w:pPr>
    </w:p>
    <w:p w14:paraId="4E717BFC">
      <w:pPr>
        <w:pStyle w:val="17"/>
        <w:spacing w:line="422" w:lineRule="auto"/>
        <w:ind w:left="161" w:right="1295" w:firstLine="420"/>
        <w:jc w:val="both"/>
      </w:pPr>
      <w:r>
        <w:t xml:space="preserve">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 </w:t>
      </w:r>
    </w:p>
    <w:p w14:paraId="2CBA0B7B">
      <w:pPr>
        <w:pStyle w:val="17"/>
        <w:spacing w:line="415" w:lineRule="auto"/>
        <w:ind w:left="161" w:right="1295" w:firstLine="420"/>
      </w:pPr>
      <w:r>
        <w:t xml:space="preserve">涉及设计变更的，应由设计人提供变更后的图纸和说明，交由发包人同意后由监理人以书面形式发出。如变更超过原设计标准或批准的建设规模时，由发包人及时办理规划、设计变更等审批手续。 </w:t>
      </w:r>
    </w:p>
    <w:p w14:paraId="11BA8346">
      <w:pPr>
        <w:pStyle w:val="17"/>
        <w:spacing w:line="415" w:lineRule="auto"/>
        <w:ind w:left="161" w:right="1294" w:firstLine="420"/>
      </w:pPr>
      <w:r>
        <w:t xml:space="preserve">若出现重大设计变更，变更后的内容超出承包人资质或能力范围的，发包人将另行依法招标选择承包单位，无需征得承包人同意。 </w:t>
      </w:r>
    </w:p>
    <w:p w14:paraId="2A96E445">
      <w:pPr>
        <w:pStyle w:val="317"/>
        <w:numPr>
          <w:ilvl w:val="2"/>
          <w:numId w:val="5"/>
        </w:numPr>
        <w:tabs>
          <w:tab w:val="left" w:pos="1213"/>
        </w:tabs>
        <w:spacing w:before="5"/>
        <w:ind w:left="1213" w:hanging="632"/>
        <w:jc w:val="left"/>
        <w:rPr>
          <w:sz w:val="19"/>
        </w:rPr>
      </w:pPr>
      <w:r>
        <w:rPr>
          <w:sz w:val="21"/>
        </w:rPr>
        <w:t xml:space="preserve">承包人提出变更建议 </w:t>
      </w:r>
    </w:p>
    <w:p w14:paraId="40601D58">
      <w:pPr>
        <w:pStyle w:val="17"/>
        <w:spacing w:before="4"/>
        <w:rPr>
          <w:sz w:val="15"/>
        </w:rPr>
      </w:pPr>
    </w:p>
    <w:p w14:paraId="6150762B">
      <w:pPr>
        <w:pStyle w:val="17"/>
        <w:spacing w:before="1" w:line="415" w:lineRule="auto"/>
        <w:ind w:left="161" w:right="1295" w:firstLine="420"/>
        <w:jc w:val="both"/>
      </w:pPr>
      <w:r>
        <w:t>承包人可以向发包人提交书面变更建议，应当以承包人单位名义书面向发包人提出申请，详细说明变更的内容、理由，以及该变更对项目的工期、投资、质量、安全、运营管理、生态环境等的影响，客</w:t>
      </w:r>
      <w:r>
        <w:rPr>
          <w:spacing w:val="-2"/>
        </w:rPr>
        <w:t>观反映项目合同变更的必要性和可行性，包括：</w:t>
      </w:r>
      <w:r>
        <w:rPr>
          <w:u w:val="single"/>
        </w:rPr>
        <w:t>缩短工期，降低发包人的工程、施工、维护、营运的费</w:t>
      </w:r>
    </w:p>
    <w:p w14:paraId="028CDACF">
      <w:pPr>
        <w:pStyle w:val="17"/>
        <w:ind w:left="161"/>
      </w:pPr>
      <w:r>
        <w:rPr>
          <w:u w:val="single"/>
        </w:rPr>
        <w:t>用，提高竣工工程的效率或价值，给发包人带来的长远利益和其他利益。发包人接到此类建议后，可以</w:t>
      </w:r>
    </w:p>
    <w:p w14:paraId="7711D5D2">
      <w:pPr>
        <w:pStyle w:val="17"/>
        <w:rPr>
          <w:sz w:val="11"/>
        </w:rPr>
      </w:pPr>
    </w:p>
    <w:p w14:paraId="7599F1AF">
      <w:pPr>
        <w:pStyle w:val="17"/>
        <w:spacing w:before="70"/>
        <w:ind w:left="161"/>
      </w:pPr>
      <w:r>
        <w:rPr>
          <w:u w:val="single"/>
        </w:rPr>
        <w:t>选择：不采纳/采纳/补充进一步资料的书面通知</w:t>
      </w:r>
      <w:r>
        <w:t xml:space="preserve">。 </w:t>
      </w:r>
    </w:p>
    <w:p w14:paraId="6BDB45BA">
      <w:pPr>
        <w:pStyle w:val="17"/>
        <w:spacing w:before="10"/>
        <w:rPr>
          <w:sz w:val="9"/>
        </w:rPr>
      </w:pPr>
    </w:p>
    <w:p w14:paraId="1CCE54B2">
      <w:pPr>
        <w:pStyle w:val="17"/>
        <w:spacing w:before="71" w:line="415" w:lineRule="auto"/>
        <w:ind w:left="161" w:right="1294" w:firstLine="420"/>
      </w:pPr>
      <w:r>
        <w:t xml:space="preserve">如果发包人对承包人已实施的施工项目在发出重大设计变更之前要求承包人提出一份建议，那么， 承包人应尽快提出： </w:t>
      </w:r>
    </w:p>
    <w:p w14:paraId="7143ACA0">
      <w:pPr>
        <w:pStyle w:val="317"/>
        <w:numPr>
          <w:ilvl w:val="0"/>
          <w:numId w:val="35"/>
        </w:numPr>
        <w:tabs>
          <w:tab w:val="left" w:pos="1109"/>
        </w:tabs>
        <w:ind w:hanging="528"/>
        <w:rPr>
          <w:sz w:val="21"/>
        </w:rPr>
      </w:pPr>
      <w:r>
        <w:rPr>
          <w:sz w:val="21"/>
          <w:u w:val="single"/>
        </w:rPr>
        <w:t>对所提方案和（或）</w:t>
      </w:r>
      <w:r>
        <w:rPr>
          <w:spacing w:val="-1"/>
          <w:sz w:val="21"/>
          <w:u w:val="single"/>
        </w:rPr>
        <w:t>待做工作及其实施计划的说明</w:t>
      </w:r>
      <w:r>
        <w:rPr>
          <w:sz w:val="21"/>
        </w:rPr>
        <w:t xml:space="preserve">； </w:t>
      </w:r>
    </w:p>
    <w:p w14:paraId="6B1D881D">
      <w:pPr>
        <w:pStyle w:val="17"/>
        <w:spacing w:before="10"/>
        <w:rPr>
          <w:sz w:val="9"/>
        </w:rPr>
      </w:pPr>
    </w:p>
    <w:p w14:paraId="65FCCBE3">
      <w:pPr>
        <w:pStyle w:val="317"/>
        <w:numPr>
          <w:ilvl w:val="0"/>
          <w:numId w:val="35"/>
        </w:numPr>
        <w:tabs>
          <w:tab w:val="left" w:pos="1109"/>
        </w:tabs>
        <w:spacing w:before="71"/>
        <w:ind w:hanging="528"/>
        <w:rPr>
          <w:sz w:val="21"/>
        </w:rPr>
      </w:pPr>
      <w:r>
        <w:rPr>
          <w:spacing w:val="-1"/>
          <w:sz w:val="21"/>
          <w:u w:val="single"/>
        </w:rPr>
        <w:t>承包人按照对工程进度计划进行必要修改的建议</w:t>
      </w:r>
      <w:r>
        <w:rPr>
          <w:sz w:val="21"/>
        </w:rPr>
        <w:t xml:space="preserve">； </w:t>
      </w:r>
    </w:p>
    <w:p w14:paraId="20846A8E">
      <w:pPr>
        <w:pStyle w:val="17"/>
        <w:rPr>
          <w:sz w:val="11"/>
        </w:rPr>
      </w:pPr>
    </w:p>
    <w:p w14:paraId="08766519">
      <w:pPr>
        <w:pStyle w:val="317"/>
        <w:numPr>
          <w:ilvl w:val="0"/>
          <w:numId w:val="35"/>
        </w:numPr>
        <w:tabs>
          <w:tab w:val="left" w:pos="1109"/>
        </w:tabs>
        <w:spacing w:before="70"/>
        <w:ind w:hanging="528"/>
        <w:rPr>
          <w:sz w:val="21"/>
        </w:rPr>
      </w:pPr>
      <w:r>
        <w:rPr>
          <w:spacing w:val="-1"/>
          <w:sz w:val="21"/>
          <w:u w:val="single"/>
        </w:rPr>
        <w:t>承包人发生较大返工损失增加费用的建议</w:t>
      </w:r>
      <w:r>
        <w:rPr>
          <w:sz w:val="21"/>
        </w:rPr>
        <w:t xml:space="preserve">。 </w:t>
      </w:r>
    </w:p>
    <w:p w14:paraId="35A9DBAE">
      <w:pPr>
        <w:pStyle w:val="17"/>
        <w:spacing w:before="10"/>
        <w:rPr>
          <w:sz w:val="9"/>
        </w:rPr>
      </w:pPr>
    </w:p>
    <w:p w14:paraId="791EDDEE">
      <w:pPr>
        <w:pStyle w:val="17"/>
        <w:spacing w:before="71"/>
        <w:ind w:left="581"/>
      </w:pPr>
      <w:r>
        <w:rPr>
          <w:u w:val="single"/>
        </w:rPr>
        <w:t>发包人在收到上述建议书后，应尽快给予批准、否决或提出意见</w:t>
      </w:r>
      <w:r>
        <w:t xml:space="preserve">。 </w:t>
      </w:r>
    </w:p>
    <w:p w14:paraId="22D84376">
      <w:pPr>
        <w:pStyle w:val="17"/>
        <w:spacing w:before="10"/>
        <w:rPr>
          <w:sz w:val="9"/>
        </w:rPr>
      </w:pPr>
    </w:p>
    <w:p w14:paraId="5754125A">
      <w:pPr>
        <w:pStyle w:val="317"/>
        <w:numPr>
          <w:ilvl w:val="1"/>
          <w:numId w:val="5"/>
        </w:numPr>
        <w:tabs>
          <w:tab w:val="left" w:pos="1108"/>
        </w:tabs>
        <w:spacing w:before="4" w:line="331" w:lineRule="auto"/>
        <w:ind w:left="581" w:right="8665" w:firstLine="0"/>
        <w:rPr>
          <w:sz w:val="21"/>
        </w:rPr>
      </w:pPr>
      <w:r>
        <w:rPr>
          <w:rFonts w:hint="eastAsia" w:ascii="微软雅黑" w:eastAsia="微软雅黑"/>
          <w:b/>
          <w:sz w:val="21"/>
        </w:rPr>
        <w:t>变更程序</w:t>
      </w:r>
      <w:r>
        <w:rPr>
          <w:sz w:val="21"/>
        </w:rPr>
        <w:t xml:space="preserve">10.3.3 变更执行 </w:t>
      </w:r>
    </w:p>
    <w:p w14:paraId="6336AB73">
      <w:pPr>
        <w:pStyle w:val="17"/>
        <w:spacing w:before="93" w:line="429" w:lineRule="auto"/>
        <w:ind w:left="161" w:right="1294" w:firstLine="420"/>
      </w:pPr>
      <w:r>
        <w:t xml:space="preserve">一般设计变更：承包人收到监理人下达的变更指示后，应按照监理人下达的变更指示执行，并书面说明实施该变更指示对合同价格和工期的影响，按照第10.4.1项〔变更估价原则〕约定执行。 </w:t>
      </w:r>
    </w:p>
    <w:p w14:paraId="616A20E6">
      <w:pPr>
        <w:pStyle w:val="17"/>
        <w:spacing w:line="252" w:lineRule="exact"/>
        <w:ind w:left="581"/>
      </w:pPr>
      <w:r>
        <w:t xml:space="preserve">重大设计变更：需经设计人、监理人和发包人三方签字认可并报相关行业部门审查同意后实施。 </w:t>
      </w:r>
    </w:p>
    <w:p w14:paraId="59A579EC">
      <w:pPr>
        <w:pStyle w:val="17"/>
        <w:spacing w:before="3"/>
        <w:rPr>
          <w:sz w:val="15"/>
        </w:rPr>
      </w:pPr>
    </w:p>
    <w:p w14:paraId="00F3611C">
      <w:pPr>
        <w:pStyle w:val="17"/>
        <w:spacing w:before="1"/>
        <w:ind w:left="581"/>
      </w:pPr>
      <w:r>
        <w:rPr>
          <w:u w:val="single"/>
        </w:rPr>
        <w:t>10.3.3 项增加以下内容：</w:t>
      </w:r>
      <w:r>
        <w:t xml:space="preserve"> </w:t>
      </w:r>
    </w:p>
    <w:p w14:paraId="41A5677D">
      <w:pPr>
        <w:pStyle w:val="17"/>
        <w:spacing w:before="10"/>
        <w:rPr>
          <w:sz w:val="9"/>
        </w:rPr>
      </w:pPr>
    </w:p>
    <w:p w14:paraId="4A0D43EE">
      <w:pPr>
        <w:pStyle w:val="17"/>
        <w:spacing w:before="71"/>
        <w:ind w:left="581"/>
      </w:pPr>
      <w:r>
        <w:rPr>
          <w:u w:val="single"/>
        </w:rPr>
        <w:t>合同变更提出后，应当首先由发包人组织相关单位、专家进行论证。经论证确需变更的，发包人按</w:t>
      </w:r>
    </w:p>
    <w:p w14:paraId="08F0D6CD">
      <w:pPr>
        <w:pStyle w:val="17"/>
        <w:spacing w:before="10"/>
        <w:rPr>
          <w:sz w:val="9"/>
        </w:rPr>
      </w:pPr>
    </w:p>
    <w:p w14:paraId="29A6D76B">
      <w:pPr>
        <w:pStyle w:val="17"/>
        <w:spacing w:before="71"/>
        <w:ind w:left="161"/>
      </w:pPr>
      <w:r>
        <w:rPr>
          <w:u w:val="single"/>
        </w:rPr>
        <w:t>照《重庆市政府投资项目合同变更管理暂行办法》规定的程序自行决策或者报批；经论证不需要变更的，</w:t>
      </w:r>
    </w:p>
    <w:p w14:paraId="51B549BC">
      <w:pPr>
        <w:pStyle w:val="17"/>
        <w:rPr>
          <w:sz w:val="11"/>
        </w:rPr>
      </w:pPr>
    </w:p>
    <w:p w14:paraId="4F031992">
      <w:pPr>
        <w:pStyle w:val="17"/>
        <w:spacing w:before="70"/>
        <w:ind w:left="161"/>
      </w:pPr>
      <w:r>
        <w:rPr>
          <w:u w:val="single"/>
        </w:rPr>
        <w:t>继续按合同执行。</w:t>
      </w:r>
      <w:r>
        <w:t xml:space="preserve"> </w:t>
      </w:r>
    </w:p>
    <w:p w14:paraId="133D3B65">
      <w:pPr>
        <w:pStyle w:val="17"/>
        <w:spacing w:before="11"/>
        <w:rPr>
          <w:sz w:val="9"/>
        </w:rPr>
      </w:pPr>
    </w:p>
    <w:p w14:paraId="29272A1F">
      <w:pPr>
        <w:pStyle w:val="17"/>
        <w:spacing w:before="70"/>
        <w:ind w:left="581"/>
      </w:pPr>
      <w:r>
        <w:rPr>
          <w:u w:val="single"/>
        </w:rPr>
        <w:t>项目的勘察设计、实施内容等作较大变更的，应当按照规定的程序报原审批部门审批；变更导致总</w:t>
      </w:r>
    </w:p>
    <w:p w14:paraId="664B1C44">
      <w:pPr>
        <w:sectPr>
          <w:pgSz w:w="11910" w:h="16850"/>
          <w:pgMar w:top="1440" w:right="1080" w:bottom="1440" w:left="1080" w:header="0" w:footer="996" w:gutter="0"/>
          <w:cols w:space="720" w:num="1"/>
        </w:sectPr>
      </w:pPr>
    </w:p>
    <w:p w14:paraId="105ED54E">
      <w:pPr>
        <w:pStyle w:val="17"/>
        <w:spacing w:before="46"/>
        <w:ind w:left="326"/>
      </w:pPr>
      <w:r>
        <w:rPr>
          <w:u w:val="single"/>
        </w:rPr>
        <w:t>投资超概的，应当报原投资概算核定部门核定。</w:t>
      </w:r>
      <w:r>
        <w:t xml:space="preserve"> </w:t>
      </w:r>
    </w:p>
    <w:p w14:paraId="3783ECF7">
      <w:pPr>
        <w:pStyle w:val="17"/>
        <w:spacing w:before="11"/>
        <w:rPr>
          <w:sz w:val="9"/>
        </w:rPr>
      </w:pPr>
    </w:p>
    <w:p w14:paraId="30B278B9">
      <w:pPr>
        <w:pStyle w:val="17"/>
        <w:spacing w:before="70"/>
        <w:ind w:left="746"/>
      </w:pPr>
      <w:r>
        <w:rPr>
          <w:u w:val="single"/>
        </w:rPr>
        <w:t>项目管理人员变更的，应当经发包人领导班子集体决策同意，并将变更信息推送给行业主管部门。</w:t>
      </w:r>
    </w:p>
    <w:p w14:paraId="2B7C77E5">
      <w:pPr>
        <w:pStyle w:val="17"/>
        <w:spacing w:before="10"/>
        <w:rPr>
          <w:sz w:val="9"/>
        </w:rPr>
      </w:pPr>
    </w:p>
    <w:p w14:paraId="492AC072">
      <w:pPr>
        <w:pStyle w:val="17"/>
        <w:spacing w:before="71"/>
        <w:ind w:left="326"/>
      </w:pPr>
      <w:r>
        <w:rPr>
          <w:u w:val="single"/>
        </w:rPr>
        <w:t>变更后的项目管理人员应当符合招标文件和行业主管部门的相关规定。</w:t>
      </w:r>
      <w:r>
        <w:t xml:space="preserve"> </w:t>
      </w:r>
    </w:p>
    <w:p w14:paraId="4D496938">
      <w:pPr>
        <w:pStyle w:val="17"/>
        <w:rPr>
          <w:sz w:val="11"/>
        </w:rPr>
      </w:pPr>
    </w:p>
    <w:p w14:paraId="02221005">
      <w:pPr>
        <w:pStyle w:val="17"/>
        <w:spacing w:before="70"/>
        <w:ind w:left="746"/>
      </w:pPr>
      <w:r>
        <w:rPr>
          <w:u w:val="single"/>
        </w:rPr>
        <w:t>因人工、原材料市场价格发生大幅度变化导致的合同总价变更，由发包人与承包人按照合同进行变</w:t>
      </w:r>
    </w:p>
    <w:p w14:paraId="4978A7C9">
      <w:pPr>
        <w:pStyle w:val="17"/>
        <w:spacing w:before="11"/>
        <w:rPr>
          <w:sz w:val="9"/>
        </w:rPr>
      </w:pPr>
    </w:p>
    <w:p w14:paraId="54AFC42A">
      <w:pPr>
        <w:pStyle w:val="17"/>
        <w:spacing w:before="71"/>
        <w:ind w:left="326"/>
      </w:pPr>
      <w:r>
        <w:rPr>
          <w:u w:val="single"/>
        </w:rPr>
        <w:t>更，并将变更信息推送给行业主管部门。</w:t>
      </w:r>
      <w:r>
        <w:t xml:space="preserve"> </w:t>
      </w:r>
    </w:p>
    <w:p w14:paraId="41440C06">
      <w:pPr>
        <w:pStyle w:val="17"/>
        <w:spacing w:before="10"/>
        <w:rPr>
          <w:sz w:val="9"/>
        </w:rPr>
      </w:pPr>
    </w:p>
    <w:p w14:paraId="0722D6EE">
      <w:pPr>
        <w:pStyle w:val="17"/>
        <w:spacing w:before="71"/>
        <w:ind w:left="746"/>
      </w:pPr>
      <w:r>
        <w:rPr>
          <w:u w:val="single"/>
        </w:rPr>
        <w:t>项目实施内容无变更，因不可抗力导致的工期变更，由发包人领导班子集体决策同意，并将变更信</w:t>
      </w:r>
    </w:p>
    <w:p w14:paraId="6B2958EF">
      <w:pPr>
        <w:pStyle w:val="17"/>
        <w:spacing w:before="10"/>
        <w:rPr>
          <w:sz w:val="9"/>
        </w:rPr>
      </w:pPr>
    </w:p>
    <w:p w14:paraId="09FAC660">
      <w:pPr>
        <w:pStyle w:val="17"/>
        <w:spacing w:before="71"/>
        <w:ind w:left="326"/>
      </w:pPr>
      <w:r>
        <w:rPr>
          <w:u w:val="single"/>
        </w:rPr>
        <w:t>息推送给行业主管部门；因项目实施内容变更导致的工期变更，与项目实施内容变更一并办理。</w:t>
      </w:r>
      <w:r>
        <w:t xml:space="preserve"> </w:t>
      </w:r>
    </w:p>
    <w:p w14:paraId="5681C9C4">
      <w:pPr>
        <w:pStyle w:val="17"/>
        <w:spacing w:before="10"/>
        <w:rPr>
          <w:sz w:val="9"/>
        </w:rPr>
      </w:pPr>
    </w:p>
    <w:p w14:paraId="1896364F">
      <w:pPr>
        <w:pStyle w:val="17"/>
        <w:spacing w:before="71"/>
        <w:ind w:left="746"/>
      </w:pPr>
      <w:r>
        <w:rPr>
          <w:u w:val="single"/>
        </w:rPr>
        <w:t>项目合同变更后，增加的实施内容达到依法必须招标的规模标准的，增加的部分应当依法通过招标</w:t>
      </w:r>
    </w:p>
    <w:p w14:paraId="580DEE67">
      <w:pPr>
        <w:pStyle w:val="17"/>
        <w:spacing w:before="12"/>
        <w:rPr>
          <w:sz w:val="10"/>
        </w:rPr>
      </w:pPr>
    </w:p>
    <w:p w14:paraId="09CF6ABB">
      <w:pPr>
        <w:pStyle w:val="17"/>
        <w:spacing w:before="71"/>
        <w:ind w:left="326"/>
      </w:pPr>
      <w:r>
        <w:rPr>
          <w:u w:val="single"/>
        </w:rPr>
        <w:t>选择承包单位。</w:t>
      </w:r>
      <w:r>
        <w:t xml:space="preserve"> </w:t>
      </w:r>
    </w:p>
    <w:p w14:paraId="076E92C5">
      <w:pPr>
        <w:pStyle w:val="17"/>
        <w:spacing w:before="10"/>
        <w:rPr>
          <w:sz w:val="9"/>
        </w:rPr>
      </w:pPr>
    </w:p>
    <w:p w14:paraId="3F29C4FF">
      <w:pPr>
        <w:pStyle w:val="3"/>
        <w:numPr>
          <w:ilvl w:val="1"/>
          <w:numId w:val="5"/>
        </w:numPr>
        <w:tabs>
          <w:tab w:val="left" w:pos="1213"/>
        </w:tabs>
        <w:spacing w:before="4"/>
        <w:ind w:left="1212" w:hanging="467"/>
      </w:pPr>
      <w:r>
        <w:rPr>
          <w:spacing w:val="11"/>
        </w:rPr>
        <w:t>变更估价</w:t>
      </w:r>
      <w:r>
        <w:rPr>
          <w:w w:val="167"/>
        </w:rPr>
        <w:t xml:space="preserve"> </w:t>
      </w:r>
    </w:p>
    <w:p w14:paraId="5C4DEFD2">
      <w:pPr>
        <w:pStyle w:val="317"/>
        <w:numPr>
          <w:ilvl w:val="2"/>
          <w:numId w:val="5"/>
        </w:numPr>
        <w:tabs>
          <w:tab w:val="left" w:pos="1378"/>
        </w:tabs>
        <w:spacing w:before="145"/>
        <w:ind w:left="1378" w:hanging="632"/>
        <w:jc w:val="left"/>
        <w:rPr>
          <w:sz w:val="19"/>
        </w:rPr>
      </w:pPr>
      <w:r>
        <w:rPr>
          <w:sz w:val="21"/>
        </w:rPr>
        <w:t xml:space="preserve">变更估价原则 </w:t>
      </w:r>
    </w:p>
    <w:p w14:paraId="720BFAB0">
      <w:pPr>
        <w:pStyle w:val="17"/>
        <w:spacing w:before="4"/>
        <w:rPr>
          <w:sz w:val="15"/>
        </w:rPr>
      </w:pPr>
    </w:p>
    <w:p w14:paraId="36A9536C">
      <w:pPr>
        <w:pStyle w:val="17"/>
        <w:spacing w:before="1"/>
        <w:ind w:left="746"/>
      </w:pPr>
      <w:r>
        <w:t>当发生工程变更时，工程量按</w:t>
      </w:r>
      <w:r>
        <w:rPr>
          <w:u w:val="single"/>
        </w:rPr>
        <w:t xml:space="preserve"> </w:t>
      </w:r>
      <w:r>
        <w:t>规定的计算规则及已标价工程量清单规定的工程量计算规则</w:t>
      </w:r>
    </w:p>
    <w:p w14:paraId="47547101">
      <w:pPr>
        <w:pStyle w:val="17"/>
        <w:spacing w:before="10"/>
        <w:rPr>
          <w:sz w:val="9"/>
        </w:rPr>
      </w:pPr>
    </w:p>
    <w:p w14:paraId="054E4FBC">
      <w:pPr>
        <w:pStyle w:val="17"/>
        <w:spacing w:before="71"/>
        <w:ind w:left="326"/>
      </w:pPr>
      <w:r>
        <w:t xml:space="preserve">计量，按以下办法计价： </w:t>
      </w:r>
    </w:p>
    <w:p w14:paraId="01F74B1A">
      <w:pPr>
        <w:pStyle w:val="17"/>
        <w:spacing w:before="6"/>
        <w:rPr>
          <w:sz w:val="16"/>
        </w:rPr>
      </w:pPr>
    </w:p>
    <w:p w14:paraId="5CD214F2">
      <w:pPr>
        <w:pStyle w:val="317"/>
        <w:numPr>
          <w:ilvl w:val="3"/>
          <w:numId w:val="5"/>
        </w:numPr>
        <w:tabs>
          <w:tab w:val="left" w:pos="1649"/>
        </w:tabs>
        <w:ind w:left="1648" w:hanging="903"/>
        <w:rPr>
          <w:sz w:val="21"/>
        </w:rPr>
      </w:pPr>
      <w:r>
        <w:rPr>
          <w:spacing w:val="-1"/>
          <w:sz w:val="21"/>
        </w:rPr>
        <w:t>已标价工程量清单中有相同项目的，按照相同项目单价计算；</w:t>
      </w:r>
      <w:r>
        <w:rPr>
          <w:sz w:val="21"/>
        </w:rPr>
        <w:t xml:space="preserve"> </w:t>
      </w:r>
    </w:p>
    <w:p w14:paraId="70F84A28">
      <w:pPr>
        <w:pStyle w:val="17"/>
        <w:spacing w:before="4"/>
        <w:rPr>
          <w:sz w:val="15"/>
        </w:rPr>
      </w:pPr>
    </w:p>
    <w:p w14:paraId="2C4DAF2E">
      <w:pPr>
        <w:pStyle w:val="317"/>
        <w:numPr>
          <w:ilvl w:val="3"/>
          <w:numId w:val="5"/>
        </w:numPr>
        <w:tabs>
          <w:tab w:val="left" w:pos="1649"/>
        </w:tabs>
        <w:ind w:left="1648" w:hanging="903"/>
        <w:rPr>
          <w:sz w:val="21"/>
        </w:rPr>
      </w:pPr>
      <w:r>
        <w:rPr>
          <w:spacing w:val="-1"/>
          <w:sz w:val="21"/>
        </w:rPr>
        <w:t>已标价工程量清单中有类似项目的，参考类似项目单价计算；</w:t>
      </w:r>
      <w:r>
        <w:rPr>
          <w:sz w:val="21"/>
        </w:rPr>
        <w:t xml:space="preserve"> </w:t>
      </w:r>
    </w:p>
    <w:p w14:paraId="332D1CE1">
      <w:pPr>
        <w:pStyle w:val="17"/>
        <w:spacing w:before="4"/>
        <w:rPr>
          <w:sz w:val="15"/>
        </w:rPr>
      </w:pPr>
    </w:p>
    <w:p w14:paraId="0DC4F848">
      <w:pPr>
        <w:pStyle w:val="317"/>
        <w:numPr>
          <w:ilvl w:val="3"/>
          <w:numId w:val="5"/>
        </w:numPr>
        <w:tabs>
          <w:tab w:val="left" w:pos="1649"/>
        </w:tabs>
        <w:ind w:left="1648" w:hanging="903"/>
        <w:rPr>
          <w:sz w:val="21"/>
        </w:rPr>
      </w:pPr>
      <w:r>
        <w:rPr>
          <w:spacing w:val="-1"/>
          <w:sz w:val="21"/>
        </w:rPr>
        <w:t>已标价工程量清单中无相同项目亦无类似项目的，按照以下原则执行：</w:t>
      </w:r>
      <w:r>
        <w:rPr>
          <w:sz w:val="21"/>
        </w:rPr>
        <w:t xml:space="preserve"> </w:t>
      </w:r>
    </w:p>
    <w:p w14:paraId="44AF7F89">
      <w:pPr>
        <w:pStyle w:val="17"/>
        <w:spacing w:before="4"/>
        <w:rPr>
          <w:sz w:val="15"/>
        </w:rPr>
      </w:pPr>
    </w:p>
    <w:p w14:paraId="3F6F12AD">
      <w:pPr>
        <w:pStyle w:val="17"/>
        <w:ind w:left="746"/>
      </w:pPr>
      <w:r>
        <w:rPr>
          <w:spacing w:val="-1"/>
          <w:u w:val="single"/>
        </w:rPr>
        <w:t>按《重庆市房屋建筑与装饰工程计价定额》</w:t>
      </w:r>
      <w:r>
        <w:rPr>
          <w:u w:val="single"/>
        </w:rPr>
        <w:t>（CQJZZSDE-2018）、《重庆市仿古建筑工程计价定额》</w:t>
      </w:r>
    </w:p>
    <w:p w14:paraId="673BF7AE">
      <w:pPr>
        <w:pStyle w:val="17"/>
        <w:spacing w:before="11"/>
        <w:rPr>
          <w:sz w:val="9"/>
        </w:rPr>
      </w:pPr>
    </w:p>
    <w:p w14:paraId="232E3091">
      <w:pPr>
        <w:pStyle w:val="17"/>
        <w:spacing w:before="71"/>
        <w:ind w:left="326"/>
      </w:pPr>
      <w:r>
        <w:rPr>
          <w:u w:val="single"/>
        </w:rPr>
        <w:t>（CQFGDE-2018）、《重庆市通用安装工程计价定额》（CQAZDE-2018）</w:t>
      </w:r>
      <w:r>
        <w:rPr>
          <w:spacing w:val="-2"/>
          <w:u w:val="single"/>
        </w:rPr>
        <w:t xml:space="preserve"> 、《重庆市市政工程计价定额》</w:t>
      </w:r>
    </w:p>
    <w:p w14:paraId="5C4AC83C">
      <w:pPr>
        <w:pStyle w:val="17"/>
        <w:spacing w:before="12"/>
        <w:rPr>
          <w:sz w:val="10"/>
        </w:rPr>
      </w:pPr>
    </w:p>
    <w:p w14:paraId="42849CA8">
      <w:pPr>
        <w:pStyle w:val="17"/>
        <w:spacing w:before="71"/>
        <w:ind w:left="326"/>
      </w:pPr>
      <w:r>
        <w:rPr>
          <w:spacing w:val="-1"/>
          <w:u w:val="single"/>
        </w:rPr>
        <w:t>（CQSZDE-2018）</w:t>
      </w:r>
      <w:r>
        <w:rPr>
          <w:u w:val="single"/>
        </w:rPr>
        <w:t>、《重庆市园林绿化工程计价定额》（CQYLLHDE-2018）、《重庆市构筑物工程计价定</w:t>
      </w:r>
    </w:p>
    <w:p w14:paraId="376C35E5">
      <w:pPr>
        <w:pStyle w:val="17"/>
        <w:spacing w:before="10"/>
        <w:rPr>
          <w:sz w:val="9"/>
        </w:rPr>
      </w:pPr>
    </w:p>
    <w:p w14:paraId="6D420553">
      <w:pPr>
        <w:pStyle w:val="17"/>
        <w:spacing w:before="70"/>
        <w:ind w:left="326"/>
      </w:pPr>
      <w:r>
        <w:rPr>
          <w:spacing w:val="-15"/>
          <w:u w:val="single"/>
        </w:rPr>
        <w:t>额》</w:t>
      </w:r>
      <w:r>
        <w:rPr>
          <w:u w:val="single"/>
        </w:rPr>
        <w:t>（CQGZWDE-2018）</w:t>
      </w:r>
      <w:r>
        <w:rPr>
          <w:spacing w:val="-7"/>
          <w:u w:val="single"/>
        </w:rPr>
        <w:t>、《重庆市城市轨道交通工程计价定额》</w:t>
      </w:r>
      <w:r>
        <w:rPr>
          <w:u w:val="single"/>
        </w:rPr>
        <w:t>（CQGDDE-2018）</w:t>
      </w:r>
      <w:r>
        <w:rPr>
          <w:spacing w:val="-4"/>
          <w:u w:val="single"/>
        </w:rPr>
        <w:t>、《重庆市爆破工程计</w:t>
      </w:r>
    </w:p>
    <w:p w14:paraId="3E60F177">
      <w:pPr>
        <w:pStyle w:val="17"/>
        <w:spacing w:before="11"/>
        <w:rPr>
          <w:sz w:val="9"/>
        </w:rPr>
      </w:pPr>
    </w:p>
    <w:p w14:paraId="30DA1E4E">
      <w:pPr>
        <w:pStyle w:val="17"/>
        <w:spacing w:before="70"/>
        <w:ind w:left="326"/>
      </w:pPr>
      <w:r>
        <w:rPr>
          <w:spacing w:val="-1"/>
          <w:u w:val="single"/>
        </w:rPr>
        <w:t>价定额》</w:t>
      </w:r>
      <w:r>
        <w:rPr>
          <w:u w:val="single"/>
        </w:rPr>
        <w:t>（CQBPDE-2018）、《重庆市房屋修缮工程计价定额》（CQXSDE-2018）、《重庆市绿色建筑工</w:t>
      </w:r>
    </w:p>
    <w:p w14:paraId="13DB7CD9">
      <w:pPr>
        <w:pStyle w:val="17"/>
        <w:spacing w:before="11"/>
        <w:rPr>
          <w:sz w:val="9"/>
        </w:rPr>
      </w:pPr>
    </w:p>
    <w:p w14:paraId="50E64091">
      <w:pPr>
        <w:pStyle w:val="17"/>
        <w:spacing w:before="71"/>
        <w:ind w:left="326"/>
      </w:pPr>
      <w:r>
        <w:rPr>
          <w:spacing w:val="-1"/>
          <w:u w:val="single"/>
        </w:rPr>
        <w:t>程计价定额》</w:t>
      </w:r>
      <w:r>
        <w:rPr>
          <w:u w:val="single"/>
        </w:rPr>
        <w:t>（CQLSJZDE-2018）、《重庆市建设工程施工机械台班定额》（CQJXDE-2018）、《重庆市</w:t>
      </w:r>
    </w:p>
    <w:p w14:paraId="103FD8D3">
      <w:pPr>
        <w:pStyle w:val="17"/>
        <w:spacing w:before="10"/>
        <w:rPr>
          <w:sz w:val="9"/>
        </w:rPr>
      </w:pPr>
    </w:p>
    <w:p w14:paraId="520E66ED">
      <w:pPr>
        <w:pStyle w:val="17"/>
        <w:spacing w:before="71"/>
        <w:ind w:left="326"/>
      </w:pPr>
      <w:r>
        <w:rPr>
          <w:u w:val="single"/>
        </w:rPr>
        <w:t>建设工程施工仪器仪表台班定额》（CQYQYBDE-2018）、《重庆市建设工程混凝土及砂浆配合比表》</w:t>
      </w:r>
    </w:p>
    <w:p w14:paraId="45FC857B">
      <w:pPr>
        <w:pStyle w:val="17"/>
        <w:rPr>
          <w:sz w:val="11"/>
        </w:rPr>
      </w:pPr>
    </w:p>
    <w:p w14:paraId="3D7C2E67">
      <w:pPr>
        <w:pStyle w:val="17"/>
        <w:spacing w:before="70"/>
        <w:ind w:left="326"/>
      </w:pPr>
      <w:r>
        <w:rPr>
          <w:u w:val="single"/>
        </w:rPr>
        <w:t>（CQPHBB-2018）、《重庆市建设工程费用定额》（CQFYDE-2018）及相关配套文件进行组价并按承包人</w:t>
      </w:r>
    </w:p>
    <w:p w14:paraId="1CE69A5A">
      <w:pPr>
        <w:pStyle w:val="17"/>
        <w:spacing w:before="11"/>
        <w:rPr>
          <w:sz w:val="9"/>
        </w:rPr>
      </w:pPr>
    </w:p>
    <w:p w14:paraId="071A03D3">
      <w:pPr>
        <w:pStyle w:val="17"/>
        <w:spacing w:before="70"/>
        <w:ind w:left="326"/>
      </w:pPr>
      <w:r>
        <w:rPr>
          <w:u w:val="single"/>
        </w:rPr>
        <w:t>报价浮动率下浮（认质核价的设备和材料不参与浮动），经监理人、跟审单位、发包人审定后执行</w:t>
      </w:r>
      <w:r>
        <w:t xml:space="preserve">。 </w:t>
      </w:r>
    </w:p>
    <w:p w14:paraId="777E45F8">
      <w:pPr>
        <w:pStyle w:val="17"/>
        <w:spacing w:before="10"/>
        <w:rPr>
          <w:sz w:val="9"/>
        </w:rPr>
      </w:pPr>
    </w:p>
    <w:p w14:paraId="0B29B088">
      <w:pPr>
        <w:pStyle w:val="17"/>
        <w:spacing w:before="71"/>
        <w:ind w:left="746"/>
      </w:pPr>
      <w:r>
        <w:t xml:space="preserve">承包人报价浮动率按下列公式计算：承包人报价浮动率=（1-中标价/最高限价）×100%。 </w:t>
      </w:r>
    </w:p>
    <w:p w14:paraId="6C9FBDA9">
      <w:pPr>
        <w:pStyle w:val="17"/>
        <w:spacing w:before="4"/>
        <w:rPr>
          <w:sz w:val="15"/>
        </w:rPr>
      </w:pPr>
    </w:p>
    <w:p w14:paraId="0ACCBFC5">
      <w:pPr>
        <w:pStyle w:val="317"/>
        <w:numPr>
          <w:ilvl w:val="0"/>
          <w:numId w:val="36"/>
        </w:numPr>
        <w:tabs>
          <w:tab w:val="left" w:pos="1274"/>
        </w:tabs>
        <w:ind w:hanging="528"/>
        <w:jc w:val="left"/>
        <w:rPr>
          <w:sz w:val="21"/>
        </w:rPr>
      </w:pPr>
      <w:r>
        <w:rPr>
          <w:spacing w:val="-1"/>
          <w:sz w:val="21"/>
        </w:rPr>
        <w:t>人工单价：按开标当期《重庆工程造价信息》发布的项目所在地的人工单价执行。</w:t>
      </w:r>
      <w:r>
        <w:rPr>
          <w:sz w:val="21"/>
        </w:rPr>
        <w:t xml:space="preserve"> </w:t>
      </w:r>
    </w:p>
    <w:p w14:paraId="4D492866">
      <w:pPr>
        <w:pStyle w:val="17"/>
        <w:spacing w:before="4"/>
        <w:rPr>
          <w:sz w:val="15"/>
        </w:rPr>
      </w:pPr>
    </w:p>
    <w:p w14:paraId="57360A9F">
      <w:pPr>
        <w:pStyle w:val="317"/>
        <w:numPr>
          <w:ilvl w:val="0"/>
          <w:numId w:val="36"/>
        </w:numPr>
        <w:tabs>
          <w:tab w:val="left" w:pos="1274"/>
        </w:tabs>
        <w:ind w:hanging="528"/>
        <w:jc w:val="left"/>
        <w:rPr>
          <w:sz w:val="21"/>
        </w:rPr>
      </w:pPr>
      <w:r>
        <w:rPr>
          <w:sz w:val="21"/>
        </w:rPr>
        <w:t xml:space="preserve">材料单价： </w:t>
      </w:r>
    </w:p>
    <w:p w14:paraId="3C1AE449">
      <w:pPr>
        <w:pStyle w:val="17"/>
        <w:spacing w:before="7"/>
        <w:rPr>
          <w:sz w:val="16"/>
        </w:rPr>
      </w:pPr>
    </w:p>
    <w:p w14:paraId="290C7C27">
      <w:pPr>
        <w:pStyle w:val="17"/>
        <w:ind w:left="746"/>
      </w:pPr>
      <w:r>
        <w:t xml:space="preserve">①按开标当期《重庆工程造价信息》发布的项目所在地的信息价执行； </w:t>
      </w:r>
    </w:p>
    <w:p w14:paraId="45DA71DF">
      <w:pPr>
        <w:pStyle w:val="17"/>
        <w:spacing w:before="4"/>
        <w:rPr>
          <w:sz w:val="15"/>
        </w:rPr>
      </w:pPr>
    </w:p>
    <w:p w14:paraId="48C930A4">
      <w:pPr>
        <w:pStyle w:val="17"/>
        <w:ind w:left="746"/>
      </w:pPr>
      <w:r>
        <w:t>②开标当期《重庆工程造价信息》中没有的，承包人投标报价中有的，按承包人投标报价中相同材</w:t>
      </w:r>
    </w:p>
    <w:p w14:paraId="05C50685">
      <w:pPr>
        <w:sectPr>
          <w:pgSz w:w="11910" w:h="16850"/>
          <w:pgMar w:top="1440" w:right="1080" w:bottom="1440" w:left="1080" w:header="0" w:footer="996" w:gutter="0"/>
          <w:cols w:space="720" w:num="1"/>
        </w:sectPr>
      </w:pPr>
    </w:p>
    <w:p w14:paraId="2F84635F">
      <w:pPr>
        <w:pStyle w:val="17"/>
        <w:spacing w:before="46"/>
        <w:ind w:left="161"/>
      </w:pPr>
      <w:r>
        <w:t xml:space="preserve">料单价的最低值执行； </w:t>
      </w:r>
    </w:p>
    <w:p w14:paraId="7618E99D">
      <w:pPr>
        <w:pStyle w:val="17"/>
        <w:spacing w:before="4"/>
        <w:rPr>
          <w:sz w:val="15"/>
        </w:rPr>
      </w:pPr>
    </w:p>
    <w:p w14:paraId="6C922713">
      <w:pPr>
        <w:pStyle w:val="17"/>
        <w:spacing w:line="415" w:lineRule="auto"/>
        <w:ind w:left="161" w:right="1165" w:firstLine="420"/>
      </w:pPr>
      <w:r>
        <w:rPr>
          <w:spacing w:val="-7"/>
        </w:rPr>
        <w:t>③开标当期《重庆工程造价信息》和承包人投标报价没有的，由承包人申报、监理人会同跟审单位、发包人根据市场行情认质核价确定。</w:t>
      </w:r>
      <w:r>
        <w:t xml:space="preserve"> </w:t>
      </w:r>
    </w:p>
    <w:p w14:paraId="6A09649A">
      <w:pPr>
        <w:pStyle w:val="317"/>
        <w:numPr>
          <w:ilvl w:val="0"/>
          <w:numId w:val="36"/>
        </w:numPr>
        <w:tabs>
          <w:tab w:val="left" w:pos="1109"/>
        </w:tabs>
        <w:spacing w:before="15" w:line="415" w:lineRule="auto"/>
        <w:ind w:left="161" w:right="1285" w:firstLine="420"/>
        <w:jc w:val="left"/>
        <w:rPr>
          <w:sz w:val="21"/>
        </w:rPr>
      </w:pPr>
      <w:r>
        <w:rPr>
          <w:spacing w:val="-5"/>
          <w:sz w:val="21"/>
        </w:rPr>
        <w:t>企业管理费和利润：按承包人投标报价中相同工程分类的费用标准执行</w:t>
      </w:r>
      <w:r>
        <w:rPr>
          <w:sz w:val="21"/>
        </w:rPr>
        <w:t>（投标报价中费用标准高于《重庆市建设工程费用定额》（CQFYDE-2018）费用标准的，按《重庆市建设工程费用定额》</w:t>
      </w:r>
    </w:p>
    <w:p w14:paraId="1257891C">
      <w:pPr>
        <w:pStyle w:val="17"/>
        <w:ind w:left="161"/>
      </w:pPr>
      <w:r>
        <w:t xml:space="preserve">（CQFYDE-2018）费用标准执行）。 </w:t>
      </w:r>
    </w:p>
    <w:p w14:paraId="524CCBA1">
      <w:pPr>
        <w:pStyle w:val="17"/>
        <w:spacing w:before="4"/>
        <w:rPr>
          <w:sz w:val="15"/>
        </w:rPr>
      </w:pPr>
    </w:p>
    <w:p w14:paraId="21D5F660">
      <w:pPr>
        <w:pStyle w:val="317"/>
        <w:numPr>
          <w:ilvl w:val="0"/>
          <w:numId w:val="36"/>
        </w:numPr>
        <w:tabs>
          <w:tab w:val="left" w:pos="1109"/>
        </w:tabs>
        <w:ind w:left="1108" w:hanging="528"/>
        <w:jc w:val="left"/>
        <w:rPr>
          <w:sz w:val="21"/>
        </w:rPr>
      </w:pPr>
      <w:r>
        <w:rPr>
          <w:sz w:val="21"/>
        </w:rPr>
        <w:t xml:space="preserve">规费：按《重庆市建设工程费用定额》（CQFYDE-2018）费用标准进行计算。 </w:t>
      </w:r>
    </w:p>
    <w:p w14:paraId="10C6D276">
      <w:pPr>
        <w:pStyle w:val="17"/>
        <w:spacing w:before="4"/>
        <w:rPr>
          <w:sz w:val="15"/>
        </w:rPr>
      </w:pPr>
    </w:p>
    <w:p w14:paraId="497AAA0F">
      <w:pPr>
        <w:pStyle w:val="317"/>
        <w:numPr>
          <w:ilvl w:val="0"/>
          <w:numId w:val="36"/>
        </w:numPr>
        <w:tabs>
          <w:tab w:val="left" w:pos="1109"/>
        </w:tabs>
        <w:spacing w:line="427" w:lineRule="auto"/>
        <w:ind w:left="161" w:right="1285" w:firstLine="420"/>
        <w:jc w:val="left"/>
        <w:rPr>
          <w:sz w:val="21"/>
        </w:rPr>
      </w:pPr>
      <w:r>
        <w:rPr>
          <w:spacing w:val="-9"/>
          <w:sz w:val="21"/>
        </w:rPr>
        <w:t xml:space="preserve">税金：包含增值税、城市维护建设税、教育费附加、地方教育附加以及环境保护税。其中增值税按《重庆市建设工程费用定额》（CQFYDE-2018）规定及配套文件执行。 </w:t>
      </w:r>
    </w:p>
    <w:p w14:paraId="230BA6D5">
      <w:pPr>
        <w:pStyle w:val="317"/>
        <w:numPr>
          <w:ilvl w:val="3"/>
          <w:numId w:val="5"/>
        </w:numPr>
        <w:tabs>
          <w:tab w:val="left" w:pos="1483"/>
        </w:tabs>
        <w:spacing w:line="417" w:lineRule="auto"/>
        <w:ind w:left="161" w:right="1179" w:firstLine="420"/>
        <w:rPr>
          <w:sz w:val="21"/>
        </w:rPr>
      </w:pPr>
      <w:r>
        <w:rPr>
          <w:spacing w:val="-8"/>
          <w:sz w:val="21"/>
        </w:rPr>
        <w:t>已标价工程量清单中无相同项目亦无类似项目，也无定额可套用的，由承包人会同监理人、</w:t>
      </w:r>
      <w:r>
        <w:rPr>
          <w:spacing w:val="-9"/>
          <w:sz w:val="21"/>
        </w:rPr>
        <w:t>跟审单位、发包人按相关原则、编制方法编制补充定额</w:t>
      </w:r>
      <w:r>
        <w:rPr>
          <w:sz w:val="21"/>
        </w:rPr>
        <w:t>（</w:t>
      </w:r>
      <w:r>
        <w:rPr>
          <w:spacing w:val="-10"/>
          <w:sz w:val="21"/>
        </w:rPr>
        <w:t xml:space="preserve">人工、材料、机械基价执行 </w:t>
      </w:r>
      <w:r>
        <w:rPr>
          <w:spacing w:val="-4"/>
          <w:sz w:val="21"/>
        </w:rPr>
        <w:t>2018</w:t>
      </w:r>
      <w:r>
        <w:rPr>
          <w:spacing w:val="-8"/>
          <w:sz w:val="21"/>
        </w:rPr>
        <w:t xml:space="preserve"> 年计价定额的基价，2018</w:t>
      </w:r>
      <w:r>
        <w:rPr>
          <w:spacing w:val="-7"/>
          <w:sz w:val="21"/>
        </w:rPr>
        <w:t xml:space="preserve"> 年计价定额没有的基价，按市场价计</w:t>
      </w:r>
      <w:r>
        <w:rPr>
          <w:sz w:val="21"/>
        </w:rPr>
        <w:t>），</w:t>
      </w:r>
      <w:r>
        <w:rPr>
          <w:spacing w:val="-13"/>
          <w:sz w:val="21"/>
        </w:rPr>
        <w:t xml:space="preserve">按照第 </w:t>
      </w:r>
      <w:r>
        <w:rPr>
          <w:sz w:val="21"/>
        </w:rPr>
        <w:t>10.4.1.3</w:t>
      </w:r>
      <w:r>
        <w:rPr>
          <w:spacing w:val="-7"/>
          <w:sz w:val="21"/>
        </w:rPr>
        <w:t xml:space="preserve"> 目约定执行；或参照重庆市场相同工作的市场价格上报监理人，最终价格按承包人、监理人、跟审单位、发包人共同询价确认的价格执行。 </w:t>
      </w:r>
    </w:p>
    <w:p w14:paraId="3ECF779B">
      <w:pPr>
        <w:pStyle w:val="17"/>
        <w:ind w:left="581"/>
      </w:pPr>
      <w:r>
        <w:t xml:space="preserve">本款补充 10.4.3 项： </w:t>
      </w:r>
    </w:p>
    <w:p w14:paraId="7E173AB5">
      <w:pPr>
        <w:pStyle w:val="17"/>
        <w:spacing w:before="6"/>
        <w:rPr>
          <w:sz w:val="14"/>
        </w:rPr>
      </w:pPr>
    </w:p>
    <w:p w14:paraId="7421E430">
      <w:pPr>
        <w:pStyle w:val="17"/>
        <w:spacing w:line="415" w:lineRule="auto"/>
        <w:ind w:left="161" w:right="1266" w:firstLine="420"/>
        <w:jc w:val="both"/>
      </w:pPr>
      <w:r>
        <w:t>10.4.3</w:t>
      </w:r>
      <w:r>
        <w:rPr>
          <w:spacing w:val="-9"/>
        </w:rPr>
        <w:t xml:space="preserve"> 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r>
        <w:t xml:space="preserve"> </w:t>
      </w:r>
    </w:p>
    <w:p w14:paraId="2BA51B87">
      <w:pPr>
        <w:pStyle w:val="317"/>
        <w:numPr>
          <w:ilvl w:val="0"/>
          <w:numId w:val="37"/>
        </w:numPr>
        <w:tabs>
          <w:tab w:val="left" w:pos="1109"/>
        </w:tabs>
        <w:spacing w:before="15"/>
        <w:ind w:hanging="528"/>
        <w:rPr>
          <w:sz w:val="21"/>
        </w:rPr>
      </w:pPr>
      <w:r>
        <w:rPr>
          <w:sz w:val="21"/>
          <w:u w:val="single"/>
        </w:rPr>
        <w:t>安全文明施工费应按照实际发生变化的措施项目依据现行安全文明施工费计取及管理政策规定</w:t>
      </w:r>
    </w:p>
    <w:p w14:paraId="3435CBDE">
      <w:pPr>
        <w:pStyle w:val="17"/>
        <w:spacing w:before="10"/>
        <w:rPr>
          <w:sz w:val="9"/>
        </w:rPr>
      </w:pPr>
    </w:p>
    <w:p w14:paraId="4A12E1A9">
      <w:pPr>
        <w:pStyle w:val="17"/>
        <w:spacing w:before="71"/>
        <w:ind w:left="161"/>
      </w:pPr>
      <w:r>
        <w:rPr>
          <w:u w:val="single"/>
        </w:rPr>
        <w:t>及《重庆市建设工程费用定额》（CQFYDE-2018）规定执行</w:t>
      </w:r>
      <w:r>
        <w:t xml:space="preserve">； </w:t>
      </w:r>
    </w:p>
    <w:p w14:paraId="434A24F0">
      <w:pPr>
        <w:pStyle w:val="17"/>
        <w:spacing w:before="10"/>
        <w:rPr>
          <w:sz w:val="9"/>
        </w:rPr>
      </w:pPr>
    </w:p>
    <w:p w14:paraId="3CAA6DA0">
      <w:pPr>
        <w:pStyle w:val="317"/>
        <w:numPr>
          <w:ilvl w:val="0"/>
          <w:numId w:val="37"/>
        </w:numPr>
        <w:tabs>
          <w:tab w:val="left" w:pos="1109"/>
        </w:tabs>
        <w:spacing w:before="71"/>
        <w:ind w:hanging="528"/>
        <w:rPr>
          <w:sz w:val="21"/>
        </w:rPr>
      </w:pPr>
      <w:r>
        <w:rPr>
          <w:spacing w:val="-2"/>
          <w:sz w:val="21"/>
          <w:u w:val="single"/>
        </w:rPr>
        <w:t xml:space="preserve">按照单价计算的措施项目费，应按照实际发生变化的措施项目，按照第 </w:t>
      </w:r>
      <w:r>
        <w:rPr>
          <w:sz w:val="21"/>
          <w:u w:val="single"/>
        </w:rPr>
        <w:t>10.4.1</w:t>
      </w:r>
      <w:r>
        <w:rPr>
          <w:spacing w:val="-8"/>
          <w:sz w:val="21"/>
          <w:u w:val="single"/>
        </w:rPr>
        <w:t xml:space="preserve"> 项〔变更估价</w:t>
      </w:r>
    </w:p>
    <w:p w14:paraId="372600D8">
      <w:pPr>
        <w:pStyle w:val="17"/>
        <w:spacing w:before="11"/>
        <w:rPr>
          <w:sz w:val="9"/>
        </w:rPr>
      </w:pPr>
    </w:p>
    <w:p w14:paraId="28F351E0">
      <w:pPr>
        <w:pStyle w:val="17"/>
        <w:spacing w:before="70"/>
        <w:ind w:left="161"/>
      </w:pPr>
      <w:r>
        <w:rPr>
          <w:u w:val="single"/>
        </w:rPr>
        <w:t>原则〕约定执行</w:t>
      </w:r>
      <w:r>
        <w:t xml:space="preserve">； </w:t>
      </w:r>
    </w:p>
    <w:p w14:paraId="6E9AE499">
      <w:pPr>
        <w:pStyle w:val="17"/>
        <w:spacing w:before="11"/>
        <w:rPr>
          <w:sz w:val="9"/>
        </w:rPr>
      </w:pPr>
    </w:p>
    <w:p w14:paraId="5E590684">
      <w:pPr>
        <w:pStyle w:val="317"/>
        <w:numPr>
          <w:ilvl w:val="0"/>
          <w:numId w:val="37"/>
        </w:numPr>
        <w:tabs>
          <w:tab w:val="left" w:pos="1109"/>
        </w:tabs>
        <w:spacing w:before="70"/>
        <w:ind w:hanging="528"/>
        <w:rPr>
          <w:sz w:val="21"/>
        </w:rPr>
      </w:pPr>
      <w:r>
        <w:rPr>
          <w:spacing w:val="-5"/>
          <w:sz w:val="21"/>
          <w:u w:val="single"/>
        </w:rPr>
        <w:t>按总价</w:t>
      </w:r>
      <w:r>
        <w:rPr>
          <w:sz w:val="21"/>
          <w:u w:val="single"/>
        </w:rPr>
        <w:t>（或系数</w:t>
      </w:r>
      <w:r>
        <w:rPr>
          <w:spacing w:val="-15"/>
          <w:sz w:val="21"/>
          <w:u w:val="single"/>
        </w:rPr>
        <w:t>）</w:t>
      </w:r>
      <w:r>
        <w:rPr>
          <w:spacing w:val="-4"/>
          <w:sz w:val="21"/>
          <w:u w:val="single"/>
        </w:rPr>
        <w:t>计算的措施项目费，应按照实际发生变化的措施项目费按承包人报价浮动率</w:t>
      </w:r>
    </w:p>
    <w:p w14:paraId="766DD6FA">
      <w:pPr>
        <w:pStyle w:val="17"/>
        <w:rPr>
          <w:sz w:val="11"/>
        </w:rPr>
      </w:pPr>
    </w:p>
    <w:p w14:paraId="1D7E404C">
      <w:pPr>
        <w:pStyle w:val="17"/>
        <w:spacing w:before="71"/>
        <w:ind w:left="161"/>
      </w:pPr>
      <w:r>
        <w:rPr>
          <w:u w:val="single"/>
        </w:rPr>
        <w:t>下浮后的金额计算</w:t>
      </w:r>
      <w:r>
        <w:t xml:space="preserve">； </w:t>
      </w:r>
    </w:p>
    <w:p w14:paraId="36AC7691">
      <w:pPr>
        <w:pStyle w:val="17"/>
        <w:spacing w:before="10"/>
        <w:rPr>
          <w:sz w:val="9"/>
        </w:rPr>
      </w:pPr>
    </w:p>
    <w:p w14:paraId="667DFAA4">
      <w:pPr>
        <w:pStyle w:val="317"/>
        <w:numPr>
          <w:ilvl w:val="0"/>
          <w:numId w:val="37"/>
        </w:numPr>
        <w:tabs>
          <w:tab w:val="left" w:pos="1109"/>
        </w:tabs>
        <w:spacing w:before="71"/>
        <w:ind w:hanging="528"/>
        <w:rPr>
          <w:sz w:val="21"/>
        </w:rPr>
      </w:pPr>
      <w:r>
        <w:rPr>
          <w:spacing w:val="-3"/>
          <w:sz w:val="21"/>
          <w:u w:val="single"/>
        </w:rPr>
        <w:t>如果承包人未事前将拟实施的方案提交给发包人确认，则应视为工程变更不引起措施项目费的</w:t>
      </w:r>
    </w:p>
    <w:p w14:paraId="4FB05A3E">
      <w:pPr>
        <w:pStyle w:val="17"/>
        <w:spacing w:before="10"/>
        <w:rPr>
          <w:sz w:val="9"/>
        </w:rPr>
      </w:pPr>
    </w:p>
    <w:p w14:paraId="2C9419F5">
      <w:pPr>
        <w:pStyle w:val="17"/>
        <w:spacing w:before="71"/>
        <w:ind w:left="161"/>
      </w:pPr>
      <w:r>
        <w:rPr>
          <w:u w:val="single"/>
        </w:rPr>
        <w:t>调整或承包人放弃调整措施项目费的权利</w:t>
      </w:r>
      <w:r>
        <w:t xml:space="preserve">。 </w:t>
      </w:r>
    </w:p>
    <w:p w14:paraId="0EFB374E">
      <w:pPr>
        <w:pStyle w:val="17"/>
        <w:spacing w:before="10"/>
        <w:rPr>
          <w:sz w:val="9"/>
        </w:rPr>
      </w:pPr>
    </w:p>
    <w:p w14:paraId="66AE36D4">
      <w:pPr>
        <w:pStyle w:val="3"/>
        <w:numPr>
          <w:ilvl w:val="1"/>
          <w:numId w:val="5"/>
        </w:numPr>
        <w:tabs>
          <w:tab w:val="left" w:pos="1108"/>
        </w:tabs>
        <w:spacing w:before="4"/>
        <w:ind w:left="1107" w:hanging="527"/>
      </w:pPr>
      <w:r>
        <w:t>承包人的合理化建议</w:t>
      </w:r>
      <w:r>
        <w:rPr>
          <w:w w:val="167"/>
        </w:rPr>
        <w:t xml:space="preserve"> </w:t>
      </w:r>
    </w:p>
    <w:p w14:paraId="2501EB20">
      <w:pPr>
        <w:pStyle w:val="17"/>
        <w:spacing w:before="145" w:line="429" w:lineRule="auto"/>
        <w:ind w:left="161" w:right="1294" w:firstLine="420"/>
      </w:pPr>
      <w:r>
        <w:t xml:space="preserve">承包人提出合理化建议的，应向监理人提交合理化建议说明，说明建议的内容和理由，以及实施该建议对合同价格和（或）工期和（或）工程经济效益的影响。 </w:t>
      </w:r>
    </w:p>
    <w:p w14:paraId="0A07AE79">
      <w:pPr>
        <w:pStyle w:val="17"/>
        <w:spacing w:line="252" w:lineRule="exact"/>
        <w:ind w:left="581"/>
      </w:pPr>
      <w:r>
        <w:t>监理人审查承包人合理化建议的期限：</w:t>
      </w:r>
      <w:r>
        <w:rPr>
          <w:u w:val="single"/>
        </w:rPr>
        <w:t>不超过 14 天</w:t>
      </w:r>
      <w:r>
        <w:t xml:space="preserve">。 </w:t>
      </w:r>
    </w:p>
    <w:p w14:paraId="09D05574">
      <w:pPr>
        <w:spacing w:line="252" w:lineRule="exact"/>
        <w:sectPr>
          <w:pgSz w:w="11910" w:h="16850"/>
          <w:pgMar w:top="1440" w:right="1080" w:bottom="1440" w:left="1080" w:header="0" w:footer="996" w:gutter="0"/>
          <w:cols w:space="720" w:num="1"/>
        </w:sectPr>
      </w:pPr>
    </w:p>
    <w:p w14:paraId="7B1DA10D">
      <w:pPr>
        <w:pStyle w:val="17"/>
        <w:spacing w:before="46"/>
        <w:ind w:left="746"/>
      </w:pPr>
      <w:r>
        <w:t>发包人审批承包人合理化建议的期限：</w:t>
      </w:r>
      <w:r>
        <w:rPr>
          <w:u w:val="single"/>
        </w:rPr>
        <w:t>不超过 14 天</w:t>
      </w:r>
      <w:r>
        <w:t xml:space="preserve">。 </w:t>
      </w:r>
    </w:p>
    <w:p w14:paraId="7F7B1A0A">
      <w:pPr>
        <w:pStyle w:val="17"/>
        <w:spacing w:before="11"/>
        <w:rPr>
          <w:sz w:val="9"/>
        </w:rPr>
      </w:pPr>
    </w:p>
    <w:p w14:paraId="45E380A8">
      <w:pPr>
        <w:pStyle w:val="17"/>
        <w:spacing w:before="70" w:line="415" w:lineRule="auto"/>
        <w:ind w:left="326" w:right="1129" w:firstLine="420"/>
      </w:pPr>
      <w:r>
        <w:t>承包人提出的合理化建议降低了合同价格或缩短了工期或者提高了工程经济效益的奖励的方法和金额为：</w:t>
      </w:r>
      <w:r>
        <w:rPr>
          <w:u w:val="single"/>
        </w:rPr>
        <w:t>合理化建议带来经济效益的 5～10 %</w:t>
      </w:r>
      <w:r>
        <w:t xml:space="preserve">。 </w:t>
      </w:r>
    </w:p>
    <w:p w14:paraId="124349B7">
      <w:pPr>
        <w:pStyle w:val="3"/>
        <w:numPr>
          <w:ilvl w:val="1"/>
          <w:numId w:val="38"/>
        </w:numPr>
        <w:tabs>
          <w:tab w:val="left" w:pos="1213"/>
        </w:tabs>
        <w:spacing w:line="335" w:lineRule="exact"/>
        <w:ind w:hanging="467"/>
      </w:pPr>
      <w:r>
        <w:rPr>
          <w:spacing w:val="10"/>
        </w:rPr>
        <w:t>暂估价</w:t>
      </w:r>
      <w:r>
        <w:rPr>
          <w:spacing w:val="10"/>
          <w:w w:val="167"/>
        </w:rPr>
        <w:t xml:space="preserve"> </w:t>
      </w:r>
    </w:p>
    <w:p w14:paraId="4C86F1EE">
      <w:pPr>
        <w:pStyle w:val="17"/>
        <w:spacing w:before="145"/>
        <w:ind w:left="746"/>
      </w:pPr>
      <w:r>
        <w:t>专业工程暂估价：</w:t>
      </w:r>
      <w:r>
        <w:rPr>
          <w:u w:val="single"/>
        </w:rPr>
        <w:t xml:space="preserve"> </w:t>
      </w:r>
      <w:r>
        <w:t xml:space="preserve">万元。 </w:t>
      </w:r>
    </w:p>
    <w:p w14:paraId="1FC39FD9">
      <w:pPr>
        <w:pStyle w:val="17"/>
        <w:spacing w:before="11"/>
        <w:rPr>
          <w:sz w:val="9"/>
        </w:rPr>
      </w:pPr>
    </w:p>
    <w:p w14:paraId="32D41A60">
      <w:pPr>
        <w:pStyle w:val="17"/>
        <w:spacing w:before="70" w:line="417" w:lineRule="auto"/>
        <w:ind w:left="326" w:right="1107" w:firstLine="420"/>
        <w:jc w:val="both"/>
      </w:pPr>
      <w:r>
        <w:t>单项合同估算价在国家相关法律法规规定必须招标规模以下的，符合可以不招标相关规定的，由承包人采取交钥匙工程模式实施，发包人配合。承包人（需在允许资质范围内）或承包人委托的有资质的</w:t>
      </w:r>
      <w:r>
        <w:rPr>
          <w:spacing w:val="-5"/>
        </w:rPr>
        <w:t xml:space="preserve">专业分包单位实施。费用估价按照第 </w:t>
      </w:r>
      <w:r>
        <w:t>10.4.1</w:t>
      </w:r>
      <w:r>
        <w:rPr>
          <w:spacing w:val="-12"/>
        </w:rPr>
        <w:t xml:space="preserve"> 项〔变更估价原则〕执行，承包人申报，经监理人、跟审单位、发包人共同审定。审定后根据承包人签订的相关合同（需经监理人、跟审单位、发包人共同确认） 约定，由承包人申报，随进度款按与相关单位签订的合同约定一并支付。</w:t>
      </w:r>
      <w:r>
        <w:t xml:space="preserve"> </w:t>
      </w:r>
    </w:p>
    <w:p w14:paraId="7C4CF80B">
      <w:pPr>
        <w:pStyle w:val="17"/>
        <w:spacing w:before="2" w:line="415" w:lineRule="auto"/>
        <w:ind w:left="326" w:right="1133" w:firstLine="420"/>
      </w:pPr>
      <w:r>
        <w:t xml:space="preserve">单项合同暂估价在国家相关法律法规规定必须招标规模以上的，需依法必须招标的，由承包人、发包人共同招标确定。 </w:t>
      </w:r>
    </w:p>
    <w:p w14:paraId="4BBBAF8E">
      <w:pPr>
        <w:pStyle w:val="3"/>
        <w:numPr>
          <w:ilvl w:val="1"/>
          <w:numId w:val="38"/>
        </w:numPr>
        <w:tabs>
          <w:tab w:val="left" w:pos="1213"/>
        </w:tabs>
        <w:spacing w:line="320" w:lineRule="exact"/>
        <w:ind w:hanging="467"/>
      </w:pPr>
      <w:r>
        <w:rPr>
          <w:spacing w:val="11"/>
        </w:rPr>
        <w:t>暂列金额</w:t>
      </w:r>
      <w:r>
        <w:rPr>
          <w:w w:val="167"/>
        </w:rPr>
        <w:t xml:space="preserve"> </w:t>
      </w:r>
    </w:p>
    <w:p w14:paraId="5FC68B46">
      <w:pPr>
        <w:pStyle w:val="17"/>
        <w:spacing w:before="160"/>
        <w:ind w:left="746"/>
      </w:pPr>
      <w:r>
        <w:t>合同当事人关于暂列金额使用的约定：</w:t>
      </w:r>
      <w:r>
        <w:rPr>
          <w:u w:val="single"/>
        </w:rPr>
        <w:t xml:space="preserve"> </w:t>
      </w:r>
      <w:r>
        <w:t xml:space="preserve">。 </w:t>
      </w:r>
    </w:p>
    <w:p w14:paraId="5B4ED4CC">
      <w:pPr>
        <w:pStyle w:val="17"/>
        <w:spacing w:before="7"/>
      </w:pPr>
    </w:p>
    <w:p w14:paraId="3BAF3996">
      <w:pPr>
        <w:pStyle w:val="3"/>
        <w:numPr>
          <w:ilvl w:val="0"/>
          <w:numId w:val="5"/>
        </w:numPr>
        <w:tabs>
          <w:tab w:val="left" w:pos="687"/>
        </w:tabs>
        <w:spacing w:before="3"/>
        <w:ind w:left="686" w:hanging="361"/>
        <w:jc w:val="left"/>
      </w:pPr>
      <w:r>
        <w:rPr>
          <w:spacing w:val="7"/>
        </w:rPr>
        <w:t>价格调整</w:t>
      </w:r>
      <w:r>
        <w:rPr>
          <w:spacing w:val="7"/>
          <w:w w:val="167"/>
        </w:rPr>
        <w:t xml:space="preserve"> </w:t>
      </w:r>
    </w:p>
    <w:p w14:paraId="3C41330D">
      <w:pPr>
        <w:pStyle w:val="17"/>
        <w:spacing w:before="4"/>
        <w:rPr>
          <w:rFonts w:ascii="微软雅黑"/>
          <w:b/>
          <w:sz w:val="13"/>
        </w:rPr>
      </w:pPr>
    </w:p>
    <w:p w14:paraId="05A233F0">
      <w:pPr>
        <w:pStyle w:val="317"/>
        <w:numPr>
          <w:ilvl w:val="1"/>
          <w:numId w:val="5"/>
        </w:numPr>
        <w:tabs>
          <w:tab w:val="left" w:pos="1213"/>
        </w:tabs>
        <w:ind w:left="1212" w:hanging="467"/>
        <w:rPr>
          <w:rFonts w:ascii="微软雅黑" w:eastAsia="微软雅黑"/>
          <w:b/>
          <w:sz w:val="21"/>
        </w:rPr>
      </w:pPr>
      <w:r>
        <w:rPr>
          <w:rFonts w:hint="eastAsia" w:ascii="微软雅黑" w:eastAsia="微软雅黑"/>
          <w:b/>
          <w:spacing w:val="1"/>
          <w:sz w:val="21"/>
        </w:rPr>
        <w:t>市场价格波动引起的调整</w:t>
      </w:r>
      <w:r>
        <w:rPr>
          <w:rFonts w:hint="eastAsia" w:ascii="微软雅黑" w:eastAsia="微软雅黑"/>
          <w:b/>
          <w:spacing w:val="1"/>
          <w:w w:val="167"/>
          <w:sz w:val="21"/>
        </w:rPr>
        <w:t xml:space="preserve"> </w:t>
      </w:r>
    </w:p>
    <w:p w14:paraId="180F1E63">
      <w:pPr>
        <w:pStyle w:val="317"/>
        <w:numPr>
          <w:ilvl w:val="2"/>
          <w:numId w:val="5"/>
        </w:numPr>
        <w:tabs>
          <w:tab w:val="left" w:pos="1438"/>
        </w:tabs>
        <w:spacing w:before="146" w:line="415" w:lineRule="auto"/>
        <w:ind w:left="746" w:right="7492" w:firstLine="0"/>
        <w:jc w:val="left"/>
        <w:rPr>
          <w:sz w:val="21"/>
        </w:rPr>
      </w:pPr>
      <w:r>
        <w:rPr>
          <w:sz w:val="21"/>
        </w:rPr>
        <w:t>人工费价差调整办法价格调整方式：</w:t>
      </w:r>
      <w:r>
        <w:rPr>
          <w:sz w:val="21"/>
          <w:u w:val="single"/>
        </w:rPr>
        <w:t>不调整</w:t>
      </w:r>
      <w:r>
        <w:rPr>
          <w:sz w:val="21"/>
        </w:rPr>
        <w:t xml:space="preserve"> </w:t>
      </w:r>
    </w:p>
    <w:p w14:paraId="4DB26203">
      <w:pPr>
        <w:pStyle w:val="317"/>
        <w:numPr>
          <w:ilvl w:val="2"/>
          <w:numId w:val="5"/>
        </w:numPr>
        <w:tabs>
          <w:tab w:val="left" w:pos="1378"/>
        </w:tabs>
        <w:spacing w:line="429" w:lineRule="auto"/>
        <w:ind w:left="746" w:right="7447" w:firstLine="0"/>
        <w:jc w:val="left"/>
        <w:rPr>
          <w:sz w:val="19"/>
        </w:rPr>
      </w:pPr>
      <w:r>
        <w:rPr>
          <w:sz w:val="21"/>
        </w:rPr>
        <w:t>材料费价差调整办法 价格调整方式：</w:t>
      </w:r>
      <w:r>
        <w:rPr>
          <w:sz w:val="21"/>
          <w:u w:val="single"/>
        </w:rPr>
        <w:t>不调整</w:t>
      </w:r>
      <w:r>
        <w:rPr>
          <w:sz w:val="21"/>
        </w:rPr>
        <w:t xml:space="preserve">。 </w:t>
      </w:r>
    </w:p>
    <w:p w14:paraId="6C3B848F">
      <w:pPr>
        <w:pStyle w:val="3"/>
        <w:numPr>
          <w:ilvl w:val="1"/>
          <w:numId w:val="5"/>
        </w:numPr>
        <w:tabs>
          <w:tab w:val="left" w:pos="1213"/>
        </w:tabs>
        <w:spacing w:line="302" w:lineRule="exact"/>
        <w:ind w:left="1212" w:hanging="467"/>
      </w:pPr>
      <w:r>
        <w:rPr>
          <w:spacing w:val="3"/>
        </w:rPr>
        <w:t>法律变化引起的调整</w:t>
      </w:r>
      <w:r>
        <w:rPr>
          <w:spacing w:val="3"/>
          <w:w w:val="167"/>
        </w:rPr>
        <w:t xml:space="preserve"> </w:t>
      </w:r>
    </w:p>
    <w:p w14:paraId="35E22178">
      <w:pPr>
        <w:pStyle w:val="17"/>
        <w:spacing w:before="145" w:line="415" w:lineRule="auto"/>
        <w:ind w:left="326" w:right="1124" w:firstLine="420"/>
        <w:jc w:val="both"/>
      </w:pPr>
      <w:r>
        <w:t>项目投标基准日至竣工验收合格之日，国家或相关行政主管部门发布直接影响项目的新法规、新政</w:t>
      </w:r>
      <w:r>
        <w:rPr>
          <w:spacing w:val="-18"/>
        </w:rPr>
        <w:t xml:space="preserve">策、新文件、新标准，属强制执行的，自执行之日执行，由此增减的费用由发包人承担，估价照第 </w:t>
      </w:r>
      <w:r>
        <w:t xml:space="preserve">10.4.1 </w:t>
      </w:r>
      <w:r>
        <w:rPr>
          <w:spacing w:val="-1"/>
        </w:rPr>
        <w:t>项〔变更估价原则〕执行；属选择性执行的，发包人与承包人协商解决。</w:t>
      </w:r>
      <w:r>
        <w:t xml:space="preserve"> </w:t>
      </w:r>
    </w:p>
    <w:p w14:paraId="78EBFEC0">
      <w:pPr>
        <w:pStyle w:val="17"/>
        <w:spacing w:before="15"/>
        <w:ind w:left="746"/>
        <w:jc w:val="both"/>
      </w:pPr>
      <w:r>
        <w:t xml:space="preserve">本条补充 11.3 款 </w:t>
      </w:r>
    </w:p>
    <w:p w14:paraId="3F556721">
      <w:pPr>
        <w:pStyle w:val="3"/>
        <w:numPr>
          <w:ilvl w:val="1"/>
          <w:numId w:val="5"/>
        </w:numPr>
        <w:tabs>
          <w:tab w:val="left" w:pos="1213"/>
        </w:tabs>
        <w:spacing w:before="129"/>
        <w:ind w:left="1212" w:hanging="467"/>
      </w:pPr>
      <w:r>
        <w:t>严重不平衡报价引起的调整</w:t>
      </w:r>
      <w:r>
        <w:rPr>
          <w:w w:val="167"/>
        </w:rPr>
        <w:t xml:space="preserve"> </w:t>
      </w:r>
    </w:p>
    <w:p w14:paraId="48B3B14C">
      <w:pPr>
        <w:pStyle w:val="17"/>
        <w:spacing w:before="146"/>
        <w:ind w:left="746"/>
        <w:jc w:val="both"/>
      </w:pPr>
      <w:r>
        <w:rPr>
          <w:u w:val="single"/>
        </w:rPr>
        <w:t>合同履行期间，当按第 12.3.1 项〔计量原则〕约定确认的完成工程量比已标价工程量清单载明工程</w:t>
      </w:r>
    </w:p>
    <w:p w14:paraId="6F9F863F">
      <w:pPr>
        <w:pStyle w:val="17"/>
        <w:spacing w:before="10"/>
        <w:rPr>
          <w:sz w:val="9"/>
        </w:rPr>
      </w:pPr>
    </w:p>
    <w:p w14:paraId="508B9415">
      <w:pPr>
        <w:pStyle w:val="17"/>
        <w:spacing w:before="71"/>
        <w:ind w:left="326"/>
      </w:pPr>
      <w:r>
        <w:rPr>
          <w:spacing w:val="-8"/>
          <w:u w:val="single"/>
        </w:rPr>
        <w:t xml:space="preserve">量增加超过 </w:t>
      </w:r>
      <w:r>
        <w:rPr>
          <w:u w:val="single"/>
        </w:rPr>
        <w:t>15%，且发包人发现承包人的已标价工程量清单相关清单子目中有严重不平衡报价的。超过</w:t>
      </w:r>
    </w:p>
    <w:p w14:paraId="29627092">
      <w:pPr>
        <w:pStyle w:val="17"/>
        <w:spacing w:before="10"/>
        <w:rPr>
          <w:sz w:val="9"/>
        </w:rPr>
      </w:pPr>
    </w:p>
    <w:p w14:paraId="47BABF6F">
      <w:pPr>
        <w:pStyle w:val="17"/>
        <w:spacing w:before="70"/>
        <w:ind w:left="326"/>
      </w:pPr>
      <w:r>
        <w:rPr>
          <w:spacing w:val="-4"/>
          <w:u w:val="single"/>
        </w:rPr>
        <w:t xml:space="preserve">已标价工程量清单载明工程量 </w:t>
      </w:r>
      <w:r>
        <w:rPr>
          <w:u w:val="single"/>
        </w:rPr>
        <w:t>15%的部分，发包人将对严重不平衡报价的清单子目综合单价进行修正，</w:t>
      </w:r>
    </w:p>
    <w:p w14:paraId="43CC9DC0">
      <w:pPr>
        <w:sectPr>
          <w:pgSz w:w="11910" w:h="16850"/>
          <w:pgMar w:top="1440" w:right="1080" w:bottom="1440" w:left="1080" w:header="0" w:footer="996" w:gutter="0"/>
          <w:cols w:space="720" w:num="1"/>
        </w:sectPr>
      </w:pPr>
    </w:p>
    <w:p w14:paraId="3F58C453">
      <w:pPr>
        <w:pStyle w:val="17"/>
        <w:spacing w:before="46"/>
        <w:ind w:left="161"/>
      </w:pPr>
      <w:r>
        <w:rPr>
          <w:spacing w:val="-3"/>
          <w:u w:val="single"/>
        </w:rPr>
        <w:t xml:space="preserve">并按修正综合单价办理竣工结算，修正综合单价按照第 </w:t>
      </w:r>
      <w:r>
        <w:rPr>
          <w:u w:val="single"/>
        </w:rPr>
        <w:t>10.4.1</w:t>
      </w:r>
      <w:r>
        <w:rPr>
          <w:spacing w:val="-7"/>
          <w:u w:val="single"/>
        </w:rPr>
        <w:t xml:space="preserve"> 项〔变更估价原则〕</w:t>
      </w:r>
      <w:r>
        <w:rPr>
          <w:u w:val="single"/>
        </w:rPr>
        <w:t>（3）目约定执行</w:t>
      </w:r>
      <w:r>
        <w:t xml:space="preserve">。 </w:t>
      </w:r>
    </w:p>
    <w:p w14:paraId="2C518946">
      <w:pPr>
        <w:pStyle w:val="17"/>
        <w:spacing w:before="11"/>
        <w:rPr>
          <w:sz w:val="9"/>
        </w:rPr>
      </w:pPr>
    </w:p>
    <w:p w14:paraId="3B8DD00B">
      <w:pPr>
        <w:pStyle w:val="17"/>
        <w:spacing w:before="70"/>
        <w:ind w:left="581"/>
      </w:pPr>
      <w:r>
        <w:rPr>
          <w:spacing w:val="-2"/>
          <w:u w:val="single"/>
        </w:rPr>
        <w:t xml:space="preserve">严重不平衡报价是指：清单子目综合单价与发包人按照第 </w:t>
      </w:r>
      <w:r>
        <w:rPr>
          <w:u w:val="single"/>
        </w:rPr>
        <w:t>10.4.1</w:t>
      </w:r>
      <w:r>
        <w:rPr>
          <w:spacing w:val="-7"/>
          <w:u w:val="single"/>
        </w:rPr>
        <w:t xml:space="preserve"> 项〔变更估价原则〕</w:t>
      </w:r>
      <w:r>
        <w:rPr>
          <w:u w:val="single"/>
        </w:rPr>
        <w:t>（3）目约定</w:t>
      </w:r>
    </w:p>
    <w:p w14:paraId="3F6699ED">
      <w:pPr>
        <w:pStyle w:val="17"/>
        <w:spacing w:before="10"/>
        <w:rPr>
          <w:sz w:val="9"/>
        </w:rPr>
      </w:pPr>
    </w:p>
    <w:p w14:paraId="23C87149">
      <w:pPr>
        <w:pStyle w:val="17"/>
        <w:spacing w:before="71"/>
        <w:ind w:left="161"/>
      </w:pPr>
      <w:r>
        <w:rPr>
          <w:u w:val="single"/>
        </w:rPr>
        <w:t>确定的综合单价相比，高于 50%（即严重不平衡报价清单子目综合单价 - 按照第 10.4.1 项〔变更估价</w:t>
      </w:r>
    </w:p>
    <w:p w14:paraId="6FBEF76F">
      <w:pPr>
        <w:pStyle w:val="17"/>
        <w:rPr>
          <w:sz w:val="11"/>
        </w:rPr>
      </w:pPr>
    </w:p>
    <w:p w14:paraId="5A93A710">
      <w:pPr>
        <w:pStyle w:val="17"/>
        <w:spacing w:before="70"/>
        <w:ind w:left="161"/>
      </w:pPr>
      <w:r>
        <w:rPr>
          <w:u w:val="single"/>
        </w:rPr>
        <w:t>原则〕（3）目约定确定的综合单价）/按照第 10.4.1 项〔变更估价原则〕（3）目约定确定的综合单价</w:t>
      </w:r>
    </w:p>
    <w:p w14:paraId="3674D2B9">
      <w:pPr>
        <w:pStyle w:val="17"/>
        <w:spacing w:before="11"/>
        <w:rPr>
          <w:sz w:val="9"/>
        </w:rPr>
      </w:pPr>
    </w:p>
    <w:p w14:paraId="4750B192">
      <w:pPr>
        <w:pStyle w:val="17"/>
        <w:spacing w:before="71"/>
        <w:ind w:left="161"/>
      </w:pPr>
      <w:r>
        <w:rPr>
          <w:u w:val="single"/>
        </w:rPr>
        <w:t>×100%</w:t>
      </w:r>
      <w:r>
        <w:t xml:space="preserve">。 </w:t>
      </w:r>
    </w:p>
    <w:p w14:paraId="54D9ED37">
      <w:pPr>
        <w:pStyle w:val="17"/>
        <w:spacing w:before="6"/>
      </w:pPr>
    </w:p>
    <w:p w14:paraId="5BD77257">
      <w:pPr>
        <w:pStyle w:val="3"/>
        <w:numPr>
          <w:ilvl w:val="0"/>
          <w:numId w:val="5"/>
        </w:numPr>
        <w:tabs>
          <w:tab w:val="left" w:pos="522"/>
        </w:tabs>
        <w:spacing w:before="4"/>
        <w:ind w:left="521" w:hanging="361"/>
        <w:jc w:val="left"/>
      </w:pPr>
      <w:r>
        <w:rPr>
          <w:spacing w:val="2"/>
        </w:rPr>
        <w:t>合同价格、计量与支付</w:t>
      </w:r>
      <w:r>
        <w:rPr>
          <w:spacing w:val="2"/>
          <w:w w:val="167"/>
        </w:rPr>
        <w:t xml:space="preserve"> </w:t>
      </w:r>
    </w:p>
    <w:p w14:paraId="011AD9FB">
      <w:pPr>
        <w:pStyle w:val="17"/>
        <w:spacing w:before="3"/>
        <w:rPr>
          <w:rFonts w:ascii="微软雅黑"/>
          <w:b/>
          <w:sz w:val="13"/>
        </w:rPr>
      </w:pPr>
    </w:p>
    <w:p w14:paraId="58BD2C3E">
      <w:pPr>
        <w:pStyle w:val="317"/>
        <w:numPr>
          <w:ilvl w:val="1"/>
          <w:numId w:val="5"/>
        </w:numPr>
        <w:tabs>
          <w:tab w:val="left" w:pos="1048"/>
        </w:tabs>
        <w:spacing w:before="1"/>
        <w:ind w:left="1047" w:hanging="467"/>
        <w:rPr>
          <w:rFonts w:ascii="微软雅黑" w:eastAsia="微软雅黑"/>
          <w:b/>
          <w:sz w:val="21"/>
        </w:rPr>
      </w:pPr>
      <w:r>
        <w:rPr>
          <w:rFonts w:hint="eastAsia" w:ascii="微软雅黑" w:eastAsia="微软雅黑"/>
          <w:b/>
          <w:spacing w:val="6"/>
          <w:sz w:val="21"/>
        </w:rPr>
        <w:t>合同价格形式</w:t>
      </w:r>
      <w:r>
        <w:rPr>
          <w:rFonts w:hint="eastAsia" w:ascii="微软雅黑" w:eastAsia="微软雅黑"/>
          <w:b/>
          <w:spacing w:val="6"/>
          <w:w w:val="167"/>
          <w:sz w:val="21"/>
        </w:rPr>
        <w:t xml:space="preserve"> </w:t>
      </w:r>
    </w:p>
    <w:p w14:paraId="692CF2B9">
      <w:pPr>
        <w:pStyle w:val="17"/>
        <w:spacing w:before="145"/>
        <w:ind w:left="581"/>
      </w:pPr>
      <w:r>
        <w:t xml:space="preserve">1、单价合同。 </w:t>
      </w:r>
    </w:p>
    <w:p w14:paraId="3F752977">
      <w:pPr>
        <w:pStyle w:val="17"/>
        <w:spacing w:before="4"/>
        <w:rPr>
          <w:sz w:val="15"/>
        </w:rPr>
      </w:pPr>
    </w:p>
    <w:p w14:paraId="6A062E16">
      <w:pPr>
        <w:pStyle w:val="17"/>
        <w:ind w:left="581"/>
      </w:pPr>
      <w:r>
        <w:rPr>
          <w:spacing w:val="-1"/>
        </w:rPr>
        <w:t>综合单价包含的风险范围：</w:t>
      </w:r>
      <w:r>
        <w:rPr>
          <w:u w:val="single"/>
        </w:rPr>
        <w:t>包括但不限于为实施和完成合同工程所需的人工费、材料费、施工机具</w:t>
      </w:r>
    </w:p>
    <w:p w14:paraId="44EC2AD8">
      <w:pPr>
        <w:pStyle w:val="17"/>
        <w:rPr>
          <w:sz w:val="11"/>
        </w:rPr>
      </w:pPr>
    </w:p>
    <w:p w14:paraId="39AC39E3">
      <w:pPr>
        <w:pStyle w:val="17"/>
        <w:spacing w:before="71"/>
        <w:ind w:left="161"/>
      </w:pPr>
      <w:r>
        <w:rPr>
          <w:spacing w:val="-1"/>
          <w:u w:val="single"/>
        </w:rPr>
        <w:t>使用费、企业管理费、利润、风险费、施工技术措施项目费、施工组织措施项目费及缺陷修复等费用，</w:t>
      </w:r>
    </w:p>
    <w:p w14:paraId="1B15AC71">
      <w:pPr>
        <w:pStyle w:val="17"/>
        <w:spacing w:before="10"/>
        <w:rPr>
          <w:sz w:val="9"/>
        </w:rPr>
      </w:pPr>
    </w:p>
    <w:p w14:paraId="2F62565E">
      <w:pPr>
        <w:pStyle w:val="17"/>
        <w:spacing w:before="71"/>
        <w:ind w:left="161"/>
      </w:pPr>
      <w:r>
        <w:rPr>
          <w:spacing w:val="-12"/>
          <w:u w:val="single"/>
        </w:rPr>
        <w:t xml:space="preserve">以及第 </w:t>
      </w:r>
      <w:r>
        <w:rPr>
          <w:u w:val="single"/>
        </w:rPr>
        <w:t>11.1</w:t>
      </w:r>
      <w:r>
        <w:rPr>
          <w:spacing w:val="-12"/>
          <w:u w:val="single"/>
        </w:rPr>
        <w:t xml:space="preserve"> 款〔市场价格波动引起的调整〕约定范围内的市场价格波动风险、政策性文件规定的各项应</w:t>
      </w:r>
    </w:p>
    <w:p w14:paraId="585F94CB">
      <w:pPr>
        <w:pStyle w:val="17"/>
        <w:spacing w:before="10"/>
        <w:rPr>
          <w:sz w:val="9"/>
        </w:rPr>
      </w:pPr>
    </w:p>
    <w:p w14:paraId="30B0C22F">
      <w:pPr>
        <w:pStyle w:val="17"/>
        <w:spacing w:before="71"/>
        <w:ind w:left="161"/>
      </w:pPr>
      <w:r>
        <w:rPr>
          <w:u w:val="single"/>
        </w:rPr>
        <w:t>有费用、招标文件和合同明示或暗示的应由承包人承担的所有责任、义务和风险等所需的费用</w:t>
      </w:r>
      <w:r>
        <w:t xml:space="preserve">。 </w:t>
      </w:r>
    </w:p>
    <w:p w14:paraId="5E8DAA37">
      <w:pPr>
        <w:pStyle w:val="17"/>
        <w:spacing w:before="10"/>
        <w:rPr>
          <w:sz w:val="9"/>
        </w:rPr>
      </w:pPr>
    </w:p>
    <w:p w14:paraId="6C0514D5">
      <w:pPr>
        <w:pStyle w:val="17"/>
        <w:spacing w:before="71"/>
        <w:ind w:left="581"/>
      </w:pPr>
      <w:r>
        <w:t>风险费用的计算方法：</w:t>
      </w:r>
      <w:r>
        <w:rPr>
          <w:u w:val="single"/>
        </w:rPr>
        <w:t>由承包人自行考虑并计入签约合同价格中，包干使用</w:t>
      </w:r>
      <w:r>
        <w:t xml:space="preserve">。 </w:t>
      </w:r>
    </w:p>
    <w:p w14:paraId="26642E10">
      <w:pPr>
        <w:pStyle w:val="17"/>
        <w:spacing w:before="10"/>
        <w:rPr>
          <w:sz w:val="9"/>
        </w:rPr>
      </w:pPr>
    </w:p>
    <w:p w14:paraId="5424AA53">
      <w:pPr>
        <w:pStyle w:val="17"/>
        <w:spacing w:before="71"/>
        <w:ind w:left="581"/>
      </w:pPr>
      <w:r>
        <w:t>风险范围以外合同价格的调整方法：</w:t>
      </w:r>
      <w:r>
        <w:rPr>
          <w:u w:val="single"/>
        </w:rPr>
        <w:t>按照合同相关条款约定执行</w:t>
      </w:r>
      <w:r>
        <w:t xml:space="preserve">。 </w:t>
      </w:r>
    </w:p>
    <w:p w14:paraId="1ABFC48D">
      <w:pPr>
        <w:pStyle w:val="17"/>
        <w:rPr>
          <w:sz w:val="11"/>
        </w:rPr>
      </w:pPr>
    </w:p>
    <w:p w14:paraId="7251FD17">
      <w:pPr>
        <w:pStyle w:val="17"/>
        <w:spacing w:before="70"/>
        <w:ind w:left="581"/>
      </w:pPr>
      <w:r>
        <w:t xml:space="preserve">2、总价合同。 </w:t>
      </w:r>
    </w:p>
    <w:p w14:paraId="43D8F99D">
      <w:pPr>
        <w:pStyle w:val="17"/>
        <w:spacing w:before="4"/>
        <w:rPr>
          <w:sz w:val="15"/>
        </w:rPr>
      </w:pPr>
    </w:p>
    <w:p w14:paraId="4D3D7E54">
      <w:pPr>
        <w:pStyle w:val="17"/>
        <w:spacing w:before="1"/>
        <w:ind w:left="581"/>
      </w:pPr>
      <w:r>
        <w:rPr>
          <w:spacing w:val="-1"/>
        </w:rPr>
        <w:t>总价包含的风险范围：</w:t>
      </w:r>
      <w:r>
        <w:rPr>
          <w:u w:val="single"/>
        </w:rPr>
        <w:t>包括但不限于为实施和完成合同工程所需的人工费、材料费、施工机具使用</w:t>
      </w:r>
    </w:p>
    <w:p w14:paraId="71D7826B">
      <w:pPr>
        <w:pStyle w:val="17"/>
        <w:spacing w:before="10"/>
        <w:rPr>
          <w:sz w:val="9"/>
        </w:rPr>
      </w:pPr>
    </w:p>
    <w:p w14:paraId="46EAD8D4">
      <w:pPr>
        <w:pStyle w:val="17"/>
        <w:spacing w:before="71"/>
        <w:ind w:left="161"/>
      </w:pPr>
      <w:r>
        <w:rPr>
          <w:spacing w:val="-1"/>
          <w:u w:val="single"/>
        </w:rPr>
        <w:t>费、企业管理费、利润、风险费、施工技术措施项目费、施工组织措施项目费、总承包服务费、规费和</w:t>
      </w:r>
    </w:p>
    <w:p w14:paraId="43AF6258">
      <w:pPr>
        <w:pStyle w:val="17"/>
        <w:spacing w:before="10"/>
        <w:rPr>
          <w:sz w:val="9"/>
        </w:rPr>
      </w:pPr>
    </w:p>
    <w:p w14:paraId="223FA4A1">
      <w:pPr>
        <w:pStyle w:val="17"/>
        <w:spacing w:before="71"/>
        <w:ind w:left="161"/>
      </w:pPr>
      <w:r>
        <w:rPr>
          <w:u w:val="single"/>
        </w:rPr>
        <w:t>税金及缺陷修复等费用，以及第 11.1 款〔市场价格波动引起的调整〕约定范围内的市场价格波动风险、</w:t>
      </w:r>
    </w:p>
    <w:p w14:paraId="418D30BF">
      <w:pPr>
        <w:pStyle w:val="17"/>
        <w:spacing w:before="10"/>
        <w:rPr>
          <w:sz w:val="9"/>
        </w:rPr>
      </w:pPr>
    </w:p>
    <w:p w14:paraId="7C54BD38">
      <w:pPr>
        <w:pStyle w:val="17"/>
        <w:spacing w:before="71"/>
        <w:ind w:left="161"/>
      </w:pPr>
      <w:r>
        <w:rPr>
          <w:u w:val="single"/>
        </w:rPr>
        <w:t>政策性文件规定的各项应有费用、招标文件和合同明示或暗示的应由承包人承担的所有责任、义务和风</w:t>
      </w:r>
    </w:p>
    <w:p w14:paraId="3A33660C">
      <w:pPr>
        <w:pStyle w:val="17"/>
        <w:spacing w:before="12"/>
        <w:rPr>
          <w:sz w:val="10"/>
        </w:rPr>
      </w:pPr>
    </w:p>
    <w:p w14:paraId="4F0FD72E">
      <w:pPr>
        <w:pStyle w:val="17"/>
        <w:spacing w:before="71"/>
        <w:ind w:left="161"/>
      </w:pPr>
      <w:r>
        <w:rPr>
          <w:u w:val="single"/>
        </w:rPr>
        <w:t>险等所需的费用</w:t>
      </w:r>
      <w:r>
        <w:t xml:space="preserve">。 </w:t>
      </w:r>
    </w:p>
    <w:p w14:paraId="41018326">
      <w:pPr>
        <w:pStyle w:val="17"/>
        <w:spacing w:before="10"/>
        <w:rPr>
          <w:sz w:val="9"/>
        </w:rPr>
      </w:pPr>
    </w:p>
    <w:p w14:paraId="67A6B62E">
      <w:pPr>
        <w:pStyle w:val="17"/>
        <w:spacing w:before="71"/>
        <w:ind w:left="581"/>
      </w:pPr>
      <w:r>
        <w:t>风险费用的计算方法：</w:t>
      </w:r>
      <w:r>
        <w:rPr>
          <w:u w:val="single"/>
        </w:rPr>
        <w:t>由承包人自行考虑并计入签约合同价格中，包干使用</w:t>
      </w:r>
      <w:r>
        <w:t xml:space="preserve">。 </w:t>
      </w:r>
    </w:p>
    <w:p w14:paraId="100F88CC">
      <w:pPr>
        <w:pStyle w:val="17"/>
        <w:spacing w:before="11"/>
        <w:rPr>
          <w:sz w:val="9"/>
        </w:rPr>
      </w:pPr>
    </w:p>
    <w:p w14:paraId="608E4F50">
      <w:pPr>
        <w:pStyle w:val="17"/>
        <w:spacing w:before="70"/>
        <w:ind w:left="581"/>
      </w:pPr>
      <w:r>
        <w:t>风险范围以外合同价格的调整方法：</w:t>
      </w:r>
      <w:r>
        <w:rPr>
          <w:u w:val="single"/>
        </w:rPr>
        <w:t>按照合同相关条款约定执行</w:t>
      </w:r>
      <w:r>
        <w:t xml:space="preserve">。 </w:t>
      </w:r>
    </w:p>
    <w:p w14:paraId="04E16872">
      <w:pPr>
        <w:pStyle w:val="17"/>
        <w:spacing w:before="10"/>
        <w:rPr>
          <w:sz w:val="9"/>
        </w:rPr>
      </w:pPr>
    </w:p>
    <w:p w14:paraId="2E152272">
      <w:pPr>
        <w:pStyle w:val="17"/>
        <w:spacing w:before="71"/>
        <w:ind w:left="581"/>
      </w:pPr>
      <w:r>
        <w:t>3、其他价格方式：</w:t>
      </w:r>
      <w:r>
        <w:rPr>
          <w:u w:val="single"/>
        </w:rPr>
        <w:t>不采用</w:t>
      </w:r>
      <w:r>
        <w:t xml:space="preserve">。 </w:t>
      </w:r>
    </w:p>
    <w:p w14:paraId="0237734E">
      <w:pPr>
        <w:pStyle w:val="17"/>
        <w:spacing w:before="10"/>
        <w:rPr>
          <w:sz w:val="9"/>
        </w:rPr>
      </w:pPr>
    </w:p>
    <w:p w14:paraId="07DDDBB9">
      <w:pPr>
        <w:pStyle w:val="3"/>
        <w:numPr>
          <w:ilvl w:val="1"/>
          <w:numId w:val="5"/>
        </w:numPr>
        <w:tabs>
          <w:tab w:val="left" w:pos="1048"/>
        </w:tabs>
        <w:spacing w:before="4"/>
        <w:ind w:left="1047" w:hanging="467"/>
      </w:pPr>
      <w:r>
        <w:rPr>
          <w:spacing w:val="10"/>
        </w:rPr>
        <w:t>预付款</w:t>
      </w:r>
      <w:r>
        <w:rPr>
          <w:spacing w:val="10"/>
          <w:w w:val="167"/>
        </w:rPr>
        <w:t xml:space="preserve"> </w:t>
      </w:r>
    </w:p>
    <w:p w14:paraId="1B46A6D9">
      <w:pPr>
        <w:pStyle w:val="317"/>
        <w:numPr>
          <w:ilvl w:val="2"/>
          <w:numId w:val="5"/>
        </w:numPr>
        <w:tabs>
          <w:tab w:val="left" w:pos="1213"/>
        </w:tabs>
        <w:spacing w:before="160"/>
        <w:ind w:left="1213" w:hanging="632"/>
        <w:jc w:val="left"/>
        <w:rPr>
          <w:sz w:val="19"/>
        </w:rPr>
      </w:pPr>
      <w:r>
        <w:rPr>
          <w:sz w:val="21"/>
        </w:rPr>
        <w:t xml:space="preserve">预付款的支付 </w:t>
      </w:r>
    </w:p>
    <w:p w14:paraId="5FFA5A41">
      <w:pPr>
        <w:pStyle w:val="17"/>
        <w:spacing w:before="4"/>
        <w:rPr>
          <w:sz w:val="15"/>
        </w:rPr>
      </w:pPr>
    </w:p>
    <w:p w14:paraId="6B1574CB">
      <w:pPr>
        <w:pStyle w:val="17"/>
        <w:spacing w:before="1" w:line="415" w:lineRule="auto"/>
        <w:ind w:left="581" w:right="7507"/>
      </w:pPr>
      <w:r>
        <w:t xml:space="preserve">预付款支付比例或金额：无。12.2.2 预付款担保 </w:t>
      </w:r>
    </w:p>
    <w:p w14:paraId="4F42CB25">
      <w:pPr>
        <w:pStyle w:val="17"/>
        <w:ind w:left="581"/>
      </w:pPr>
      <w:r>
        <w:t>承包人提交预付款担保的期限：</w:t>
      </w:r>
      <w:r>
        <w:rPr>
          <w:u w:val="single"/>
        </w:rPr>
        <w:t>/</w:t>
      </w:r>
      <w:r>
        <w:t xml:space="preserve">。 </w:t>
      </w:r>
    </w:p>
    <w:p w14:paraId="6AFB63EF">
      <w:pPr>
        <w:pStyle w:val="17"/>
        <w:spacing w:before="10"/>
        <w:rPr>
          <w:sz w:val="9"/>
        </w:rPr>
      </w:pPr>
    </w:p>
    <w:p w14:paraId="5BD40531">
      <w:pPr>
        <w:pStyle w:val="17"/>
        <w:spacing w:before="70"/>
        <w:ind w:left="581"/>
      </w:pPr>
      <w:r>
        <w:t>预付款担保的形式为：</w:t>
      </w:r>
      <w:r>
        <w:rPr>
          <w:u w:val="single"/>
        </w:rPr>
        <w:t>/</w:t>
      </w:r>
      <w:r>
        <w:t xml:space="preserve">。 </w:t>
      </w:r>
    </w:p>
    <w:p w14:paraId="2CD44ECA">
      <w:pPr>
        <w:sectPr>
          <w:pgSz w:w="11910" w:h="16850"/>
          <w:pgMar w:top="1440" w:right="1080" w:bottom="1440" w:left="1080" w:header="0" w:footer="996" w:gutter="0"/>
          <w:cols w:space="720" w:num="1"/>
        </w:sectPr>
      </w:pPr>
    </w:p>
    <w:p w14:paraId="18ABC2EA">
      <w:pPr>
        <w:pStyle w:val="17"/>
        <w:spacing w:before="46"/>
        <w:ind w:left="746"/>
      </w:pPr>
      <w:r>
        <w:t>预付款担保的金额：</w:t>
      </w:r>
      <w:r>
        <w:rPr>
          <w:spacing w:val="104"/>
          <w:u w:val="single"/>
        </w:rPr>
        <w:t xml:space="preserve"> </w:t>
      </w:r>
      <w:r>
        <w:rPr>
          <w:u w:val="single"/>
        </w:rPr>
        <w:t xml:space="preserve">/  </w:t>
      </w:r>
      <w:r>
        <w:t xml:space="preserve">。 </w:t>
      </w:r>
    </w:p>
    <w:p w14:paraId="47B1FC1C">
      <w:pPr>
        <w:pStyle w:val="17"/>
        <w:spacing w:before="11"/>
        <w:rPr>
          <w:sz w:val="9"/>
        </w:rPr>
      </w:pPr>
    </w:p>
    <w:p w14:paraId="6B485203">
      <w:pPr>
        <w:pStyle w:val="17"/>
        <w:spacing w:before="70"/>
        <w:ind w:left="746"/>
      </w:pPr>
      <w:r>
        <w:t>预付款担保的时间：</w:t>
      </w:r>
      <w:r>
        <w:rPr>
          <w:spacing w:val="52"/>
          <w:u w:val="single"/>
        </w:rPr>
        <w:t xml:space="preserve">  </w:t>
      </w:r>
      <w:r>
        <w:rPr>
          <w:u w:val="single"/>
        </w:rPr>
        <w:t>/</w:t>
      </w:r>
      <w:r>
        <w:rPr>
          <w:spacing w:val="26"/>
          <w:u w:val="single"/>
        </w:rPr>
        <w:t xml:space="preserve">    </w:t>
      </w:r>
      <w:r>
        <w:t xml:space="preserve">。 </w:t>
      </w:r>
    </w:p>
    <w:p w14:paraId="1DD05536">
      <w:pPr>
        <w:pStyle w:val="17"/>
        <w:spacing w:before="10"/>
        <w:rPr>
          <w:sz w:val="9"/>
        </w:rPr>
      </w:pPr>
    </w:p>
    <w:p w14:paraId="6EDB8D46">
      <w:pPr>
        <w:pStyle w:val="17"/>
        <w:spacing w:before="71"/>
        <w:ind w:left="746"/>
      </w:pPr>
      <w:r>
        <w:t>预付款担保的期限：</w:t>
      </w:r>
      <w:r>
        <w:rPr>
          <w:spacing w:val="52"/>
          <w:u w:val="single"/>
        </w:rPr>
        <w:t xml:space="preserve">  </w:t>
      </w:r>
      <w:r>
        <w:rPr>
          <w:u w:val="single"/>
        </w:rPr>
        <w:t>/</w:t>
      </w:r>
      <w:r>
        <w:rPr>
          <w:spacing w:val="26"/>
          <w:u w:val="single"/>
        </w:rPr>
        <w:t xml:space="preserve">    </w:t>
      </w:r>
      <w:r>
        <w:t xml:space="preserve">。 </w:t>
      </w:r>
    </w:p>
    <w:p w14:paraId="1D9D36F0">
      <w:pPr>
        <w:pStyle w:val="17"/>
        <w:rPr>
          <w:sz w:val="11"/>
        </w:rPr>
      </w:pPr>
    </w:p>
    <w:p w14:paraId="2A125B4B">
      <w:pPr>
        <w:pStyle w:val="17"/>
        <w:spacing w:before="70"/>
        <w:ind w:left="746"/>
      </w:pPr>
      <w:r>
        <w:t>预付款担保的退还时间：</w:t>
      </w:r>
      <w:r>
        <w:rPr>
          <w:spacing w:val="104"/>
          <w:u w:val="single"/>
        </w:rPr>
        <w:t xml:space="preserve"> </w:t>
      </w:r>
      <w:r>
        <w:rPr>
          <w:u w:val="single"/>
        </w:rPr>
        <w:t xml:space="preserve">/  </w:t>
      </w:r>
      <w:r>
        <w:t xml:space="preserve">。 </w:t>
      </w:r>
    </w:p>
    <w:p w14:paraId="0D5A2BBF">
      <w:pPr>
        <w:pStyle w:val="17"/>
        <w:spacing w:before="11"/>
        <w:rPr>
          <w:sz w:val="9"/>
        </w:rPr>
      </w:pPr>
    </w:p>
    <w:p w14:paraId="4546D397">
      <w:pPr>
        <w:pStyle w:val="3"/>
        <w:numPr>
          <w:ilvl w:val="1"/>
          <w:numId w:val="5"/>
        </w:numPr>
        <w:tabs>
          <w:tab w:val="left" w:pos="1213"/>
        </w:tabs>
        <w:spacing w:before="3"/>
        <w:ind w:left="1212" w:hanging="467"/>
      </w:pPr>
      <w:r>
        <w:rPr>
          <w:spacing w:val="15"/>
        </w:rPr>
        <w:t>计量</w:t>
      </w:r>
      <w:r>
        <w:rPr>
          <w:w w:val="167"/>
        </w:rPr>
        <w:t xml:space="preserve"> </w:t>
      </w:r>
    </w:p>
    <w:p w14:paraId="4B664F4D">
      <w:pPr>
        <w:pStyle w:val="317"/>
        <w:numPr>
          <w:ilvl w:val="2"/>
          <w:numId w:val="5"/>
        </w:numPr>
        <w:tabs>
          <w:tab w:val="left" w:pos="1378"/>
        </w:tabs>
        <w:spacing w:before="146"/>
        <w:ind w:left="1378" w:hanging="632"/>
        <w:jc w:val="left"/>
        <w:rPr>
          <w:sz w:val="19"/>
        </w:rPr>
      </w:pPr>
      <w:r>
        <w:rPr>
          <w:spacing w:val="-1"/>
          <w:sz w:val="21"/>
        </w:rPr>
        <w:t xml:space="preserve">计量原则 </w:t>
      </w:r>
    </w:p>
    <w:p w14:paraId="003DE544">
      <w:pPr>
        <w:pStyle w:val="17"/>
        <w:spacing w:before="4"/>
        <w:rPr>
          <w:sz w:val="15"/>
        </w:rPr>
      </w:pPr>
    </w:p>
    <w:p w14:paraId="5E861821">
      <w:pPr>
        <w:pStyle w:val="17"/>
        <w:spacing w:line="417" w:lineRule="auto"/>
        <w:ind w:left="326" w:right="1137" w:firstLine="420"/>
        <w:jc w:val="both"/>
      </w:pPr>
      <w:r>
        <w:t xml:space="preserve">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 </w:t>
      </w:r>
    </w:p>
    <w:p w14:paraId="34530A12">
      <w:pPr>
        <w:pStyle w:val="317"/>
        <w:numPr>
          <w:ilvl w:val="2"/>
          <w:numId w:val="5"/>
        </w:numPr>
        <w:tabs>
          <w:tab w:val="left" w:pos="1378"/>
        </w:tabs>
        <w:spacing w:before="11"/>
        <w:ind w:left="1378" w:hanging="632"/>
        <w:jc w:val="left"/>
        <w:rPr>
          <w:sz w:val="19"/>
        </w:rPr>
      </w:pPr>
      <w:r>
        <w:rPr>
          <w:sz w:val="21"/>
        </w:rPr>
        <w:t xml:space="preserve">计量周期 </w:t>
      </w:r>
    </w:p>
    <w:p w14:paraId="0312A876">
      <w:pPr>
        <w:pStyle w:val="17"/>
        <w:spacing w:before="4"/>
        <w:rPr>
          <w:sz w:val="15"/>
        </w:rPr>
      </w:pPr>
    </w:p>
    <w:p w14:paraId="2D3F8AD5">
      <w:pPr>
        <w:pStyle w:val="17"/>
        <w:ind w:left="746"/>
      </w:pPr>
      <w:r>
        <w:t>关于计量周期的约定：</w:t>
      </w:r>
      <w:r>
        <w:rPr>
          <w:u w:val="single"/>
        </w:rPr>
        <w:t>按月计量根据具体项目实际情况可以按月、按进度、按节点等形式计量，按</w:t>
      </w:r>
    </w:p>
    <w:p w14:paraId="6BC64CE3">
      <w:pPr>
        <w:pStyle w:val="17"/>
        <w:spacing w:before="10"/>
        <w:rPr>
          <w:sz w:val="9"/>
        </w:rPr>
      </w:pPr>
    </w:p>
    <w:p w14:paraId="6CB980CA">
      <w:pPr>
        <w:pStyle w:val="17"/>
        <w:spacing w:before="71"/>
        <w:ind w:left="326"/>
      </w:pPr>
      <w:r>
        <w:rPr>
          <w:u w:val="single"/>
        </w:rPr>
        <w:t>进度、按节点计量的参考按月计量原则执行）</w:t>
      </w:r>
      <w:r>
        <w:t xml:space="preserve">。 </w:t>
      </w:r>
    </w:p>
    <w:p w14:paraId="0FAEFF03">
      <w:pPr>
        <w:pStyle w:val="17"/>
        <w:spacing w:before="10"/>
        <w:rPr>
          <w:sz w:val="9"/>
        </w:rPr>
      </w:pPr>
    </w:p>
    <w:p w14:paraId="2AD19FBD">
      <w:pPr>
        <w:pStyle w:val="317"/>
        <w:numPr>
          <w:ilvl w:val="2"/>
          <w:numId w:val="5"/>
        </w:numPr>
        <w:tabs>
          <w:tab w:val="left" w:pos="1378"/>
        </w:tabs>
        <w:spacing w:before="71"/>
        <w:ind w:left="1378" w:hanging="632"/>
        <w:jc w:val="left"/>
        <w:rPr>
          <w:sz w:val="19"/>
        </w:rPr>
      </w:pPr>
      <w:r>
        <w:rPr>
          <w:sz w:val="21"/>
        </w:rPr>
        <w:t xml:space="preserve">单价合同的计量 </w:t>
      </w:r>
    </w:p>
    <w:p w14:paraId="2031F97C">
      <w:pPr>
        <w:pStyle w:val="17"/>
        <w:spacing w:before="4"/>
        <w:rPr>
          <w:sz w:val="15"/>
        </w:rPr>
      </w:pPr>
    </w:p>
    <w:p w14:paraId="5BEBE28D">
      <w:pPr>
        <w:pStyle w:val="17"/>
        <w:ind w:left="746"/>
      </w:pPr>
      <w:r>
        <w:t xml:space="preserve">关于单价合同计量的约定： </w:t>
      </w:r>
    </w:p>
    <w:p w14:paraId="65C2927F">
      <w:pPr>
        <w:pStyle w:val="17"/>
        <w:spacing w:before="7"/>
        <w:rPr>
          <w:sz w:val="16"/>
        </w:rPr>
      </w:pPr>
    </w:p>
    <w:p w14:paraId="64977A83">
      <w:pPr>
        <w:pStyle w:val="317"/>
        <w:numPr>
          <w:ilvl w:val="0"/>
          <w:numId w:val="39"/>
        </w:numPr>
        <w:tabs>
          <w:tab w:val="left" w:pos="1274"/>
        </w:tabs>
        <w:ind w:hanging="528"/>
        <w:rPr>
          <w:sz w:val="21"/>
        </w:rPr>
      </w:pPr>
      <w:r>
        <w:rPr>
          <w:spacing w:val="-3"/>
          <w:sz w:val="21"/>
          <w:u w:val="single"/>
        </w:rPr>
        <w:t>承包人应于当月 日前向监理人报送上月已完成的工程量，并附进度付款申请单、已完成工程</w:t>
      </w:r>
    </w:p>
    <w:p w14:paraId="7567BD50">
      <w:pPr>
        <w:pStyle w:val="17"/>
        <w:spacing w:before="10"/>
        <w:rPr>
          <w:sz w:val="9"/>
        </w:rPr>
      </w:pPr>
    </w:p>
    <w:p w14:paraId="4E39958F">
      <w:pPr>
        <w:pStyle w:val="17"/>
        <w:spacing w:before="70"/>
        <w:ind w:left="326"/>
      </w:pPr>
      <w:r>
        <w:rPr>
          <w:u w:val="single"/>
        </w:rPr>
        <w:t>量报表和其他有关资料</w:t>
      </w:r>
      <w:r>
        <w:t xml:space="preserve">。 </w:t>
      </w:r>
    </w:p>
    <w:p w14:paraId="6D837044">
      <w:pPr>
        <w:pStyle w:val="17"/>
        <w:spacing w:before="11"/>
        <w:rPr>
          <w:sz w:val="9"/>
        </w:rPr>
      </w:pPr>
    </w:p>
    <w:p w14:paraId="73F132C8">
      <w:pPr>
        <w:pStyle w:val="317"/>
        <w:numPr>
          <w:ilvl w:val="0"/>
          <w:numId w:val="39"/>
        </w:numPr>
        <w:tabs>
          <w:tab w:val="left" w:pos="1274"/>
        </w:tabs>
        <w:spacing w:before="70"/>
        <w:ind w:hanging="528"/>
        <w:rPr>
          <w:sz w:val="21"/>
        </w:rPr>
      </w:pPr>
      <w:r>
        <w:rPr>
          <w:spacing w:val="-1"/>
          <w:sz w:val="21"/>
          <w:u w:val="single"/>
        </w:rPr>
        <w:t>承包人未在已标价的工程量清单中填入单价和</w:t>
      </w:r>
      <w:r>
        <w:rPr>
          <w:sz w:val="21"/>
          <w:u w:val="single"/>
        </w:rPr>
        <w:t>（或</w:t>
      </w:r>
      <w:r>
        <w:rPr>
          <w:spacing w:val="-15"/>
          <w:sz w:val="21"/>
          <w:u w:val="single"/>
        </w:rPr>
        <w:t>）</w:t>
      </w:r>
      <w:r>
        <w:rPr>
          <w:spacing w:val="-5"/>
          <w:sz w:val="21"/>
          <w:u w:val="single"/>
        </w:rPr>
        <w:t>总价的子目，视为该子目的费用已包含合</w:t>
      </w:r>
    </w:p>
    <w:p w14:paraId="6ABA38A8">
      <w:pPr>
        <w:pStyle w:val="17"/>
        <w:spacing w:before="11"/>
        <w:rPr>
          <w:sz w:val="9"/>
        </w:rPr>
      </w:pPr>
    </w:p>
    <w:p w14:paraId="73EFD3EB">
      <w:pPr>
        <w:pStyle w:val="17"/>
        <w:spacing w:before="71"/>
        <w:ind w:left="326"/>
      </w:pPr>
      <w:r>
        <w:rPr>
          <w:u w:val="single"/>
        </w:rPr>
        <w:t>同工程的其他子目的单价或总价中，不再另行计量支付</w:t>
      </w:r>
      <w:r>
        <w:t xml:space="preserve">。 </w:t>
      </w:r>
    </w:p>
    <w:p w14:paraId="684D7820">
      <w:pPr>
        <w:pStyle w:val="17"/>
        <w:spacing w:before="10"/>
        <w:rPr>
          <w:sz w:val="9"/>
        </w:rPr>
      </w:pPr>
    </w:p>
    <w:p w14:paraId="2A64E98B">
      <w:pPr>
        <w:pStyle w:val="317"/>
        <w:numPr>
          <w:ilvl w:val="0"/>
          <w:numId w:val="39"/>
        </w:numPr>
        <w:tabs>
          <w:tab w:val="left" w:pos="1274"/>
        </w:tabs>
        <w:spacing w:before="71"/>
        <w:ind w:hanging="528"/>
        <w:rPr>
          <w:sz w:val="21"/>
        </w:rPr>
      </w:pPr>
      <w:r>
        <w:rPr>
          <w:spacing w:val="-3"/>
          <w:sz w:val="21"/>
          <w:u w:val="single"/>
        </w:rPr>
        <w:t xml:space="preserve">监理人应在收到承包人提交的工程量报表后 </w:t>
      </w:r>
      <w:r>
        <w:rPr>
          <w:sz w:val="21"/>
          <w:u w:val="single"/>
        </w:rPr>
        <w:t>7</w:t>
      </w:r>
      <w:r>
        <w:rPr>
          <w:spacing w:val="-7"/>
          <w:sz w:val="21"/>
          <w:u w:val="single"/>
        </w:rPr>
        <w:t xml:space="preserve"> 天内完成对承包人提交的工程量报表的审核并报</w:t>
      </w:r>
    </w:p>
    <w:p w14:paraId="64CB290E">
      <w:pPr>
        <w:pStyle w:val="17"/>
        <w:rPr>
          <w:sz w:val="11"/>
        </w:rPr>
      </w:pPr>
    </w:p>
    <w:p w14:paraId="65F012EB">
      <w:pPr>
        <w:pStyle w:val="17"/>
        <w:spacing w:before="70"/>
        <w:ind w:left="326"/>
      </w:pPr>
      <w:r>
        <w:rPr>
          <w:spacing w:val="-4"/>
          <w:u w:val="single"/>
        </w:rPr>
        <w:t xml:space="preserve">送发包人；发包人收到监理人报送资料后 </w:t>
      </w:r>
      <w:r>
        <w:rPr>
          <w:u w:val="single"/>
        </w:rPr>
        <w:t>7</w:t>
      </w:r>
      <w:r>
        <w:rPr>
          <w:spacing w:val="-7"/>
          <w:u w:val="single"/>
        </w:rPr>
        <w:t xml:space="preserve"> 天内完成审批，以确定当月实际完成的工程量。监理人、跟</w:t>
      </w:r>
    </w:p>
    <w:p w14:paraId="105EBE38">
      <w:pPr>
        <w:pStyle w:val="17"/>
        <w:spacing w:before="11"/>
        <w:rPr>
          <w:sz w:val="9"/>
        </w:rPr>
      </w:pPr>
    </w:p>
    <w:p w14:paraId="63EFFA19">
      <w:pPr>
        <w:pStyle w:val="17"/>
        <w:spacing w:before="70"/>
        <w:ind w:left="326"/>
      </w:pPr>
      <w:r>
        <w:rPr>
          <w:u w:val="single"/>
        </w:rPr>
        <w:t>审单位、发包人任一方对工程量有异议的，均有权要求承包人进行共同复核或抽样复测。承包人应协助</w:t>
      </w:r>
    </w:p>
    <w:p w14:paraId="27CA1D59">
      <w:pPr>
        <w:pStyle w:val="17"/>
        <w:spacing w:before="10"/>
        <w:rPr>
          <w:sz w:val="9"/>
        </w:rPr>
      </w:pPr>
    </w:p>
    <w:p w14:paraId="190BECFE">
      <w:pPr>
        <w:pStyle w:val="17"/>
        <w:spacing w:before="71"/>
        <w:ind w:left="326"/>
      </w:pPr>
      <w:r>
        <w:rPr>
          <w:u w:val="single"/>
        </w:rPr>
        <w:t>监理人、跟审单位进行复核或抽样复测，并按监理人要求提供补充计量资料。承包人未按监理人要求参</w:t>
      </w:r>
    </w:p>
    <w:p w14:paraId="2C3BF92F">
      <w:pPr>
        <w:pStyle w:val="17"/>
        <w:spacing w:before="10"/>
        <w:rPr>
          <w:sz w:val="9"/>
        </w:rPr>
      </w:pPr>
    </w:p>
    <w:p w14:paraId="7C5DCA4E">
      <w:pPr>
        <w:pStyle w:val="17"/>
        <w:spacing w:before="71"/>
        <w:ind w:left="326"/>
      </w:pPr>
      <w:r>
        <w:rPr>
          <w:u w:val="single"/>
        </w:rPr>
        <w:t>加复核或抽样复测的，监理人复核或修正的工程量视为承包人实际完成的工程量</w:t>
      </w:r>
      <w:r>
        <w:t xml:space="preserve">。 </w:t>
      </w:r>
    </w:p>
    <w:p w14:paraId="1607F8E4">
      <w:pPr>
        <w:pStyle w:val="17"/>
        <w:spacing w:before="10"/>
        <w:rPr>
          <w:sz w:val="9"/>
        </w:rPr>
      </w:pPr>
    </w:p>
    <w:p w14:paraId="418408DF">
      <w:pPr>
        <w:pStyle w:val="317"/>
        <w:numPr>
          <w:ilvl w:val="0"/>
          <w:numId w:val="39"/>
        </w:numPr>
        <w:tabs>
          <w:tab w:val="left" w:pos="1274"/>
        </w:tabs>
        <w:spacing w:before="71"/>
        <w:ind w:hanging="528"/>
        <w:rPr>
          <w:sz w:val="21"/>
        </w:rPr>
      </w:pPr>
      <w:r>
        <w:rPr>
          <w:spacing w:val="-2"/>
          <w:sz w:val="21"/>
          <w:u w:val="single"/>
        </w:rPr>
        <w:t>工程量的计量仅作为进度付款和工程施工进度控制的依据，不应认为是承包人履行合同义务完</w:t>
      </w:r>
    </w:p>
    <w:p w14:paraId="6DF5F560">
      <w:pPr>
        <w:pStyle w:val="17"/>
        <w:rPr>
          <w:sz w:val="11"/>
        </w:rPr>
      </w:pPr>
    </w:p>
    <w:p w14:paraId="5DEA9D9B">
      <w:pPr>
        <w:pStyle w:val="17"/>
        <w:spacing w:before="71"/>
        <w:ind w:left="326"/>
      </w:pPr>
      <w:r>
        <w:rPr>
          <w:u w:val="single"/>
        </w:rPr>
        <w:t>成工程的实际和准确的工程量，实际和准确工程量按竣工图和第 12.3.1 项〔计量原则〕约定确认的工程</w:t>
      </w:r>
    </w:p>
    <w:p w14:paraId="3B8F2A06">
      <w:pPr>
        <w:pStyle w:val="17"/>
        <w:spacing w:before="10"/>
        <w:rPr>
          <w:sz w:val="9"/>
        </w:rPr>
      </w:pPr>
    </w:p>
    <w:p w14:paraId="3DEFBED8">
      <w:pPr>
        <w:pStyle w:val="17"/>
        <w:spacing w:before="71"/>
        <w:ind w:left="326"/>
      </w:pPr>
      <w:r>
        <w:rPr>
          <w:u w:val="single"/>
        </w:rPr>
        <w:t>量为准</w:t>
      </w:r>
      <w:r>
        <w:t xml:space="preserve">。 </w:t>
      </w:r>
    </w:p>
    <w:p w14:paraId="637D3D3A">
      <w:pPr>
        <w:sectPr>
          <w:pgSz w:w="11910" w:h="16850"/>
          <w:pgMar w:top="1440" w:right="1080" w:bottom="1440" w:left="1080" w:header="0" w:footer="996" w:gutter="0"/>
          <w:cols w:space="720" w:num="1"/>
        </w:sectPr>
      </w:pPr>
    </w:p>
    <w:p w14:paraId="3DFC91F8">
      <w:pPr>
        <w:pStyle w:val="317"/>
        <w:numPr>
          <w:ilvl w:val="2"/>
          <w:numId w:val="5"/>
        </w:numPr>
        <w:tabs>
          <w:tab w:val="left" w:pos="1213"/>
        </w:tabs>
        <w:spacing w:before="46"/>
        <w:ind w:left="1213" w:hanging="632"/>
        <w:jc w:val="left"/>
        <w:rPr>
          <w:sz w:val="19"/>
        </w:rPr>
      </w:pPr>
      <w:r>
        <w:rPr>
          <w:sz w:val="21"/>
        </w:rPr>
        <w:t xml:space="preserve">总价合同的计量 </w:t>
      </w:r>
    </w:p>
    <w:p w14:paraId="6B1E07E8">
      <w:pPr>
        <w:pStyle w:val="17"/>
        <w:spacing w:before="4"/>
        <w:rPr>
          <w:sz w:val="15"/>
        </w:rPr>
      </w:pPr>
    </w:p>
    <w:p w14:paraId="00077B6D">
      <w:pPr>
        <w:pStyle w:val="17"/>
        <w:ind w:left="581"/>
      </w:pPr>
      <w:r>
        <w:t>关于总价合同计量的约定：</w:t>
      </w:r>
      <w:r>
        <w:rPr>
          <w:u w:val="single"/>
        </w:rPr>
        <w:t>按形象进度比例支付</w:t>
      </w:r>
      <w:r>
        <w:t xml:space="preserve">。 </w:t>
      </w:r>
    </w:p>
    <w:p w14:paraId="01F01340">
      <w:pPr>
        <w:pStyle w:val="17"/>
        <w:spacing w:before="10"/>
        <w:rPr>
          <w:sz w:val="9"/>
        </w:rPr>
      </w:pPr>
    </w:p>
    <w:p w14:paraId="77C67598">
      <w:pPr>
        <w:pStyle w:val="317"/>
        <w:numPr>
          <w:ilvl w:val="2"/>
          <w:numId w:val="5"/>
        </w:numPr>
        <w:tabs>
          <w:tab w:val="left" w:pos="1273"/>
        </w:tabs>
        <w:spacing w:before="71" w:line="429" w:lineRule="auto"/>
        <w:ind w:right="1331" w:firstLine="420"/>
        <w:jc w:val="left"/>
        <w:rPr>
          <w:sz w:val="21"/>
        </w:rPr>
      </w:pPr>
      <w:r>
        <w:rPr>
          <w:spacing w:val="-3"/>
          <w:sz w:val="21"/>
        </w:rPr>
        <w:t xml:space="preserve">总价合同采用支付分解表计量支付的，是否适用第 </w:t>
      </w:r>
      <w:r>
        <w:rPr>
          <w:sz w:val="21"/>
        </w:rPr>
        <w:t>12.3.4</w:t>
      </w:r>
      <w:r>
        <w:rPr>
          <w:spacing w:val="-7"/>
          <w:sz w:val="21"/>
        </w:rPr>
        <w:t xml:space="preserve"> 项〔总价合同的计量〕约定进行计量：</w:t>
      </w:r>
      <w:r>
        <w:rPr>
          <w:spacing w:val="-7"/>
          <w:sz w:val="21"/>
          <w:u w:val="single"/>
        </w:rPr>
        <w:t>适用</w:t>
      </w:r>
      <w:r>
        <w:rPr>
          <w:spacing w:val="-7"/>
          <w:sz w:val="21"/>
        </w:rPr>
        <w:t xml:space="preserve">。 </w:t>
      </w:r>
    </w:p>
    <w:p w14:paraId="4E3E64EF">
      <w:pPr>
        <w:pStyle w:val="317"/>
        <w:numPr>
          <w:ilvl w:val="2"/>
          <w:numId w:val="5"/>
        </w:numPr>
        <w:tabs>
          <w:tab w:val="left" w:pos="1213"/>
        </w:tabs>
        <w:spacing w:line="252" w:lineRule="exact"/>
        <w:ind w:left="1213" w:hanging="632"/>
        <w:jc w:val="left"/>
        <w:rPr>
          <w:sz w:val="19"/>
        </w:rPr>
      </w:pPr>
      <w:r>
        <w:rPr>
          <w:sz w:val="21"/>
        </w:rPr>
        <w:t xml:space="preserve">其他价格形式合同的计量 </w:t>
      </w:r>
    </w:p>
    <w:p w14:paraId="2AFB72BD">
      <w:pPr>
        <w:pStyle w:val="17"/>
        <w:spacing w:before="4"/>
        <w:rPr>
          <w:sz w:val="15"/>
        </w:rPr>
      </w:pPr>
    </w:p>
    <w:p w14:paraId="74079FB4">
      <w:pPr>
        <w:pStyle w:val="17"/>
        <w:ind w:left="581"/>
      </w:pPr>
      <w:r>
        <w:t>其他价格形式的计量方式和程序：</w:t>
      </w:r>
      <w:r>
        <w:rPr>
          <w:u w:val="single"/>
        </w:rPr>
        <w:t>不采用</w:t>
      </w:r>
      <w:r>
        <w:t xml:space="preserve">。 </w:t>
      </w:r>
    </w:p>
    <w:p w14:paraId="2C048AAB">
      <w:pPr>
        <w:pStyle w:val="17"/>
        <w:spacing w:before="10"/>
        <w:rPr>
          <w:sz w:val="9"/>
        </w:rPr>
      </w:pPr>
    </w:p>
    <w:p w14:paraId="3A3E6A94">
      <w:pPr>
        <w:pStyle w:val="3"/>
        <w:numPr>
          <w:ilvl w:val="1"/>
          <w:numId w:val="5"/>
        </w:numPr>
        <w:tabs>
          <w:tab w:val="left" w:pos="1048"/>
        </w:tabs>
        <w:spacing w:before="4"/>
        <w:ind w:left="1047" w:hanging="467"/>
      </w:pPr>
      <w:r>
        <w:rPr>
          <w:spacing w:val="5"/>
        </w:rPr>
        <w:t>工程进度款支付</w:t>
      </w:r>
      <w:r>
        <w:rPr>
          <w:spacing w:val="5"/>
          <w:w w:val="167"/>
        </w:rPr>
        <w:t xml:space="preserve"> </w:t>
      </w:r>
    </w:p>
    <w:p w14:paraId="182045F9">
      <w:pPr>
        <w:pStyle w:val="317"/>
        <w:numPr>
          <w:ilvl w:val="2"/>
          <w:numId w:val="5"/>
        </w:numPr>
        <w:tabs>
          <w:tab w:val="left" w:pos="1213"/>
        </w:tabs>
        <w:spacing w:before="145"/>
        <w:ind w:left="1213" w:hanging="632"/>
        <w:jc w:val="left"/>
        <w:rPr>
          <w:sz w:val="19"/>
        </w:rPr>
      </w:pPr>
      <w:r>
        <w:rPr>
          <w:sz w:val="21"/>
        </w:rPr>
        <w:t xml:space="preserve">付款周期 </w:t>
      </w:r>
    </w:p>
    <w:p w14:paraId="4E28F51F">
      <w:pPr>
        <w:pStyle w:val="17"/>
        <w:spacing w:before="6"/>
        <w:rPr>
          <w:sz w:val="16"/>
        </w:rPr>
      </w:pPr>
    </w:p>
    <w:p w14:paraId="3A82EBE9">
      <w:pPr>
        <w:pStyle w:val="17"/>
        <w:ind w:left="581"/>
      </w:pPr>
      <w:r>
        <w:t>关于付款周期的约定：</w:t>
      </w:r>
      <w:r>
        <w:rPr>
          <w:u w:val="single"/>
        </w:rPr>
        <w:t>按月计量支付进度款（按进度、按节点计量支付进度款的参考按月计量支付</w:t>
      </w:r>
    </w:p>
    <w:p w14:paraId="047942FF">
      <w:pPr>
        <w:pStyle w:val="17"/>
        <w:spacing w:before="11"/>
        <w:rPr>
          <w:sz w:val="9"/>
        </w:rPr>
      </w:pPr>
    </w:p>
    <w:p w14:paraId="436F40E7">
      <w:pPr>
        <w:pStyle w:val="17"/>
        <w:spacing w:before="71"/>
        <w:ind w:left="161"/>
      </w:pPr>
      <w:r>
        <w:rPr>
          <w:u w:val="single"/>
        </w:rPr>
        <w:t>进度款原则执行）</w:t>
      </w:r>
      <w:r>
        <w:t xml:space="preserve">。 </w:t>
      </w:r>
    </w:p>
    <w:p w14:paraId="255B701E">
      <w:pPr>
        <w:pStyle w:val="17"/>
        <w:spacing w:before="10"/>
        <w:rPr>
          <w:sz w:val="9"/>
        </w:rPr>
      </w:pPr>
    </w:p>
    <w:p w14:paraId="7B0DC9A8">
      <w:pPr>
        <w:pStyle w:val="317"/>
        <w:numPr>
          <w:ilvl w:val="2"/>
          <w:numId w:val="5"/>
        </w:numPr>
        <w:tabs>
          <w:tab w:val="left" w:pos="1213"/>
        </w:tabs>
        <w:spacing w:before="71"/>
        <w:ind w:left="1213" w:hanging="632"/>
        <w:jc w:val="left"/>
        <w:rPr>
          <w:sz w:val="19"/>
        </w:rPr>
      </w:pPr>
      <w:r>
        <w:rPr>
          <w:spacing w:val="-1"/>
          <w:sz w:val="21"/>
        </w:rPr>
        <w:t>进度付款申请单的编制</w:t>
      </w:r>
      <w:r>
        <w:rPr>
          <w:sz w:val="21"/>
        </w:rPr>
        <w:t xml:space="preserve"> </w:t>
      </w:r>
    </w:p>
    <w:p w14:paraId="0BEF6F68">
      <w:pPr>
        <w:pStyle w:val="17"/>
        <w:spacing w:before="4"/>
        <w:rPr>
          <w:sz w:val="15"/>
        </w:rPr>
      </w:pPr>
    </w:p>
    <w:p w14:paraId="7CEB6729">
      <w:pPr>
        <w:pStyle w:val="17"/>
        <w:ind w:left="581"/>
      </w:pPr>
      <w:r>
        <w:t xml:space="preserve">进度付款申请单应包括下列内容： </w:t>
      </w:r>
    </w:p>
    <w:p w14:paraId="16656729">
      <w:pPr>
        <w:pStyle w:val="17"/>
        <w:spacing w:before="4"/>
        <w:rPr>
          <w:sz w:val="15"/>
        </w:rPr>
      </w:pPr>
    </w:p>
    <w:p w14:paraId="348F029B">
      <w:pPr>
        <w:pStyle w:val="317"/>
        <w:numPr>
          <w:ilvl w:val="0"/>
          <w:numId w:val="40"/>
        </w:numPr>
        <w:tabs>
          <w:tab w:val="left" w:pos="1109"/>
        </w:tabs>
        <w:ind w:hanging="528"/>
        <w:rPr>
          <w:sz w:val="21"/>
        </w:rPr>
      </w:pPr>
      <w:r>
        <w:rPr>
          <w:spacing w:val="-1"/>
          <w:sz w:val="21"/>
          <w:u w:val="single"/>
        </w:rPr>
        <w:t>截至本次付款周期已完成工作对应的金额</w:t>
      </w:r>
      <w:r>
        <w:rPr>
          <w:sz w:val="21"/>
        </w:rPr>
        <w:t xml:space="preserve">； </w:t>
      </w:r>
    </w:p>
    <w:p w14:paraId="5EF8B7FF">
      <w:pPr>
        <w:pStyle w:val="17"/>
        <w:rPr>
          <w:sz w:val="11"/>
        </w:rPr>
      </w:pPr>
    </w:p>
    <w:p w14:paraId="5C09A4EB">
      <w:pPr>
        <w:pStyle w:val="317"/>
        <w:numPr>
          <w:ilvl w:val="0"/>
          <w:numId w:val="40"/>
        </w:numPr>
        <w:tabs>
          <w:tab w:val="left" w:pos="1109"/>
        </w:tabs>
        <w:spacing w:before="71"/>
        <w:ind w:hanging="528"/>
        <w:rPr>
          <w:sz w:val="21"/>
        </w:rPr>
      </w:pPr>
      <w:r>
        <w:rPr>
          <w:spacing w:val="-12"/>
          <w:sz w:val="21"/>
          <w:u w:val="single"/>
        </w:rPr>
        <w:t xml:space="preserve">根据第 </w:t>
      </w:r>
      <w:r>
        <w:rPr>
          <w:sz w:val="21"/>
          <w:u w:val="single"/>
        </w:rPr>
        <w:t>10</w:t>
      </w:r>
      <w:r>
        <w:rPr>
          <w:spacing w:val="-7"/>
          <w:sz w:val="21"/>
          <w:u w:val="single"/>
        </w:rPr>
        <w:t xml:space="preserve"> 条〔变更〕应增加和扣减的已审定变更金额</w:t>
      </w:r>
      <w:r>
        <w:rPr>
          <w:sz w:val="21"/>
        </w:rPr>
        <w:t xml:space="preserve">； </w:t>
      </w:r>
    </w:p>
    <w:p w14:paraId="1C989E3F">
      <w:pPr>
        <w:pStyle w:val="17"/>
        <w:spacing w:before="10"/>
        <w:rPr>
          <w:sz w:val="9"/>
        </w:rPr>
      </w:pPr>
    </w:p>
    <w:p w14:paraId="3DD60791">
      <w:pPr>
        <w:pStyle w:val="317"/>
        <w:numPr>
          <w:ilvl w:val="0"/>
          <w:numId w:val="40"/>
        </w:numPr>
        <w:tabs>
          <w:tab w:val="left" w:pos="1109"/>
        </w:tabs>
        <w:spacing w:before="70"/>
        <w:ind w:hanging="528"/>
        <w:rPr>
          <w:sz w:val="21"/>
        </w:rPr>
      </w:pPr>
      <w:r>
        <w:rPr>
          <w:spacing w:val="-12"/>
          <w:sz w:val="21"/>
          <w:u w:val="single"/>
        </w:rPr>
        <w:t xml:space="preserve">根据第 </w:t>
      </w:r>
      <w:r>
        <w:rPr>
          <w:sz w:val="21"/>
          <w:u w:val="single"/>
        </w:rPr>
        <w:t>12.2</w:t>
      </w:r>
      <w:r>
        <w:rPr>
          <w:spacing w:val="-7"/>
          <w:sz w:val="21"/>
          <w:u w:val="single"/>
        </w:rPr>
        <w:t xml:space="preserve"> 款〔预付款〕约定应支付的预付款和扣减的返还预付款</w:t>
      </w:r>
      <w:r>
        <w:rPr>
          <w:sz w:val="21"/>
        </w:rPr>
        <w:t xml:space="preserve">； </w:t>
      </w:r>
    </w:p>
    <w:p w14:paraId="79615BF3">
      <w:pPr>
        <w:pStyle w:val="17"/>
        <w:spacing w:before="11"/>
        <w:rPr>
          <w:sz w:val="9"/>
        </w:rPr>
      </w:pPr>
    </w:p>
    <w:p w14:paraId="4EA49DE6">
      <w:pPr>
        <w:pStyle w:val="317"/>
        <w:numPr>
          <w:ilvl w:val="0"/>
          <w:numId w:val="40"/>
        </w:numPr>
        <w:tabs>
          <w:tab w:val="left" w:pos="1109"/>
        </w:tabs>
        <w:spacing w:before="70"/>
        <w:ind w:hanging="528"/>
        <w:rPr>
          <w:sz w:val="21"/>
        </w:rPr>
      </w:pPr>
      <w:r>
        <w:rPr>
          <w:spacing w:val="-12"/>
          <w:sz w:val="21"/>
          <w:u w:val="single"/>
        </w:rPr>
        <w:t xml:space="preserve">根据第 </w:t>
      </w:r>
      <w:r>
        <w:rPr>
          <w:sz w:val="21"/>
          <w:u w:val="single"/>
        </w:rPr>
        <w:t>15.3</w:t>
      </w:r>
      <w:r>
        <w:rPr>
          <w:spacing w:val="-7"/>
          <w:sz w:val="21"/>
          <w:u w:val="single"/>
        </w:rPr>
        <w:t xml:space="preserve"> 款〔质量保证金〕约定应扣减的质量保证金</w:t>
      </w:r>
      <w:r>
        <w:rPr>
          <w:sz w:val="21"/>
        </w:rPr>
        <w:t xml:space="preserve">； </w:t>
      </w:r>
    </w:p>
    <w:p w14:paraId="6F537299">
      <w:pPr>
        <w:pStyle w:val="17"/>
        <w:spacing w:before="11"/>
        <w:rPr>
          <w:sz w:val="9"/>
        </w:rPr>
      </w:pPr>
    </w:p>
    <w:p w14:paraId="1C59588C">
      <w:pPr>
        <w:pStyle w:val="317"/>
        <w:numPr>
          <w:ilvl w:val="0"/>
          <w:numId w:val="40"/>
        </w:numPr>
        <w:tabs>
          <w:tab w:val="left" w:pos="1109"/>
        </w:tabs>
        <w:spacing w:before="71"/>
        <w:ind w:hanging="528"/>
        <w:rPr>
          <w:sz w:val="21"/>
        </w:rPr>
      </w:pPr>
      <w:r>
        <w:rPr>
          <w:spacing w:val="-12"/>
          <w:sz w:val="21"/>
          <w:u w:val="single"/>
        </w:rPr>
        <w:t xml:space="preserve">根据第 </w:t>
      </w:r>
      <w:r>
        <w:rPr>
          <w:sz w:val="21"/>
          <w:u w:val="single"/>
        </w:rPr>
        <w:t>19</w:t>
      </w:r>
      <w:r>
        <w:rPr>
          <w:spacing w:val="-7"/>
          <w:sz w:val="21"/>
          <w:u w:val="single"/>
        </w:rPr>
        <w:t xml:space="preserve"> 条〔索赔〕应增加和扣减的已审定索赔金额</w:t>
      </w:r>
      <w:r>
        <w:rPr>
          <w:sz w:val="21"/>
        </w:rPr>
        <w:t xml:space="preserve">； </w:t>
      </w:r>
    </w:p>
    <w:p w14:paraId="56EB1834">
      <w:pPr>
        <w:pStyle w:val="17"/>
        <w:spacing w:before="10"/>
        <w:rPr>
          <w:sz w:val="9"/>
        </w:rPr>
      </w:pPr>
    </w:p>
    <w:p w14:paraId="32FB0898">
      <w:pPr>
        <w:pStyle w:val="317"/>
        <w:numPr>
          <w:ilvl w:val="0"/>
          <w:numId w:val="40"/>
        </w:numPr>
        <w:tabs>
          <w:tab w:val="left" w:pos="1109"/>
        </w:tabs>
        <w:spacing w:before="71"/>
        <w:ind w:hanging="528"/>
        <w:rPr>
          <w:sz w:val="21"/>
        </w:rPr>
      </w:pPr>
      <w:r>
        <w:rPr>
          <w:spacing w:val="-12"/>
          <w:sz w:val="21"/>
          <w:u w:val="single"/>
        </w:rPr>
        <w:t xml:space="preserve">根据第 </w:t>
      </w:r>
      <w:r>
        <w:rPr>
          <w:sz w:val="21"/>
          <w:u w:val="single"/>
        </w:rPr>
        <w:t>11</w:t>
      </w:r>
      <w:r>
        <w:rPr>
          <w:spacing w:val="-7"/>
          <w:sz w:val="21"/>
          <w:u w:val="single"/>
        </w:rPr>
        <w:t xml:space="preserve"> 条〔价格调整〕应增加和扣减的价格调整金额</w:t>
      </w:r>
      <w:r>
        <w:rPr>
          <w:sz w:val="21"/>
        </w:rPr>
        <w:t xml:space="preserve">； </w:t>
      </w:r>
    </w:p>
    <w:p w14:paraId="5679916B">
      <w:pPr>
        <w:pStyle w:val="17"/>
        <w:rPr>
          <w:sz w:val="11"/>
        </w:rPr>
      </w:pPr>
    </w:p>
    <w:p w14:paraId="5A30F13E">
      <w:pPr>
        <w:pStyle w:val="317"/>
        <w:numPr>
          <w:ilvl w:val="0"/>
          <w:numId w:val="40"/>
        </w:numPr>
        <w:tabs>
          <w:tab w:val="left" w:pos="1109"/>
        </w:tabs>
        <w:spacing w:before="70"/>
        <w:ind w:hanging="528"/>
        <w:rPr>
          <w:sz w:val="21"/>
        </w:rPr>
      </w:pPr>
      <w:r>
        <w:rPr>
          <w:spacing w:val="-1"/>
          <w:sz w:val="21"/>
          <w:u w:val="single"/>
        </w:rPr>
        <w:t>对已签发的进度款支付证书中出现错误的修正，应在本次进度付款中支付或扣除的金额</w:t>
      </w:r>
      <w:r>
        <w:rPr>
          <w:sz w:val="21"/>
        </w:rPr>
        <w:t xml:space="preserve">； </w:t>
      </w:r>
    </w:p>
    <w:p w14:paraId="5F72D43E">
      <w:pPr>
        <w:pStyle w:val="17"/>
        <w:spacing w:before="10"/>
        <w:rPr>
          <w:sz w:val="9"/>
        </w:rPr>
      </w:pPr>
    </w:p>
    <w:p w14:paraId="09A18F4A">
      <w:pPr>
        <w:pStyle w:val="317"/>
        <w:numPr>
          <w:ilvl w:val="0"/>
          <w:numId w:val="40"/>
        </w:numPr>
        <w:tabs>
          <w:tab w:val="left" w:pos="1109"/>
        </w:tabs>
        <w:spacing w:before="71"/>
        <w:ind w:hanging="528"/>
        <w:rPr>
          <w:sz w:val="21"/>
        </w:rPr>
      </w:pPr>
      <w:r>
        <w:rPr>
          <w:spacing w:val="-1"/>
          <w:sz w:val="21"/>
          <w:u w:val="single"/>
        </w:rPr>
        <w:t>根据合同约定承包人应向发包人支付的违约金</w:t>
      </w:r>
      <w:r>
        <w:rPr>
          <w:sz w:val="21"/>
        </w:rPr>
        <w:t xml:space="preserve">； </w:t>
      </w:r>
    </w:p>
    <w:p w14:paraId="36D3CE8C">
      <w:pPr>
        <w:pStyle w:val="17"/>
        <w:spacing w:before="10"/>
        <w:rPr>
          <w:sz w:val="9"/>
        </w:rPr>
      </w:pPr>
    </w:p>
    <w:p w14:paraId="6428A22D">
      <w:pPr>
        <w:pStyle w:val="317"/>
        <w:numPr>
          <w:ilvl w:val="0"/>
          <w:numId w:val="40"/>
        </w:numPr>
        <w:tabs>
          <w:tab w:val="left" w:pos="1109"/>
        </w:tabs>
        <w:spacing w:before="71"/>
        <w:ind w:hanging="528"/>
        <w:rPr>
          <w:sz w:val="21"/>
        </w:rPr>
      </w:pPr>
      <w:r>
        <w:rPr>
          <w:spacing w:val="-1"/>
          <w:sz w:val="21"/>
          <w:u w:val="single"/>
        </w:rPr>
        <w:t>根据合同约定发包人应向承包人支付的违约金和</w:t>
      </w:r>
      <w:r>
        <w:rPr>
          <w:sz w:val="21"/>
          <w:u w:val="single"/>
        </w:rPr>
        <w:t>（或）奖励</w:t>
      </w:r>
      <w:r>
        <w:rPr>
          <w:sz w:val="21"/>
        </w:rPr>
        <w:t xml:space="preserve">； </w:t>
      </w:r>
    </w:p>
    <w:p w14:paraId="00E46D1A">
      <w:pPr>
        <w:pStyle w:val="17"/>
        <w:spacing w:before="10"/>
        <w:rPr>
          <w:sz w:val="9"/>
        </w:rPr>
      </w:pPr>
    </w:p>
    <w:p w14:paraId="4C954811">
      <w:pPr>
        <w:pStyle w:val="317"/>
        <w:numPr>
          <w:ilvl w:val="0"/>
          <w:numId w:val="40"/>
        </w:numPr>
        <w:tabs>
          <w:tab w:val="left" w:pos="1214"/>
        </w:tabs>
        <w:spacing w:before="71"/>
        <w:ind w:left="1213" w:hanging="633"/>
        <w:rPr>
          <w:sz w:val="21"/>
        </w:rPr>
      </w:pPr>
      <w:r>
        <w:rPr>
          <w:spacing w:val="-1"/>
          <w:sz w:val="21"/>
          <w:u w:val="single"/>
        </w:rPr>
        <w:t>根据合同约定应增加和扣减的其他金额</w:t>
      </w:r>
      <w:r>
        <w:rPr>
          <w:sz w:val="21"/>
        </w:rPr>
        <w:t xml:space="preserve">； </w:t>
      </w:r>
    </w:p>
    <w:p w14:paraId="0009B2D1">
      <w:pPr>
        <w:pStyle w:val="17"/>
        <w:spacing w:before="10"/>
        <w:rPr>
          <w:sz w:val="9"/>
        </w:rPr>
      </w:pPr>
    </w:p>
    <w:p w14:paraId="411BDA8A">
      <w:pPr>
        <w:pStyle w:val="317"/>
        <w:numPr>
          <w:ilvl w:val="0"/>
          <w:numId w:val="40"/>
        </w:numPr>
        <w:tabs>
          <w:tab w:val="left" w:pos="1214"/>
        </w:tabs>
        <w:spacing w:before="71"/>
        <w:ind w:left="1213" w:hanging="633"/>
        <w:rPr>
          <w:sz w:val="21"/>
        </w:rPr>
      </w:pPr>
      <w:r>
        <w:rPr>
          <w:sz w:val="21"/>
          <w:u w:val="single"/>
        </w:rPr>
        <w:t>当月应支付的人工费（工资款）</w:t>
      </w:r>
      <w:r>
        <w:rPr>
          <w:spacing w:val="-2"/>
          <w:sz w:val="21"/>
          <w:u w:val="single"/>
        </w:rPr>
        <w:t>金额</w:t>
      </w:r>
      <w:r>
        <w:rPr>
          <w:sz w:val="21"/>
        </w:rPr>
        <w:t xml:space="preserve">。 </w:t>
      </w:r>
    </w:p>
    <w:p w14:paraId="730CC2F8">
      <w:pPr>
        <w:pStyle w:val="17"/>
        <w:rPr>
          <w:sz w:val="11"/>
        </w:rPr>
      </w:pPr>
    </w:p>
    <w:p w14:paraId="713FCDFF">
      <w:pPr>
        <w:pStyle w:val="317"/>
        <w:numPr>
          <w:ilvl w:val="2"/>
          <w:numId w:val="5"/>
        </w:numPr>
        <w:tabs>
          <w:tab w:val="left" w:pos="1213"/>
        </w:tabs>
        <w:spacing w:before="71"/>
        <w:ind w:left="1213" w:hanging="632"/>
        <w:jc w:val="left"/>
        <w:rPr>
          <w:sz w:val="19"/>
        </w:rPr>
      </w:pPr>
      <w:r>
        <w:rPr>
          <w:spacing w:val="-1"/>
          <w:sz w:val="21"/>
        </w:rPr>
        <w:t>进度付款申请单的提交</w:t>
      </w:r>
      <w:r>
        <w:rPr>
          <w:sz w:val="21"/>
        </w:rPr>
        <w:t xml:space="preserve"> </w:t>
      </w:r>
    </w:p>
    <w:p w14:paraId="33EEC3E3">
      <w:pPr>
        <w:pStyle w:val="17"/>
        <w:spacing w:before="4"/>
        <w:rPr>
          <w:sz w:val="15"/>
        </w:rPr>
      </w:pPr>
    </w:p>
    <w:p w14:paraId="741B6462">
      <w:pPr>
        <w:pStyle w:val="317"/>
        <w:numPr>
          <w:ilvl w:val="0"/>
          <w:numId w:val="41"/>
        </w:numPr>
        <w:tabs>
          <w:tab w:val="left" w:pos="1109"/>
        </w:tabs>
        <w:ind w:hanging="528"/>
        <w:rPr>
          <w:sz w:val="21"/>
        </w:rPr>
      </w:pPr>
      <w:r>
        <w:rPr>
          <w:spacing w:val="-1"/>
          <w:sz w:val="21"/>
        </w:rPr>
        <w:t>单价合同进度付款申请单提交的约定：</w:t>
      </w:r>
      <w:r>
        <w:rPr>
          <w:spacing w:val="-12"/>
          <w:sz w:val="21"/>
          <w:u w:val="single"/>
        </w:rPr>
        <w:t xml:space="preserve">按照第 </w:t>
      </w:r>
      <w:r>
        <w:rPr>
          <w:sz w:val="21"/>
          <w:u w:val="single"/>
        </w:rPr>
        <w:t>12.3.3</w:t>
      </w:r>
      <w:r>
        <w:rPr>
          <w:spacing w:val="-7"/>
          <w:sz w:val="21"/>
          <w:u w:val="single"/>
        </w:rPr>
        <w:t xml:space="preserve"> 项〔单价合同的计量〕约定的时间按月</w:t>
      </w:r>
    </w:p>
    <w:p w14:paraId="44A0F6B4">
      <w:pPr>
        <w:pStyle w:val="17"/>
        <w:spacing w:before="10"/>
        <w:rPr>
          <w:sz w:val="9"/>
        </w:rPr>
      </w:pPr>
    </w:p>
    <w:p w14:paraId="5A7C234A">
      <w:pPr>
        <w:pStyle w:val="17"/>
        <w:spacing w:before="71"/>
        <w:ind w:left="161"/>
      </w:pPr>
      <w:r>
        <w:rPr>
          <w:u w:val="single"/>
        </w:rPr>
        <w:t>向监理人提交，并附上已完成工程量报表、经审核的农民工工资发放的情况说明及有关资料。单价合同</w:t>
      </w:r>
    </w:p>
    <w:p w14:paraId="2C3289D3">
      <w:pPr>
        <w:pStyle w:val="17"/>
        <w:spacing w:before="10"/>
        <w:rPr>
          <w:sz w:val="9"/>
        </w:rPr>
      </w:pPr>
    </w:p>
    <w:p w14:paraId="14D6DD2B">
      <w:pPr>
        <w:pStyle w:val="17"/>
        <w:spacing w:before="71"/>
        <w:ind w:left="161"/>
      </w:pPr>
      <w:r>
        <w:rPr>
          <w:u w:val="single"/>
        </w:rPr>
        <w:t>中的总价子目按工程形象进度分月计量后汇总列入当期进度付款申请单</w:t>
      </w:r>
      <w:r>
        <w:t xml:space="preserve">。 </w:t>
      </w:r>
    </w:p>
    <w:p w14:paraId="12760152">
      <w:pPr>
        <w:pStyle w:val="17"/>
        <w:spacing w:before="10"/>
        <w:rPr>
          <w:sz w:val="9"/>
        </w:rPr>
      </w:pPr>
    </w:p>
    <w:p w14:paraId="24C1C637">
      <w:pPr>
        <w:pStyle w:val="317"/>
        <w:numPr>
          <w:ilvl w:val="0"/>
          <w:numId w:val="41"/>
        </w:numPr>
        <w:tabs>
          <w:tab w:val="left" w:pos="1109"/>
        </w:tabs>
        <w:spacing w:before="71"/>
        <w:ind w:hanging="528"/>
        <w:rPr>
          <w:sz w:val="21"/>
        </w:rPr>
      </w:pPr>
      <w:r>
        <w:rPr>
          <w:spacing w:val="-3"/>
          <w:sz w:val="21"/>
        </w:rPr>
        <w:t>总价合同进度付款申请单提交的约定：</w:t>
      </w:r>
      <w:r>
        <w:rPr>
          <w:sz w:val="21"/>
          <w:u w:val="single"/>
        </w:rPr>
        <w:t>按照合同约定的形象进度的计量约定的时间向监理人提</w:t>
      </w:r>
    </w:p>
    <w:p w14:paraId="23877BCE">
      <w:pPr>
        <w:pStyle w:val="17"/>
        <w:rPr>
          <w:sz w:val="11"/>
        </w:rPr>
      </w:pPr>
    </w:p>
    <w:p w14:paraId="3869CC73">
      <w:pPr>
        <w:pStyle w:val="17"/>
        <w:spacing w:before="70"/>
        <w:ind w:left="161"/>
      </w:pPr>
      <w:r>
        <w:rPr>
          <w:u w:val="single"/>
        </w:rPr>
        <w:t>交，并附上已完成工程量报表、经审核的农民工工资发放的情况说明及有关资料</w:t>
      </w:r>
      <w:r>
        <w:t xml:space="preserve">。 </w:t>
      </w:r>
    </w:p>
    <w:p w14:paraId="49E55E1E">
      <w:pPr>
        <w:pStyle w:val="17"/>
        <w:spacing w:before="11"/>
        <w:rPr>
          <w:sz w:val="9"/>
        </w:rPr>
      </w:pPr>
    </w:p>
    <w:p w14:paraId="5A3B48C5">
      <w:pPr>
        <w:pStyle w:val="317"/>
        <w:numPr>
          <w:ilvl w:val="0"/>
          <w:numId w:val="41"/>
        </w:numPr>
        <w:tabs>
          <w:tab w:val="left" w:pos="1109"/>
        </w:tabs>
        <w:spacing w:before="70"/>
        <w:ind w:hanging="528"/>
        <w:rPr>
          <w:sz w:val="21"/>
        </w:rPr>
      </w:pPr>
      <w:r>
        <w:rPr>
          <w:spacing w:val="-1"/>
          <w:sz w:val="21"/>
        </w:rPr>
        <w:t>其他价格形式合同进度付款申请单提交的约定：</w:t>
      </w:r>
      <w:r>
        <w:rPr>
          <w:sz w:val="21"/>
          <w:u w:val="single"/>
        </w:rPr>
        <w:t>不采用</w:t>
      </w:r>
      <w:r>
        <w:rPr>
          <w:sz w:val="21"/>
        </w:rPr>
        <w:t xml:space="preserve">。 </w:t>
      </w:r>
    </w:p>
    <w:p w14:paraId="629F7E5E">
      <w:pPr>
        <w:rPr>
          <w:sz w:val="21"/>
        </w:rPr>
        <w:sectPr>
          <w:pgSz w:w="11910" w:h="16850"/>
          <w:pgMar w:top="1440" w:right="1080" w:bottom="1440" w:left="1080" w:header="0" w:footer="996" w:gutter="0"/>
          <w:cols w:space="720" w:num="1"/>
        </w:sectPr>
      </w:pPr>
    </w:p>
    <w:p w14:paraId="4662A9D8">
      <w:pPr>
        <w:pStyle w:val="317"/>
        <w:numPr>
          <w:ilvl w:val="2"/>
          <w:numId w:val="5"/>
        </w:numPr>
        <w:tabs>
          <w:tab w:val="left" w:pos="1378"/>
        </w:tabs>
        <w:spacing w:before="46"/>
        <w:ind w:left="1378" w:hanging="632"/>
        <w:jc w:val="left"/>
        <w:rPr>
          <w:sz w:val="19"/>
        </w:rPr>
      </w:pPr>
      <w:r>
        <w:rPr>
          <w:sz w:val="21"/>
        </w:rPr>
        <w:t xml:space="preserve">进度款审核和支付 </w:t>
      </w:r>
    </w:p>
    <w:p w14:paraId="5DA724BD">
      <w:pPr>
        <w:pStyle w:val="17"/>
        <w:spacing w:before="4"/>
        <w:rPr>
          <w:sz w:val="15"/>
        </w:rPr>
      </w:pPr>
    </w:p>
    <w:p w14:paraId="44D69D0C">
      <w:pPr>
        <w:pStyle w:val="317"/>
        <w:numPr>
          <w:ilvl w:val="0"/>
          <w:numId w:val="42"/>
        </w:numPr>
        <w:tabs>
          <w:tab w:val="left" w:pos="1274"/>
        </w:tabs>
        <w:ind w:hanging="528"/>
        <w:rPr>
          <w:sz w:val="21"/>
        </w:rPr>
      </w:pPr>
      <w:r>
        <w:rPr>
          <w:spacing w:val="-1"/>
          <w:sz w:val="21"/>
        </w:rPr>
        <w:t>监理人审查并报送发包人的期限：</w:t>
      </w:r>
      <w:r>
        <w:rPr>
          <w:spacing w:val="-6"/>
          <w:sz w:val="21"/>
          <w:u w:val="single"/>
        </w:rPr>
        <w:t xml:space="preserve">收到完整资料后 </w:t>
      </w:r>
      <w:r>
        <w:rPr>
          <w:sz w:val="21"/>
          <w:u w:val="single"/>
        </w:rPr>
        <w:t>7</w:t>
      </w:r>
      <w:r>
        <w:rPr>
          <w:spacing w:val="-16"/>
          <w:sz w:val="21"/>
          <w:u w:val="single"/>
        </w:rPr>
        <w:t xml:space="preserve"> 天内</w:t>
      </w:r>
      <w:r>
        <w:rPr>
          <w:sz w:val="21"/>
        </w:rPr>
        <w:t xml:space="preserve">。 </w:t>
      </w:r>
    </w:p>
    <w:p w14:paraId="5314B1C3">
      <w:pPr>
        <w:pStyle w:val="17"/>
        <w:spacing w:before="10"/>
        <w:rPr>
          <w:sz w:val="9"/>
        </w:rPr>
      </w:pPr>
    </w:p>
    <w:p w14:paraId="67E35E83">
      <w:pPr>
        <w:pStyle w:val="17"/>
        <w:spacing w:before="71"/>
        <w:ind w:left="746"/>
      </w:pPr>
      <w:r>
        <w:t>发包人完成审批并签发进度款支付证书的期限：</w:t>
      </w:r>
      <w:r>
        <w:rPr>
          <w:u w:val="single"/>
        </w:rPr>
        <w:t>发包人收到监理人报送资料后 7 天内完成审批并签</w:t>
      </w:r>
    </w:p>
    <w:p w14:paraId="65D9E174">
      <w:pPr>
        <w:pStyle w:val="17"/>
        <w:rPr>
          <w:sz w:val="11"/>
        </w:rPr>
      </w:pPr>
    </w:p>
    <w:p w14:paraId="05116C90">
      <w:pPr>
        <w:pStyle w:val="17"/>
        <w:spacing w:before="70"/>
        <w:ind w:left="326"/>
      </w:pPr>
      <w:r>
        <w:rPr>
          <w:u w:val="single"/>
        </w:rPr>
        <w:t>发进度款支付证书</w:t>
      </w:r>
      <w:r>
        <w:t xml:space="preserve">。 </w:t>
      </w:r>
    </w:p>
    <w:p w14:paraId="5D5D4B7E">
      <w:pPr>
        <w:pStyle w:val="17"/>
        <w:spacing w:before="11"/>
        <w:rPr>
          <w:sz w:val="9"/>
        </w:rPr>
      </w:pPr>
    </w:p>
    <w:p w14:paraId="46E7834E">
      <w:pPr>
        <w:pStyle w:val="17"/>
        <w:spacing w:before="71"/>
        <w:ind w:left="746"/>
      </w:pPr>
      <w:r>
        <w:rPr>
          <w:u w:val="single"/>
        </w:rPr>
        <w:t>监理人、跟审单位和发包人中任一方对承包人的进度付款申请单有异议的，均有权要求承包人修正</w:t>
      </w:r>
    </w:p>
    <w:p w14:paraId="19D151EC">
      <w:pPr>
        <w:pStyle w:val="17"/>
        <w:spacing w:before="10"/>
        <w:rPr>
          <w:sz w:val="9"/>
        </w:rPr>
      </w:pPr>
    </w:p>
    <w:p w14:paraId="430C59C3">
      <w:pPr>
        <w:pStyle w:val="17"/>
        <w:spacing w:before="71"/>
        <w:ind w:left="326"/>
      </w:pPr>
      <w:r>
        <w:rPr>
          <w:u w:val="single"/>
        </w:rPr>
        <w:t>和提供补充资料，承包人应提交修正后的进度付款申请单。监理人应在收到承包人修正后的进度付款申</w:t>
      </w:r>
    </w:p>
    <w:p w14:paraId="7B3B9AD6">
      <w:pPr>
        <w:pStyle w:val="17"/>
        <w:spacing w:before="10"/>
        <w:rPr>
          <w:sz w:val="9"/>
        </w:rPr>
      </w:pPr>
    </w:p>
    <w:p w14:paraId="4D68932E">
      <w:pPr>
        <w:pStyle w:val="17"/>
        <w:spacing w:before="71"/>
        <w:ind w:left="326"/>
      </w:pPr>
      <w:r>
        <w:rPr>
          <w:spacing w:val="-6"/>
          <w:u w:val="single"/>
        </w:rPr>
        <w:t xml:space="preserve">请单及相关资料后 </w:t>
      </w:r>
      <w:r>
        <w:rPr>
          <w:u w:val="single"/>
        </w:rPr>
        <w:t>7</w:t>
      </w:r>
      <w:r>
        <w:rPr>
          <w:spacing w:val="-9"/>
          <w:u w:val="single"/>
        </w:rPr>
        <w:t xml:space="preserve"> 天内完成审查并报送发包人，发包人收到监理人报送资料后 </w:t>
      </w:r>
      <w:r>
        <w:rPr>
          <w:u w:val="single"/>
        </w:rPr>
        <w:t>7</w:t>
      </w:r>
      <w:r>
        <w:rPr>
          <w:spacing w:val="-7"/>
          <w:u w:val="single"/>
        </w:rPr>
        <w:t xml:space="preserve"> 天内完成审批并向承</w:t>
      </w:r>
    </w:p>
    <w:p w14:paraId="740EF4AC">
      <w:pPr>
        <w:pStyle w:val="17"/>
        <w:spacing w:before="10"/>
        <w:rPr>
          <w:sz w:val="9"/>
        </w:rPr>
      </w:pPr>
    </w:p>
    <w:p w14:paraId="3774E418">
      <w:pPr>
        <w:pStyle w:val="17"/>
        <w:spacing w:before="71"/>
        <w:ind w:left="326"/>
      </w:pPr>
      <w:r>
        <w:rPr>
          <w:spacing w:val="-1"/>
          <w:u w:val="single"/>
        </w:rPr>
        <w:t>包人签发无异议部分的临时进度款支付证书。存在争议的部分，按照合同约定的争议解决的约定处理。</w:t>
      </w:r>
      <w:r>
        <w:t xml:space="preserve"> </w:t>
      </w:r>
    </w:p>
    <w:p w14:paraId="7AE3F186">
      <w:pPr>
        <w:pStyle w:val="17"/>
        <w:spacing w:before="12"/>
        <w:rPr>
          <w:sz w:val="10"/>
        </w:rPr>
      </w:pPr>
    </w:p>
    <w:p w14:paraId="77D957B3">
      <w:pPr>
        <w:pStyle w:val="17"/>
        <w:spacing w:before="71"/>
        <w:ind w:left="746"/>
      </w:pPr>
      <w:r>
        <w:rPr>
          <w:u w:val="single"/>
        </w:rPr>
        <w:t>发包人签发进度款支付证书或临时进度款支付证书，不表明发包人已同意、批准或接受了承包人完</w:t>
      </w:r>
    </w:p>
    <w:p w14:paraId="41C8E162">
      <w:pPr>
        <w:pStyle w:val="17"/>
        <w:spacing w:before="10"/>
        <w:rPr>
          <w:sz w:val="9"/>
        </w:rPr>
      </w:pPr>
    </w:p>
    <w:p w14:paraId="70489B85">
      <w:pPr>
        <w:pStyle w:val="17"/>
        <w:spacing w:before="71"/>
        <w:ind w:left="326"/>
      </w:pPr>
      <w:r>
        <w:rPr>
          <w:u w:val="single"/>
        </w:rPr>
        <w:t>成的相应部分的工作。</w:t>
      </w:r>
      <w:r>
        <w:t xml:space="preserve"> </w:t>
      </w:r>
    </w:p>
    <w:p w14:paraId="797697A0">
      <w:pPr>
        <w:pStyle w:val="17"/>
        <w:spacing w:before="11"/>
        <w:rPr>
          <w:sz w:val="9"/>
        </w:rPr>
      </w:pPr>
    </w:p>
    <w:p w14:paraId="7546F142">
      <w:pPr>
        <w:pStyle w:val="317"/>
        <w:numPr>
          <w:ilvl w:val="0"/>
          <w:numId w:val="42"/>
        </w:numPr>
        <w:tabs>
          <w:tab w:val="left" w:pos="1274"/>
        </w:tabs>
        <w:spacing w:before="70"/>
        <w:ind w:hanging="528"/>
        <w:rPr>
          <w:sz w:val="21"/>
        </w:rPr>
      </w:pPr>
      <w:r>
        <w:rPr>
          <w:sz w:val="21"/>
        </w:rPr>
        <w:t xml:space="preserve">进度款支付： </w:t>
      </w:r>
    </w:p>
    <w:p w14:paraId="5F36FA8F">
      <w:pPr>
        <w:pStyle w:val="17"/>
        <w:spacing w:before="4"/>
        <w:rPr>
          <w:sz w:val="15"/>
        </w:rPr>
      </w:pPr>
    </w:p>
    <w:p w14:paraId="62FEDF20">
      <w:pPr>
        <w:pStyle w:val="17"/>
        <w:ind w:left="746"/>
      </w:pPr>
      <w:r>
        <w:t xml:space="preserve">①本工程招标人不付备料款或预付款。 </w:t>
      </w:r>
    </w:p>
    <w:p w14:paraId="19F90A5E">
      <w:pPr>
        <w:pStyle w:val="17"/>
        <w:spacing w:before="5"/>
        <w:rPr>
          <w:sz w:val="15"/>
        </w:rPr>
      </w:pPr>
    </w:p>
    <w:p w14:paraId="4EA0AC18">
      <w:pPr>
        <w:pStyle w:val="17"/>
        <w:spacing w:line="429" w:lineRule="auto"/>
        <w:ind w:left="326" w:right="1137" w:firstLine="420"/>
      </w:pPr>
      <w:r>
        <w:t>②安全文明施工费：施工合同签订后 10 日内支付安全文明施工费暂定金额的 50%，剩余部分随工程进度支付其余规定按渝建【2014】 25 号规定执行、</w:t>
      </w:r>
      <w:r>
        <w:rPr>
          <w:rFonts w:hint="eastAsia"/>
        </w:rPr>
        <w:t>渝建发〔2016〕35 号文、渝建[2018]195 号文规定执行。</w:t>
      </w:r>
      <w:r>
        <w:t xml:space="preserve"> </w:t>
      </w:r>
    </w:p>
    <w:p w14:paraId="096D93B1">
      <w:pPr>
        <w:pStyle w:val="17"/>
        <w:spacing w:line="251" w:lineRule="exact"/>
        <w:ind w:left="746"/>
      </w:pPr>
      <w:r>
        <w:t>③工程款支付：本工程按月支付工程进度款，承包人每月 25 日申报工程完成进度，按当月审定进</w:t>
      </w:r>
    </w:p>
    <w:p w14:paraId="3215AA95">
      <w:pPr>
        <w:pStyle w:val="17"/>
        <w:spacing w:before="121" w:line="357" w:lineRule="auto"/>
        <w:ind w:left="326" w:right="994"/>
      </w:pPr>
      <w:r>
        <w:rPr>
          <w:spacing w:val="-1"/>
        </w:rPr>
        <w:t xml:space="preserve">度金额的 </w:t>
      </w:r>
      <w:r>
        <w:t>80%</w:t>
      </w:r>
      <w:r>
        <w:rPr>
          <w:spacing w:val="-1"/>
        </w:rPr>
        <w:t xml:space="preserve">支付进度款；工程竣工验收后支付至内部审核结算价的 </w:t>
      </w:r>
      <w:r>
        <w:t>80%；经相关部门结（决）算审计</w:t>
      </w:r>
      <w:r>
        <w:rPr>
          <w:spacing w:val="-16"/>
        </w:rPr>
        <w:t xml:space="preserve">后， </w:t>
      </w:r>
      <w:r>
        <w:t>发包人有权对工程结算内审价款进行调整，待调整定案完成，</w:t>
      </w:r>
      <w:r>
        <w:rPr>
          <w:spacing w:val="-16"/>
        </w:rPr>
        <w:t xml:space="preserve">且承包人完成移交给相关管护单位后， </w:t>
      </w:r>
      <w:r>
        <w:rPr>
          <w:spacing w:val="-15"/>
        </w:rPr>
        <w:t xml:space="preserve">支付至最终结算价款 </w:t>
      </w:r>
      <w:r>
        <w:rPr>
          <w:spacing w:val="-8"/>
        </w:rPr>
        <w:t>97%</w:t>
      </w:r>
      <w:r>
        <w:rPr>
          <w:spacing w:val="-3"/>
        </w:rPr>
        <w:t xml:space="preserve">，其余 </w:t>
      </w:r>
      <w:r>
        <w:t>3%</w:t>
      </w:r>
      <w:r>
        <w:rPr>
          <w:spacing w:val="-5"/>
        </w:rPr>
        <w:t>为本工程质保金，待工程两年缺陷责任期期满后付清剩余质保金</w:t>
      </w:r>
      <w:r>
        <w:t xml:space="preserve">（不计利息）。 </w:t>
      </w:r>
    </w:p>
    <w:p w14:paraId="4639F3E3">
      <w:pPr>
        <w:pStyle w:val="17"/>
        <w:spacing w:before="121" w:line="357" w:lineRule="auto"/>
        <w:ind w:left="326" w:right="994"/>
      </w:pPr>
      <w:r>
        <w:rPr>
          <w:rFonts w:hint="eastAsia"/>
        </w:rPr>
        <w:t xml:space="preserve">    ④ </w:t>
      </w:r>
      <w:r>
        <w:t>每次付款前承包人均需向发包人提供足额的增值税专用发票，否则发包人有权延迟付款并不承担任何违约责任，承包人不得因此拒绝履行合同义务或延迟履行合同义务。</w:t>
      </w:r>
    </w:p>
    <w:p w14:paraId="62D0477B">
      <w:pPr>
        <w:pStyle w:val="3"/>
        <w:numPr>
          <w:ilvl w:val="1"/>
          <w:numId w:val="5"/>
        </w:numPr>
        <w:tabs>
          <w:tab w:val="left" w:pos="1273"/>
        </w:tabs>
        <w:spacing w:line="323" w:lineRule="exact"/>
        <w:ind w:left="1273" w:hanging="527"/>
      </w:pPr>
      <w:r>
        <w:t>支付账户</w:t>
      </w:r>
      <w:r>
        <w:rPr>
          <w:w w:val="167"/>
        </w:rPr>
        <w:t xml:space="preserve"> </w:t>
      </w:r>
    </w:p>
    <w:p w14:paraId="7946DD56">
      <w:pPr>
        <w:pStyle w:val="17"/>
        <w:spacing w:before="146" w:line="415" w:lineRule="auto"/>
        <w:ind w:left="746" w:right="3769"/>
      </w:pPr>
      <w:r>
        <w:rPr>
          <w:spacing w:val="-1"/>
        </w:rPr>
        <w:t xml:space="preserve">发包人应将合同价款支付至如下承包人指定的开户银行及银行账户： </w:t>
      </w:r>
      <w:r>
        <w:t>收 款 单 位 名 称 ：</w:t>
      </w:r>
      <w:r>
        <w:rPr>
          <w:u w:val="single"/>
        </w:rPr>
        <w:t xml:space="preserve">                                    </w:t>
      </w:r>
      <w:r>
        <w:t xml:space="preserve">； </w:t>
      </w:r>
    </w:p>
    <w:p w14:paraId="66FDBCDA">
      <w:pPr>
        <w:pStyle w:val="17"/>
        <w:spacing w:before="14"/>
        <w:ind w:left="746"/>
      </w:pPr>
      <w:r>
        <w:t>收 款 账 号 ：</w:t>
      </w:r>
      <w:r>
        <w:rPr>
          <w:u w:val="single"/>
        </w:rPr>
        <w:t xml:space="preserve">                                           </w:t>
      </w:r>
      <w:r>
        <w:t xml:space="preserve">； </w:t>
      </w:r>
    </w:p>
    <w:p w14:paraId="23AE7FFF">
      <w:pPr>
        <w:pStyle w:val="17"/>
        <w:spacing w:before="11"/>
        <w:rPr>
          <w:sz w:val="9"/>
        </w:rPr>
      </w:pPr>
    </w:p>
    <w:p w14:paraId="27FA3ADB">
      <w:pPr>
        <w:pStyle w:val="17"/>
        <w:spacing w:before="70"/>
        <w:ind w:left="746"/>
      </w:pPr>
      <w:r>
        <w:t>收 款 开 户 银 行 ：</w:t>
      </w:r>
      <w:r>
        <w:rPr>
          <w:u w:val="single"/>
        </w:rPr>
        <w:t xml:space="preserve">                                                </w:t>
      </w:r>
      <w:r>
        <w:t xml:space="preserve">。 </w:t>
      </w:r>
    </w:p>
    <w:p w14:paraId="084E24FB">
      <w:pPr>
        <w:pStyle w:val="17"/>
        <w:spacing w:before="11"/>
        <w:rPr>
          <w:sz w:val="9"/>
        </w:rPr>
      </w:pPr>
    </w:p>
    <w:p w14:paraId="3AF4FBC9">
      <w:pPr>
        <w:pStyle w:val="17"/>
        <w:spacing w:before="70" w:line="415" w:lineRule="auto"/>
        <w:ind w:left="746" w:right="2926"/>
      </w:pPr>
      <w:r>
        <w:t>发包人应将人工费（工资款）支付至如下承包人指定的农民工工资专用账户： 开 户 银 行 ：</w:t>
      </w:r>
      <w:r>
        <w:rPr>
          <w:u w:val="single"/>
        </w:rPr>
        <w:t xml:space="preserve">                                        </w:t>
      </w:r>
      <w:r>
        <w:t xml:space="preserve">； </w:t>
      </w:r>
    </w:p>
    <w:p w14:paraId="6B66D6B4">
      <w:pPr>
        <w:pStyle w:val="17"/>
        <w:ind w:left="746"/>
      </w:pPr>
      <w:r>
        <w:t>农 民 工 工 资 专 用 账 户 名 称 ：</w:t>
      </w:r>
      <w:r>
        <w:rPr>
          <w:u w:val="single"/>
        </w:rPr>
        <w:t xml:space="preserve">                   </w:t>
      </w:r>
      <w:r>
        <w:t xml:space="preserve">； </w:t>
      </w:r>
    </w:p>
    <w:p w14:paraId="5862DDFF">
      <w:pPr>
        <w:pStyle w:val="17"/>
        <w:rPr>
          <w:sz w:val="11"/>
        </w:rPr>
      </w:pPr>
    </w:p>
    <w:p w14:paraId="6201F8FB">
      <w:pPr>
        <w:pStyle w:val="17"/>
        <w:spacing w:before="70"/>
        <w:ind w:left="746"/>
      </w:pPr>
      <w:r>
        <w:t>农 民 工 工 资 专 用 账 户 账 号 ：</w:t>
      </w:r>
      <w:r>
        <w:rPr>
          <w:u w:val="single"/>
        </w:rPr>
        <w:t xml:space="preserve">                   </w:t>
      </w:r>
      <w:r>
        <w:t xml:space="preserve">。 </w:t>
      </w:r>
    </w:p>
    <w:p w14:paraId="07DA1787">
      <w:pPr>
        <w:pStyle w:val="17"/>
        <w:spacing w:before="7"/>
      </w:pPr>
    </w:p>
    <w:p w14:paraId="5F91A335">
      <w:pPr>
        <w:pStyle w:val="3"/>
        <w:numPr>
          <w:ilvl w:val="0"/>
          <w:numId w:val="5"/>
        </w:numPr>
        <w:tabs>
          <w:tab w:val="left" w:pos="687"/>
        </w:tabs>
        <w:spacing w:before="4"/>
        <w:ind w:left="686" w:hanging="361"/>
        <w:jc w:val="left"/>
      </w:pPr>
      <w:r>
        <w:rPr>
          <w:spacing w:val="5"/>
        </w:rPr>
        <w:t>验收和工程试车</w:t>
      </w:r>
      <w:r>
        <w:rPr>
          <w:spacing w:val="5"/>
          <w:w w:val="167"/>
        </w:rPr>
        <w:t xml:space="preserve"> </w:t>
      </w:r>
    </w:p>
    <w:p w14:paraId="7F724487">
      <w:pPr>
        <w:pStyle w:val="17"/>
        <w:spacing w:before="4"/>
        <w:rPr>
          <w:rFonts w:ascii="微软雅黑"/>
          <w:b/>
          <w:sz w:val="13"/>
        </w:rPr>
      </w:pPr>
    </w:p>
    <w:p w14:paraId="35BDCE82">
      <w:pPr>
        <w:pStyle w:val="317"/>
        <w:numPr>
          <w:ilvl w:val="1"/>
          <w:numId w:val="5"/>
        </w:numPr>
        <w:tabs>
          <w:tab w:val="left" w:pos="1213"/>
        </w:tabs>
        <w:ind w:left="1212" w:hanging="467"/>
        <w:rPr>
          <w:rFonts w:ascii="微软雅黑" w:eastAsia="微软雅黑"/>
          <w:b/>
          <w:sz w:val="21"/>
        </w:rPr>
      </w:pPr>
      <w:r>
        <w:rPr>
          <w:rFonts w:hint="eastAsia" w:ascii="微软雅黑" w:eastAsia="微软雅黑"/>
          <w:b/>
          <w:spacing w:val="4"/>
          <w:sz w:val="21"/>
        </w:rPr>
        <w:t>分部分项工程验收</w:t>
      </w:r>
      <w:r>
        <w:rPr>
          <w:rFonts w:hint="eastAsia" w:ascii="微软雅黑" w:eastAsia="微软雅黑"/>
          <w:b/>
          <w:spacing w:val="4"/>
          <w:w w:val="167"/>
          <w:sz w:val="21"/>
        </w:rPr>
        <w:t xml:space="preserve"> </w:t>
      </w:r>
    </w:p>
    <w:p w14:paraId="4C0D5FFC">
      <w:pPr>
        <w:rPr>
          <w:rFonts w:ascii="微软雅黑" w:eastAsia="微软雅黑"/>
          <w:sz w:val="21"/>
        </w:rPr>
        <w:sectPr>
          <w:pgSz w:w="11910" w:h="16850"/>
          <w:pgMar w:top="1440" w:right="1080" w:bottom="1440" w:left="1080" w:header="0" w:footer="996" w:gutter="0"/>
          <w:cols w:space="720" w:num="1"/>
        </w:sectPr>
      </w:pPr>
    </w:p>
    <w:p w14:paraId="16EFC4E5">
      <w:pPr>
        <w:pStyle w:val="17"/>
        <w:spacing w:before="46"/>
        <w:ind w:left="581"/>
      </w:pPr>
      <w:r>
        <w:t xml:space="preserve">13.1.2 监理人不能按时进行验收时，应提前 </w:t>
      </w:r>
      <w:r>
        <w:rPr>
          <w:u w:val="single"/>
        </w:rPr>
        <w:t>24</w:t>
      </w:r>
      <w:r>
        <w:t xml:space="preserve"> 小时提交书面延期要求。 </w:t>
      </w:r>
    </w:p>
    <w:p w14:paraId="210D8029">
      <w:pPr>
        <w:pStyle w:val="17"/>
        <w:spacing w:before="11"/>
        <w:rPr>
          <w:sz w:val="9"/>
        </w:rPr>
      </w:pPr>
    </w:p>
    <w:p w14:paraId="28A6CD74">
      <w:pPr>
        <w:pStyle w:val="17"/>
        <w:spacing w:before="70"/>
        <w:ind w:left="581"/>
      </w:pPr>
      <w:r>
        <w:t>关于延期最长不得超过：</w:t>
      </w:r>
      <w:r>
        <w:rPr>
          <w:u w:val="single"/>
        </w:rPr>
        <w:t>48</w:t>
      </w:r>
      <w:r>
        <w:t xml:space="preserve"> 小时。 </w:t>
      </w:r>
    </w:p>
    <w:p w14:paraId="1A4CDA1C">
      <w:pPr>
        <w:pStyle w:val="17"/>
        <w:spacing w:before="10"/>
        <w:rPr>
          <w:sz w:val="9"/>
        </w:rPr>
      </w:pPr>
    </w:p>
    <w:p w14:paraId="536A53E7">
      <w:pPr>
        <w:pStyle w:val="3"/>
        <w:numPr>
          <w:ilvl w:val="1"/>
          <w:numId w:val="5"/>
        </w:numPr>
        <w:tabs>
          <w:tab w:val="left" w:pos="1048"/>
        </w:tabs>
        <w:spacing w:before="4"/>
        <w:ind w:left="1047" w:hanging="467"/>
      </w:pPr>
      <w:r>
        <w:rPr>
          <w:spacing w:val="11"/>
        </w:rPr>
        <w:t>竣工验收</w:t>
      </w:r>
      <w:r>
        <w:rPr>
          <w:w w:val="167"/>
        </w:rPr>
        <w:t xml:space="preserve"> </w:t>
      </w:r>
    </w:p>
    <w:p w14:paraId="05D54106">
      <w:pPr>
        <w:pStyle w:val="17"/>
        <w:spacing w:before="160"/>
        <w:ind w:left="581"/>
      </w:pPr>
      <w:r>
        <w:t xml:space="preserve">13.2.2 竣工验收程序 </w:t>
      </w:r>
    </w:p>
    <w:p w14:paraId="6ADD750F">
      <w:pPr>
        <w:pStyle w:val="17"/>
        <w:spacing w:before="4"/>
        <w:rPr>
          <w:sz w:val="15"/>
        </w:rPr>
      </w:pPr>
    </w:p>
    <w:p w14:paraId="0423A4BF">
      <w:pPr>
        <w:pStyle w:val="17"/>
        <w:spacing w:before="1" w:line="415" w:lineRule="auto"/>
        <w:ind w:left="161" w:right="1385" w:firstLine="420"/>
      </w:pPr>
      <w:r>
        <w:rPr>
          <w:spacing w:val="-6"/>
        </w:rPr>
        <w:t xml:space="preserve">关于竣工验收程序的约定：工程完工且符合下列条件时，承包人可向发包人提供竣工报告，并要求验收： </w:t>
      </w:r>
    </w:p>
    <w:p w14:paraId="191DD6FF">
      <w:pPr>
        <w:pStyle w:val="317"/>
        <w:numPr>
          <w:ilvl w:val="0"/>
          <w:numId w:val="43"/>
        </w:numPr>
        <w:tabs>
          <w:tab w:val="left" w:pos="1109"/>
        </w:tabs>
        <w:spacing w:line="415" w:lineRule="auto"/>
        <w:ind w:right="1401" w:firstLine="420"/>
        <w:rPr>
          <w:sz w:val="21"/>
        </w:rPr>
      </w:pPr>
      <w:r>
        <w:rPr>
          <w:sz w:val="21"/>
        </w:rPr>
        <w:t>除发包人同意的甩项工作和缺陷修补工作外，合同范围内的全部工程以及有关工作，包括合</w:t>
      </w:r>
      <w:r>
        <w:rPr>
          <w:spacing w:val="-1"/>
          <w:sz w:val="21"/>
        </w:rPr>
        <w:t>同要求的试验、试运行以及检验均已完成，并符合合同要求；</w:t>
      </w:r>
      <w:r>
        <w:rPr>
          <w:sz w:val="21"/>
        </w:rPr>
        <w:t xml:space="preserve"> </w:t>
      </w:r>
    </w:p>
    <w:p w14:paraId="6FC0C8A7">
      <w:pPr>
        <w:pStyle w:val="317"/>
        <w:numPr>
          <w:ilvl w:val="0"/>
          <w:numId w:val="43"/>
        </w:numPr>
        <w:tabs>
          <w:tab w:val="left" w:pos="1109"/>
        </w:tabs>
        <w:spacing w:before="14"/>
        <w:ind w:left="1108" w:hanging="528"/>
        <w:rPr>
          <w:sz w:val="21"/>
        </w:rPr>
      </w:pPr>
      <w:r>
        <w:rPr>
          <w:spacing w:val="-1"/>
          <w:sz w:val="21"/>
        </w:rPr>
        <w:t>已按合同约定编制了甩项工作和缺陷修补工作清单以及相应的施工计划；</w:t>
      </w:r>
      <w:r>
        <w:rPr>
          <w:sz w:val="21"/>
        </w:rPr>
        <w:t xml:space="preserve"> </w:t>
      </w:r>
    </w:p>
    <w:p w14:paraId="31F65D93">
      <w:pPr>
        <w:pStyle w:val="17"/>
        <w:spacing w:before="4"/>
        <w:rPr>
          <w:sz w:val="15"/>
        </w:rPr>
      </w:pPr>
    </w:p>
    <w:p w14:paraId="37A60455">
      <w:pPr>
        <w:pStyle w:val="317"/>
        <w:numPr>
          <w:ilvl w:val="0"/>
          <w:numId w:val="43"/>
        </w:numPr>
        <w:tabs>
          <w:tab w:val="left" w:pos="1109"/>
        </w:tabs>
        <w:ind w:left="1108" w:hanging="528"/>
        <w:rPr>
          <w:sz w:val="21"/>
        </w:rPr>
      </w:pPr>
      <w:r>
        <w:rPr>
          <w:spacing w:val="-1"/>
          <w:sz w:val="21"/>
        </w:rPr>
        <w:t>已按合同约定的内容和份数备齐竣工资料。</w:t>
      </w:r>
      <w:r>
        <w:rPr>
          <w:sz w:val="21"/>
        </w:rPr>
        <w:t xml:space="preserve"> </w:t>
      </w:r>
    </w:p>
    <w:p w14:paraId="2A21B25C">
      <w:pPr>
        <w:pStyle w:val="17"/>
        <w:spacing w:before="5"/>
        <w:rPr>
          <w:sz w:val="15"/>
        </w:rPr>
      </w:pPr>
    </w:p>
    <w:p w14:paraId="6E4E0E36">
      <w:pPr>
        <w:pStyle w:val="17"/>
        <w:ind w:left="581"/>
      </w:pPr>
      <w:r>
        <w:t>（4）</w:t>
      </w:r>
      <w:r>
        <w:rPr>
          <w:u w:val="single"/>
        </w:rPr>
        <w:t xml:space="preserve"> </w:t>
      </w:r>
      <w:r>
        <w:t xml:space="preserve">。 </w:t>
      </w:r>
    </w:p>
    <w:p w14:paraId="4A5FE433">
      <w:pPr>
        <w:pStyle w:val="17"/>
        <w:spacing w:before="10"/>
        <w:rPr>
          <w:sz w:val="9"/>
        </w:rPr>
      </w:pPr>
    </w:p>
    <w:p w14:paraId="71FBB077">
      <w:pPr>
        <w:pStyle w:val="17"/>
        <w:spacing w:before="71"/>
        <w:ind w:left="581"/>
      </w:pPr>
      <w:r>
        <w:t xml:space="preserve">工程竣工及竣工资料： </w:t>
      </w:r>
    </w:p>
    <w:p w14:paraId="37EF0D62">
      <w:pPr>
        <w:pStyle w:val="17"/>
        <w:spacing w:before="4"/>
        <w:rPr>
          <w:sz w:val="15"/>
        </w:rPr>
      </w:pPr>
    </w:p>
    <w:p w14:paraId="022E9C65">
      <w:pPr>
        <w:pStyle w:val="317"/>
        <w:numPr>
          <w:ilvl w:val="0"/>
          <w:numId w:val="44"/>
        </w:numPr>
        <w:tabs>
          <w:tab w:val="left" w:pos="1109"/>
        </w:tabs>
        <w:ind w:hanging="528"/>
        <w:rPr>
          <w:sz w:val="21"/>
        </w:rPr>
      </w:pPr>
      <w:r>
        <w:rPr>
          <w:spacing w:val="-3"/>
          <w:sz w:val="21"/>
          <w:u w:val="single"/>
        </w:rPr>
        <w:t xml:space="preserve">发包人应在收到承包人竣工报告后 </w:t>
      </w:r>
      <w:r>
        <w:rPr>
          <w:sz w:val="21"/>
          <w:u w:val="single"/>
        </w:rPr>
        <w:t>14</w:t>
      </w:r>
      <w:r>
        <w:rPr>
          <w:spacing w:val="-12"/>
          <w:sz w:val="21"/>
          <w:u w:val="single"/>
        </w:rPr>
        <w:t xml:space="preserve"> 天内组织设计单位、监理单位、质监等其他部门进行验</w:t>
      </w:r>
    </w:p>
    <w:p w14:paraId="3F29C889">
      <w:pPr>
        <w:pStyle w:val="17"/>
        <w:rPr>
          <w:sz w:val="11"/>
        </w:rPr>
      </w:pPr>
    </w:p>
    <w:p w14:paraId="005F4A6A">
      <w:pPr>
        <w:pStyle w:val="17"/>
        <w:spacing w:before="71"/>
        <w:ind w:left="161"/>
      </w:pPr>
      <w:r>
        <w:rPr>
          <w:u w:val="single"/>
        </w:rPr>
        <w:t>收，竣工日期以最后一次整改后通过竣工验收的时间为准</w:t>
      </w:r>
      <w:r>
        <w:t xml:space="preserve">。 </w:t>
      </w:r>
    </w:p>
    <w:p w14:paraId="6D14018E">
      <w:pPr>
        <w:pStyle w:val="17"/>
        <w:spacing w:before="10"/>
        <w:rPr>
          <w:sz w:val="9"/>
        </w:rPr>
      </w:pPr>
    </w:p>
    <w:p w14:paraId="05D749D3">
      <w:pPr>
        <w:pStyle w:val="317"/>
        <w:numPr>
          <w:ilvl w:val="0"/>
          <w:numId w:val="44"/>
        </w:numPr>
        <w:tabs>
          <w:tab w:val="left" w:pos="1109"/>
        </w:tabs>
        <w:spacing w:before="70"/>
        <w:ind w:hanging="528"/>
        <w:rPr>
          <w:sz w:val="21"/>
        </w:rPr>
      </w:pPr>
      <w:r>
        <w:rPr>
          <w:sz w:val="21"/>
          <w:u w:val="single"/>
        </w:rPr>
        <w:t>当工程具备竣工验收条件时，承包人应及时向发包人提交竣工报告及竣工资料、办理移交手</w:t>
      </w:r>
    </w:p>
    <w:p w14:paraId="53B6F903">
      <w:pPr>
        <w:pStyle w:val="17"/>
        <w:spacing w:before="11"/>
        <w:rPr>
          <w:sz w:val="9"/>
        </w:rPr>
      </w:pPr>
    </w:p>
    <w:p w14:paraId="54845DDE">
      <w:pPr>
        <w:pStyle w:val="17"/>
        <w:spacing w:before="70"/>
        <w:ind w:left="161"/>
      </w:pPr>
      <w:r>
        <w:rPr>
          <w:u w:val="single"/>
        </w:rPr>
        <w:t>续。否则发包人有权依据监理人出具的鉴定结论书，自行组织有关部门验收，并提出整改意见。承包人</w:t>
      </w:r>
    </w:p>
    <w:p w14:paraId="1E3FD3AA">
      <w:pPr>
        <w:pStyle w:val="17"/>
        <w:spacing w:before="11"/>
        <w:rPr>
          <w:sz w:val="9"/>
        </w:rPr>
      </w:pPr>
    </w:p>
    <w:p w14:paraId="3FAE57AE">
      <w:pPr>
        <w:pStyle w:val="17"/>
        <w:spacing w:before="70"/>
        <w:ind w:left="161"/>
      </w:pPr>
      <w:r>
        <w:rPr>
          <w:u w:val="single"/>
        </w:rPr>
        <w:t>必须按要求整改，并承担整改费用；如承包人拒绝按发包人提出的要求整改，发包人有权请第三方整改，</w:t>
      </w:r>
    </w:p>
    <w:p w14:paraId="1E5B0CD2">
      <w:pPr>
        <w:pStyle w:val="17"/>
        <w:spacing w:before="11"/>
        <w:rPr>
          <w:sz w:val="9"/>
        </w:rPr>
      </w:pPr>
    </w:p>
    <w:p w14:paraId="4D20228C">
      <w:pPr>
        <w:pStyle w:val="17"/>
        <w:spacing w:before="71"/>
        <w:ind w:left="161"/>
      </w:pPr>
      <w:r>
        <w:rPr>
          <w:u w:val="single"/>
        </w:rPr>
        <w:t>由此发生的整改费用从未付工程款中扣除，不足部分发包人有权向承包人追偿。当验收通过后具备交付</w:t>
      </w:r>
    </w:p>
    <w:p w14:paraId="26FF09B2">
      <w:pPr>
        <w:pStyle w:val="17"/>
        <w:spacing w:before="12"/>
        <w:rPr>
          <w:sz w:val="10"/>
        </w:rPr>
      </w:pPr>
    </w:p>
    <w:p w14:paraId="238FBB11">
      <w:pPr>
        <w:pStyle w:val="17"/>
        <w:spacing w:before="71"/>
        <w:ind w:left="161"/>
      </w:pPr>
      <w:r>
        <w:rPr>
          <w:u w:val="single"/>
        </w:rPr>
        <w:t>使用条件时，承包人不得以任何借口拒绝移交工程，否则，发包人有权强行使用，由此发生的一切后果，</w:t>
      </w:r>
    </w:p>
    <w:p w14:paraId="1DE329A6">
      <w:pPr>
        <w:pStyle w:val="17"/>
        <w:spacing w:before="10"/>
        <w:rPr>
          <w:sz w:val="9"/>
        </w:rPr>
      </w:pPr>
    </w:p>
    <w:p w14:paraId="72DFB6F2">
      <w:pPr>
        <w:pStyle w:val="17"/>
        <w:spacing w:before="71"/>
        <w:ind w:left="161"/>
      </w:pPr>
      <w:r>
        <w:rPr>
          <w:u w:val="single"/>
        </w:rPr>
        <w:t>由承包人负责</w:t>
      </w:r>
      <w:r>
        <w:t xml:space="preserve">。 </w:t>
      </w:r>
    </w:p>
    <w:p w14:paraId="2730E230">
      <w:pPr>
        <w:pStyle w:val="17"/>
        <w:spacing w:before="10"/>
        <w:rPr>
          <w:sz w:val="9"/>
        </w:rPr>
      </w:pPr>
    </w:p>
    <w:p w14:paraId="5FE2DE53">
      <w:pPr>
        <w:pStyle w:val="317"/>
        <w:numPr>
          <w:ilvl w:val="0"/>
          <w:numId w:val="44"/>
        </w:numPr>
        <w:tabs>
          <w:tab w:val="left" w:pos="1109"/>
        </w:tabs>
        <w:spacing w:before="71"/>
        <w:ind w:hanging="528"/>
        <w:rPr>
          <w:sz w:val="21"/>
        </w:rPr>
      </w:pPr>
      <w:r>
        <w:rPr>
          <w:spacing w:val="-2"/>
          <w:sz w:val="21"/>
        </w:rPr>
        <w:t>承包人提供竣工资料的约定：</w:t>
      </w:r>
      <w:r>
        <w:rPr>
          <w:spacing w:val="-3"/>
          <w:sz w:val="21"/>
          <w:u w:val="single"/>
        </w:rPr>
        <w:t>承包人提供纸质版竣工图三套，电子版竣工图二套</w:t>
      </w:r>
      <w:r>
        <w:rPr>
          <w:sz w:val="21"/>
          <w:u w:val="single"/>
        </w:rPr>
        <w:t>（刻光盘</w:t>
      </w:r>
      <w:r>
        <w:rPr>
          <w:spacing w:val="-20"/>
          <w:sz w:val="21"/>
          <w:u w:val="single"/>
        </w:rPr>
        <w:t>）</w:t>
      </w:r>
      <w:r>
        <w:rPr>
          <w:spacing w:val="-120"/>
          <w:sz w:val="21"/>
        </w:rPr>
        <w:t>。</w:t>
      </w:r>
      <w:r>
        <w:rPr>
          <w:sz w:val="21"/>
        </w:rPr>
        <w:t xml:space="preserve"> </w:t>
      </w:r>
    </w:p>
    <w:p w14:paraId="622F0E61">
      <w:pPr>
        <w:pStyle w:val="17"/>
        <w:spacing w:before="10"/>
        <w:rPr>
          <w:sz w:val="9"/>
        </w:rPr>
      </w:pPr>
    </w:p>
    <w:p w14:paraId="3F00EF34">
      <w:pPr>
        <w:pStyle w:val="17"/>
        <w:spacing w:before="71"/>
        <w:ind w:left="581"/>
      </w:pPr>
      <w:r>
        <w:t xml:space="preserve">13.2.5 移交、接收全部与部分工程 </w:t>
      </w:r>
    </w:p>
    <w:p w14:paraId="17117A58">
      <w:pPr>
        <w:pStyle w:val="17"/>
        <w:spacing w:before="4"/>
        <w:rPr>
          <w:sz w:val="15"/>
        </w:rPr>
      </w:pPr>
    </w:p>
    <w:p w14:paraId="55178306">
      <w:pPr>
        <w:pStyle w:val="17"/>
        <w:ind w:left="581"/>
      </w:pPr>
      <w:r>
        <w:t>承包人向发包人移交工程的期限：</w:t>
      </w:r>
      <w:r>
        <w:rPr>
          <w:u w:val="single"/>
        </w:rPr>
        <w:t>颁发工程接收证书后 7 天内完成工程的移交</w:t>
      </w:r>
      <w:r>
        <w:t xml:space="preserve">。 </w:t>
      </w:r>
    </w:p>
    <w:p w14:paraId="15FB6F1E">
      <w:pPr>
        <w:pStyle w:val="17"/>
        <w:rPr>
          <w:sz w:val="11"/>
        </w:rPr>
      </w:pPr>
    </w:p>
    <w:p w14:paraId="75A34692">
      <w:pPr>
        <w:pStyle w:val="17"/>
        <w:spacing w:before="71"/>
        <w:ind w:left="581"/>
      </w:pPr>
      <w:r>
        <w:rPr>
          <w:u w:val="single"/>
        </w:rPr>
        <w:t>发包人未按合同约定接收全部或部分工程的，违约金的计算方法为：发包人自应当接收工程之日起</w:t>
      </w:r>
    </w:p>
    <w:p w14:paraId="3AFFE52B">
      <w:pPr>
        <w:pStyle w:val="17"/>
        <w:spacing w:before="10"/>
        <w:rPr>
          <w:sz w:val="9"/>
        </w:rPr>
      </w:pPr>
    </w:p>
    <w:p w14:paraId="24C5760F">
      <w:pPr>
        <w:pStyle w:val="17"/>
        <w:spacing w:before="71"/>
        <w:ind w:left="161"/>
      </w:pPr>
      <w:r>
        <w:rPr>
          <w:u w:val="single"/>
        </w:rPr>
        <w:t>承担工程照管、成品保护、保管等与工程有关的各项费用。</w:t>
      </w:r>
      <w:r>
        <w:t xml:space="preserve"> </w:t>
      </w:r>
    </w:p>
    <w:p w14:paraId="23FC3AE3">
      <w:pPr>
        <w:pStyle w:val="17"/>
        <w:spacing w:before="10"/>
        <w:rPr>
          <w:sz w:val="9"/>
        </w:rPr>
      </w:pPr>
    </w:p>
    <w:p w14:paraId="6E9DA338">
      <w:pPr>
        <w:pStyle w:val="17"/>
        <w:spacing w:before="70"/>
        <w:ind w:left="581"/>
      </w:pPr>
      <w:r>
        <w:t>因承包人自身原因未按时移交工程的，违约金的计算方法为：</w:t>
      </w:r>
      <w:r>
        <w:rPr>
          <w:u w:val="single"/>
        </w:rPr>
        <w:t>承包人应承担工程照管、成品保护、</w:t>
      </w:r>
    </w:p>
    <w:p w14:paraId="2CB277E6">
      <w:pPr>
        <w:pStyle w:val="17"/>
        <w:spacing w:before="11"/>
        <w:rPr>
          <w:sz w:val="9"/>
        </w:rPr>
      </w:pPr>
    </w:p>
    <w:p w14:paraId="397E0FD7">
      <w:pPr>
        <w:pStyle w:val="17"/>
        <w:spacing w:before="70"/>
        <w:ind w:left="161"/>
      </w:pPr>
      <w:r>
        <w:rPr>
          <w:u w:val="single"/>
        </w:rPr>
        <w:t>保管等与工程有关的各项费用，并按经审定结算金额的 0.5‰/天支付违约金</w:t>
      </w:r>
      <w:r>
        <w:t xml:space="preserve">。 </w:t>
      </w:r>
    </w:p>
    <w:p w14:paraId="369CDEDD">
      <w:pPr>
        <w:pStyle w:val="17"/>
        <w:spacing w:before="11"/>
        <w:rPr>
          <w:sz w:val="9"/>
        </w:rPr>
      </w:pPr>
    </w:p>
    <w:p w14:paraId="1B422BCC">
      <w:pPr>
        <w:pStyle w:val="3"/>
        <w:numPr>
          <w:ilvl w:val="1"/>
          <w:numId w:val="5"/>
        </w:numPr>
        <w:tabs>
          <w:tab w:val="left" w:pos="1048"/>
        </w:tabs>
        <w:spacing w:before="3"/>
        <w:ind w:left="1047" w:hanging="467"/>
      </w:pPr>
      <w:r>
        <w:rPr>
          <w:spacing w:val="11"/>
        </w:rPr>
        <w:t>工程试车</w:t>
      </w:r>
      <w:r>
        <w:rPr>
          <w:w w:val="167"/>
        </w:rPr>
        <w:t xml:space="preserve"> </w:t>
      </w:r>
    </w:p>
    <w:p w14:paraId="7053231E">
      <w:pPr>
        <w:pStyle w:val="317"/>
        <w:numPr>
          <w:ilvl w:val="2"/>
          <w:numId w:val="5"/>
        </w:numPr>
        <w:tabs>
          <w:tab w:val="left" w:pos="1213"/>
        </w:tabs>
        <w:spacing w:before="161"/>
        <w:ind w:left="1213" w:hanging="632"/>
        <w:jc w:val="left"/>
        <w:rPr>
          <w:sz w:val="19"/>
        </w:rPr>
      </w:pPr>
      <w:r>
        <w:rPr>
          <w:sz w:val="21"/>
        </w:rPr>
        <w:t xml:space="preserve">试车程序 </w:t>
      </w:r>
    </w:p>
    <w:p w14:paraId="4220BEA7">
      <w:pPr>
        <w:pStyle w:val="17"/>
        <w:spacing w:before="4"/>
        <w:rPr>
          <w:sz w:val="15"/>
        </w:rPr>
      </w:pPr>
    </w:p>
    <w:p w14:paraId="43F78D24">
      <w:pPr>
        <w:pStyle w:val="17"/>
        <w:ind w:left="581"/>
      </w:pPr>
      <w:r>
        <w:t>工程试车内容：</w:t>
      </w:r>
      <w:r>
        <w:rPr>
          <w:u w:val="single"/>
        </w:rPr>
        <w:t>按通用合同条款执行</w:t>
      </w:r>
      <w:r>
        <w:t xml:space="preserve">。 </w:t>
      </w:r>
    </w:p>
    <w:p w14:paraId="3ABC3240">
      <w:pPr>
        <w:sectPr>
          <w:pgSz w:w="11910" w:h="16850"/>
          <w:pgMar w:top="1440" w:right="1080" w:bottom="1440" w:left="1080" w:header="0" w:footer="996" w:gutter="0"/>
          <w:cols w:space="720" w:num="1"/>
        </w:sectPr>
      </w:pPr>
    </w:p>
    <w:p w14:paraId="1B3F10A8">
      <w:pPr>
        <w:pStyle w:val="317"/>
        <w:numPr>
          <w:ilvl w:val="0"/>
          <w:numId w:val="45"/>
        </w:numPr>
        <w:tabs>
          <w:tab w:val="left" w:pos="1274"/>
        </w:tabs>
        <w:spacing w:before="46"/>
        <w:ind w:hanging="528"/>
        <w:rPr>
          <w:sz w:val="21"/>
        </w:rPr>
      </w:pPr>
      <w:r>
        <w:rPr>
          <w:spacing w:val="-1"/>
          <w:sz w:val="21"/>
        </w:rPr>
        <w:t>单机无负荷试车费用由</w:t>
      </w:r>
      <w:r>
        <w:rPr>
          <w:sz w:val="21"/>
          <w:u w:val="single"/>
        </w:rPr>
        <w:t>承包人</w:t>
      </w:r>
      <w:r>
        <w:rPr>
          <w:sz w:val="21"/>
        </w:rPr>
        <w:t xml:space="preserve">承担； </w:t>
      </w:r>
    </w:p>
    <w:p w14:paraId="5EBB9840">
      <w:pPr>
        <w:pStyle w:val="17"/>
        <w:spacing w:before="11"/>
        <w:rPr>
          <w:sz w:val="9"/>
        </w:rPr>
      </w:pPr>
    </w:p>
    <w:p w14:paraId="3B7D5C49">
      <w:pPr>
        <w:pStyle w:val="317"/>
        <w:numPr>
          <w:ilvl w:val="0"/>
          <w:numId w:val="45"/>
        </w:numPr>
        <w:tabs>
          <w:tab w:val="left" w:pos="1274"/>
        </w:tabs>
        <w:spacing w:before="70"/>
        <w:ind w:hanging="528"/>
        <w:rPr>
          <w:sz w:val="21"/>
        </w:rPr>
      </w:pPr>
      <w:r>
        <w:rPr>
          <w:spacing w:val="-1"/>
          <w:sz w:val="21"/>
        </w:rPr>
        <w:t>无负荷联动试车费用由</w:t>
      </w:r>
      <w:r>
        <w:rPr>
          <w:sz w:val="21"/>
          <w:u w:val="single"/>
        </w:rPr>
        <w:t>承包人</w:t>
      </w:r>
      <w:r>
        <w:rPr>
          <w:sz w:val="21"/>
        </w:rPr>
        <w:t xml:space="preserve">承担。 </w:t>
      </w:r>
    </w:p>
    <w:p w14:paraId="2EE53A52">
      <w:pPr>
        <w:pStyle w:val="17"/>
        <w:spacing w:before="10"/>
        <w:rPr>
          <w:sz w:val="9"/>
        </w:rPr>
      </w:pPr>
    </w:p>
    <w:p w14:paraId="3C6A60AA">
      <w:pPr>
        <w:pStyle w:val="3"/>
        <w:numPr>
          <w:ilvl w:val="1"/>
          <w:numId w:val="46"/>
        </w:numPr>
        <w:tabs>
          <w:tab w:val="left" w:pos="1213"/>
        </w:tabs>
        <w:spacing w:before="4"/>
        <w:ind w:hanging="467"/>
      </w:pPr>
      <w:r>
        <w:rPr>
          <w:spacing w:val="11"/>
        </w:rPr>
        <w:t>竣工退场</w:t>
      </w:r>
      <w:r>
        <w:rPr>
          <w:w w:val="167"/>
        </w:rPr>
        <w:t xml:space="preserve"> </w:t>
      </w:r>
    </w:p>
    <w:p w14:paraId="47B0BA98">
      <w:pPr>
        <w:pStyle w:val="317"/>
        <w:numPr>
          <w:ilvl w:val="2"/>
          <w:numId w:val="46"/>
        </w:numPr>
        <w:tabs>
          <w:tab w:val="left" w:pos="1378"/>
        </w:tabs>
        <w:spacing w:before="160"/>
        <w:ind w:hanging="632"/>
        <w:rPr>
          <w:sz w:val="21"/>
        </w:rPr>
      </w:pPr>
      <w:r>
        <w:rPr>
          <w:sz w:val="21"/>
        </w:rPr>
        <w:t xml:space="preserve">竣工退场 </w:t>
      </w:r>
    </w:p>
    <w:p w14:paraId="76308B7B">
      <w:pPr>
        <w:pStyle w:val="17"/>
        <w:spacing w:before="4"/>
        <w:rPr>
          <w:sz w:val="15"/>
        </w:rPr>
      </w:pPr>
    </w:p>
    <w:p w14:paraId="2062E426">
      <w:pPr>
        <w:pStyle w:val="17"/>
        <w:spacing w:before="1"/>
        <w:ind w:left="746"/>
      </w:pPr>
      <w:r>
        <w:t>承包人完成竣工退场的期限：</w:t>
      </w:r>
      <w:r>
        <w:rPr>
          <w:u w:val="single"/>
        </w:rPr>
        <w:t>工程接收证书颁发后 28 天内，承包人的施工人员、剩余材料、施工</w:t>
      </w:r>
    </w:p>
    <w:p w14:paraId="6819AD18">
      <w:pPr>
        <w:pStyle w:val="17"/>
        <w:spacing w:before="10"/>
        <w:rPr>
          <w:sz w:val="9"/>
        </w:rPr>
      </w:pPr>
    </w:p>
    <w:p w14:paraId="03CF9040">
      <w:pPr>
        <w:pStyle w:val="17"/>
        <w:spacing w:before="71"/>
        <w:ind w:left="326"/>
      </w:pPr>
      <w:r>
        <w:rPr>
          <w:spacing w:val="-1"/>
          <w:u w:val="single"/>
        </w:rPr>
        <w:t>设备和临时工程应完全撤离施工场地并对施工场地进行清理、平整、复原，直至监理人检验合格为止，</w:t>
      </w:r>
    </w:p>
    <w:p w14:paraId="5FF18880">
      <w:pPr>
        <w:pStyle w:val="17"/>
        <w:spacing w:before="10"/>
        <w:rPr>
          <w:sz w:val="9"/>
        </w:rPr>
      </w:pPr>
    </w:p>
    <w:p w14:paraId="78664AF5">
      <w:pPr>
        <w:pStyle w:val="17"/>
        <w:spacing w:before="71"/>
        <w:ind w:left="326"/>
      </w:pPr>
      <w:r>
        <w:rPr>
          <w:u w:val="single"/>
        </w:rPr>
        <w:t>由此发生的费用已包含在签约合同价内。承包人未在限期内拆除的，发包人可委托其他单位代为拆除，</w:t>
      </w:r>
    </w:p>
    <w:p w14:paraId="08DCFF41">
      <w:pPr>
        <w:pStyle w:val="17"/>
        <w:spacing w:before="10"/>
        <w:rPr>
          <w:sz w:val="9"/>
        </w:rPr>
      </w:pPr>
    </w:p>
    <w:p w14:paraId="375C4EB5">
      <w:pPr>
        <w:pStyle w:val="17"/>
        <w:spacing w:before="71"/>
        <w:ind w:left="326"/>
      </w:pPr>
      <w:r>
        <w:rPr>
          <w:spacing w:val="-5"/>
          <w:u w:val="single"/>
        </w:rPr>
        <w:t>由此发生的费用</w:t>
      </w:r>
      <w:r>
        <w:rPr>
          <w:u w:val="single"/>
        </w:rPr>
        <w:t>（发包人可从应付承包人的款项中扣除</w:t>
      </w:r>
      <w:r>
        <w:rPr>
          <w:spacing w:val="-30"/>
          <w:u w:val="single"/>
        </w:rPr>
        <w:t>）</w:t>
      </w:r>
      <w:r>
        <w:rPr>
          <w:spacing w:val="-5"/>
          <w:u w:val="single"/>
        </w:rPr>
        <w:t>由承包人承担，承包人还应按审定结算金额的</w:t>
      </w:r>
    </w:p>
    <w:p w14:paraId="5DE90FC8">
      <w:pPr>
        <w:pStyle w:val="17"/>
        <w:spacing w:before="12"/>
        <w:rPr>
          <w:sz w:val="10"/>
        </w:rPr>
      </w:pPr>
    </w:p>
    <w:p w14:paraId="5179FC94">
      <w:pPr>
        <w:pStyle w:val="17"/>
        <w:spacing w:before="71"/>
        <w:ind w:left="326"/>
      </w:pPr>
      <w:r>
        <w:rPr>
          <w:u w:val="single"/>
        </w:rPr>
        <w:t>0.5‰/</w:t>
      </w:r>
      <w:r>
        <w:rPr>
          <w:spacing w:val="-6"/>
          <w:u w:val="single"/>
        </w:rPr>
        <w:t>天的标准向发包人支付违约金。因工程维修需要部分人员必须留在施工现场的，需征得发包人同</w:t>
      </w:r>
    </w:p>
    <w:p w14:paraId="3DD4C646">
      <w:pPr>
        <w:pStyle w:val="17"/>
        <w:spacing w:before="10"/>
        <w:rPr>
          <w:sz w:val="9"/>
        </w:rPr>
      </w:pPr>
    </w:p>
    <w:p w14:paraId="13F40C67">
      <w:pPr>
        <w:pStyle w:val="17"/>
        <w:spacing w:before="71"/>
        <w:ind w:left="326"/>
      </w:pPr>
      <w:r>
        <w:rPr>
          <w:u w:val="single"/>
        </w:rPr>
        <w:t>意</w:t>
      </w:r>
      <w:r>
        <w:t xml:space="preserve">。 </w:t>
      </w:r>
    </w:p>
    <w:p w14:paraId="0E60EB9E">
      <w:pPr>
        <w:pStyle w:val="17"/>
        <w:spacing w:before="7"/>
      </w:pPr>
    </w:p>
    <w:p w14:paraId="746E903D">
      <w:pPr>
        <w:pStyle w:val="3"/>
        <w:numPr>
          <w:ilvl w:val="0"/>
          <w:numId w:val="5"/>
        </w:numPr>
        <w:tabs>
          <w:tab w:val="left" w:pos="687"/>
        </w:tabs>
        <w:spacing w:before="3"/>
        <w:ind w:left="686" w:hanging="361"/>
        <w:jc w:val="left"/>
      </w:pPr>
      <w:r>
        <w:rPr>
          <w:spacing w:val="7"/>
        </w:rPr>
        <w:t>竣工结算</w:t>
      </w:r>
      <w:r>
        <w:rPr>
          <w:spacing w:val="7"/>
          <w:w w:val="167"/>
        </w:rPr>
        <w:t xml:space="preserve"> </w:t>
      </w:r>
    </w:p>
    <w:p w14:paraId="307113B0">
      <w:pPr>
        <w:pStyle w:val="17"/>
        <w:spacing w:before="4"/>
        <w:rPr>
          <w:rFonts w:ascii="微软雅黑"/>
          <w:b/>
          <w:sz w:val="13"/>
        </w:rPr>
      </w:pPr>
    </w:p>
    <w:p w14:paraId="2FB46D05">
      <w:pPr>
        <w:pStyle w:val="317"/>
        <w:numPr>
          <w:ilvl w:val="1"/>
          <w:numId w:val="5"/>
        </w:numPr>
        <w:tabs>
          <w:tab w:val="left" w:pos="1213"/>
        </w:tabs>
        <w:ind w:left="1212" w:hanging="467"/>
        <w:rPr>
          <w:rFonts w:ascii="微软雅黑" w:eastAsia="微软雅黑"/>
          <w:b/>
          <w:sz w:val="21"/>
        </w:rPr>
      </w:pPr>
      <w:r>
        <w:rPr>
          <w:rFonts w:hint="eastAsia" w:ascii="微软雅黑" w:eastAsia="微软雅黑"/>
          <w:b/>
          <w:spacing w:val="6"/>
          <w:sz w:val="21"/>
        </w:rPr>
        <w:t>竣工结算申请</w:t>
      </w:r>
      <w:r>
        <w:rPr>
          <w:rFonts w:hint="eastAsia" w:ascii="微软雅黑" w:eastAsia="微软雅黑"/>
          <w:b/>
          <w:spacing w:val="6"/>
          <w:w w:val="167"/>
          <w:sz w:val="21"/>
        </w:rPr>
        <w:t xml:space="preserve"> </w:t>
      </w:r>
    </w:p>
    <w:p w14:paraId="77AE4C43">
      <w:pPr>
        <w:pStyle w:val="17"/>
        <w:spacing w:before="146"/>
        <w:ind w:left="746"/>
      </w:pPr>
      <w:r>
        <w:t>承包人提交竣工结算申请单的期限：</w:t>
      </w:r>
      <w:r>
        <w:rPr>
          <w:u w:val="single"/>
        </w:rPr>
        <w:t>承包人应在工程竣工验收合格且报送完整工程竣工资料之日起</w:t>
      </w:r>
    </w:p>
    <w:p w14:paraId="0B2CB7D0">
      <w:pPr>
        <w:pStyle w:val="17"/>
        <w:spacing w:before="10"/>
        <w:rPr>
          <w:sz w:val="9"/>
        </w:rPr>
      </w:pPr>
    </w:p>
    <w:p w14:paraId="7F0B972F">
      <w:pPr>
        <w:pStyle w:val="17"/>
        <w:spacing w:before="71"/>
        <w:ind w:left="326"/>
      </w:pPr>
      <w:r>
        <w:rPr>
          <w:u w:val="single"/>
        </w:rPr>
        <w:t>28 天内向监理人、发包人提交竣工结算申请单，并向发包人报送完整的工程竣工资料及经监理人初审</w:t>
      </w:r>
    </w:p>
    <w:p w14:paraId="6546DD31">
      <w:pPr>
        <w:pStyle w:val="17"/>
        <w:spacing w:before="12"/>
        <w:rPr>
          <w:sz w:val="10"/>
        </w:rPr>
      </w:pPr>
    </w:p>
    <w:p w14:paraId="2A708CD2">
      <w:pPr>
        <w:pStyle w:val="17"/>
        <w:spacing w:before="71"/>
        <w:ind w:left="326"/>
      </w:pPr>
      <w:r>
        <w:rPr>
          <w:u w:val="single"/>
        </w:rPr>
        <w:t>确认的完整的竣工结算资料。监理人或发包人对竣工结算申请单有异议的，应在接到竣工结算申请单后</w:t>
      </w:r>
    </w:p>
    <w:p w14:paraId="51D1632C">
      <w:pPr>
        <w:pStyle w:val="17"/>
        <w:spacing w:before="10"/>
        <w:rPr>
          <w:sz w:val="9"/>
        </w:rPr>
      </w:pPr>
    </w:p>
    <w:p w14:paraId="4DE63C09">
      <w:pPr>
        <w:pStyle w:val="17"/>
        <w:spacing w:before="71"/>
        <w:ind w:left="326"/>
      </w:pPr>
      <w:r>
        <w:rPr>
          <w:u w:val="single"/>
        </w:rPr>
        <w:t>14</w:t>
      </w:r>
      <w:r>
        <w:rPr>
          <w:spacing w:val="-7"/>
          <w:u w:val="single"/>
        </w:rPr>
        <w:t xml:space="preserve"> 天内要求承包人进行修正和提供补充资料，承包人在接到监理人或发包人提出的审核意见后，应在</w:t>
      </w:r>
    </w:p>
    <w:p w14:paraId="76ED8C03">
      <w:pPr>
        <w:pStyle w:val="17"/>
        <w:spacing w:before="10"/>
        <w:rPr>
          <w:sz w:val="9"/>
        </w:rPr>
      </w:pPr>
    </w:p>
    <w:p w14:paraId="64E43988">
      <w:pPr>
        <w:pStyle w:val="17"/>
        <w:spacing w:before="71"/>
        <w:ind w:left="326"/>
      </w:pPr>
      <w:r>
        <w:rPr>
          <w:u w:val="single"/>
        </w:rPr>
        <w:t>28</w:t>
      </w:r>
      <w:r>
        <w:rPr>
          <w:spacing w:val="-7"/>
          <w:u w:val="single"/>
        </w:rPr>
        <w:t xml:space="preserve"> 天内按监理人或发包人提出的合理要求补充资料、修改竣工结算资料，并再次提交监理人或发包人</w:t>
      </w:r>
    </w:p>
    <w:p w14:paraId="5B88B331">
      <w:pPr>
        <w:pStyle w:val="17"/>
        <w:spacing w:before="10"/>
        <w:rPr>
          <w:sz w:val="9"/>
        </w:rPr>
      </w:pPr>
    </w:p>
    <w:p w14:paraId="507F7B2B">
      <w:pPr>
        <w:pStyle w:val="17"/>
        <w:spacing w:before="71"/>
        <w:ind w:left="326"/>
      </w:pPr>
      <w:r>
        <w:rPr>
          <w:u w:val="single"/>
        </w:rPr>
        <w:t>审核。承包人未在规定时间内报送竣工结算资料给发包人造成经济损失的，承包人应承担赔偿责任。</w:t>
      </w:r>
      <w:r>
        <w:t xml:space="preserve"> </w:t>
      </w:r>
    </w:p>
    <w:p w14:paraId="491DEFED">
      <w:pPr>
        <w:pStyle w:val="17"/>
        <w:spacing w:before="10"/>
        <w:rPr>
          <w:sz w:val="9"/>
        </w:rPr>
      </w:pPr>
    </w:p>
    <w:p w14:paraId="631F07D4">
      <w:pPr>
        <w:pStyle w:val="17"/>
        <w:spacing w:before="71"/>
        <w:ind w:left="746"/>
      </w:pPr>
      <w:r>
        <w:t xml:space="preserve">竣工结算申请单包括但不限于以下内容： </w:t>
      </w:r>
    </w:p>
    <w:p w14:paraId="2288B0FA">
      <w:pPr>
        <w:pStyle w:val="17"/>
        <w:spacing w:before="6"/>
        <w:rPr>
          <w:sz w:val="16"/>
        </w:rPr>
      </w:pPr>
    </w:p>
    <w:p w14:paraId="24889241">
      <w:pPr>
        <w:pStyle w:val="317"/>
        <w:numPr>
          <w:ilvl w:val="0"/>
          <w:numId w:val="47"/>
        </w:numPr>
        <w:tabs>
          <w:tab w:val="left" w:pos="1274"/>
        </w:tabs>
        <w:ind w:hanging="528"/>
        <w:rPr>
          <w:sz w:val="21"/>
        </w:rPr>
      </w:pPr>
      <w:r>
        <w:rPr>
          <w:sz w:val="21"/>
        </w:rPr>
        <w:t xml:space="preserve">竣工结算合同价格； </w:t>
      </w:r>
    </w:p>
    <w:p w14:paraId="4CB3D9B0">
      <w:pPr>
        <w:pStyle w:val="17"/>
        <w:spacing w:before="4"/>
        <w:rPr>
          <w:sz w:val="15"/>
        </w:rPr>
      </w:pPr>
    </w:p>
    <w:p w14:paraId="2091A632">
      <w:pPr>
        <w:pStyle w:val="317"/>
        <w:numPr>
          <w:ilvl w:val="0"/>
          <w:numId w:val="47"/>
        </w:numPr>
        <w:tabs>
          <w:tab w:val="left" w:pos="1274"/>
        </w:tabs>
        <w:spacing w:before="1"/>
        <w:ind w:hanging="528"/>
        <w:rPr>
          <w:sz w:val="21"/>
        </w:rPr>
      </w:pPr>
      <w:r>
        <w:rPr>
          <w:sz w:val="21"/>
        </w:rPr>
        <w:t xml:space="preserve">变更增减金额； </w:t>
      </w:r>
    </w:p>
    <w:p w14:paraId="0B64DF93">
      <w:pPr>
        <w:pStyle w:val="17"/>
        <w:spacing w:before="4"/>
        <w:rPr>
          <w:sz w:val="15"/>
        </w:rPr>
      </w:pPr>
    </w:p>
    <w:p w14:paraId="2F9C18BA">
      <w:pPr>
        <w:pStyle w:val="317"/>
        <w:numPr>
          <w:ilvl w:val="0"/>
          <w:numId w:val="47"/>
        </w:numPr>
        <w:tabs>
          <w:tab w:val="left" w:pos="1274"/>
        </w:tabs>
        <w:ind w:hanging="528"/>
        <w:rPr>
          <w:sz w:val="21"/>
        </w:rPr>
      </w:pPr>
      <w:r>
        <w:rPr>
          <w:sz w:val="21"/>
        </w:rPr>
        <w:t xml:space="preserve">现场签证增减金额； </w:t>
      </w:r>
    </w:p>
    <w:p w14:paraId="345F00B9">
      <w:pPr>
        <w:pStyle w:val="17"/>
        <w:spacing w:before="3"/>
        <w:rPr>
          <w:sz w:val="15"/>
        </w:rPr>
      </w:pPr>
    </w:p>
    <w:p w14:paraId="2AB5C9CF">
      <w:pPr>
        <w:pStyle w:val="317"/>
        <w:numPr>
          <w:ilvl w:val="0"/>
          <w:numId w:val="47"/>
        </w:numPr>
        <w:tabs>
          <w:tab w:val="left" w:pos="1274"/>
        </w:tabs>
        <w:spacing w:before="1"/>
        <w:ind w:hanging="528"/>
        <w:rPr>
          <w:sz w:val="21"/>
        </w:rPr>
      </w:pPr>
      <w:r>
        <w:rPr>
          <w:sz w:val="21"/>
        </w:rPr>
        <w:t xml:space="preserve">索赔增减金额； </w:t>
      </w:r>
    </w:p>
    <w:p w14:paraId="69CBC513">
      <w:pPr>
        <w:pStyle w:val="17"/>
        <w:spacing w:before="4"/>
        <w:rPr>
          <w:sz w:val="15"/>
        </w:rPr>
      </w:pPr>
    </w:p>
    <w:p w14:paraId="4BEDDCF6">
      <w:pPr>
        <w:pStyle w:val="317"/>
        <w:numPr>
          <w:ilvl w:val="0"/>
          <w:numId w:val="47"/>
        </w:numPr>
        <w:tabs>
          <w:tab w:val="left" w:pos="1274"/>
        </w:tabs>
        <w:ind w:hanging="528"/>
        <w:rPr>
          <w:sz w:val="21"/>
        </w:rPr>
      </w:pPr>
      <w:r>
        <w:rPr>
          <w:sz w:val="21"/>
        </w:rPr>
        <w:t xml:space="preserve">奖励、罚金及违约金； </w:t>
      </w:r>
    </w:p>
    <w:p w14:paraId="0DCE5041">
      <w:pPr>
        <w:pStyle w:val="17"/>
        <w:spacing w:before="6"/>
        <w:rPr>
          <w:sz w:val="16"/>
        </w:rPr>
      </w:pPr>
    </w:p>
    <w:p w14:paraId="3213A512">
      <w:pPr>
        <w:pStyle w:val="317"/>
        <w:numPr>
          <w:ilvl w:val="0"/>
          <w:numId w:val="47"/>
        </w:numPr>
        <w:tabs>
          <w:tab w:val="left" w:pos="1274"/>
        </w:tabs>
        <w:ind w:hanging="528"/>
        <w:rPr>
          <w:sz w:val="21"/>
        </w:rPr>
      </w:pPr>
      <w:r>
        <w:rPr>
          <w:spacing w:val="-1"/>
          <w:sz w:val="21"/>
        </w:rPr>
        <w:t>发包人已支付承包人的款项；</w:t>
      </w:r>
      <w:r>
        <w:rPr>
          <w:sz w:val="21"/>
        </w:rPr>
        <w:t xml:space="preserve"> </w:t>
      </w:r>
    </w:p>
    <w:p w14:paraId="1E83A669">
      <w:pPr>
        <w:pStyle w:val="17"/>
        <w:spacing w:before="4"/>
        <w:rPr>
          <w:sz w:val="15"/>
        </w:rPr>
      </w:pPr>
    </w:p>
    <w:p w14:paraId="73B5BCB1">
      <w:pPr>
        <w:pStyle w:val="317"/>
        <w:numPr>
          <w:ilvl w:val="0"/>
          <w:numId w:val="47"/>
        </w:numPr>
        <w:tabs>
          <w:tab w:val="left" w:pos="1274"/>
        </w:tabs>
        <w:spacing w:before="1"/>
        <w:ind w:hanging="528"/>
        <w:rPr>
          <w:sz w:val="21"/>
        </w:rPr>
      </w:pPr>
      <w:r>
        <w:rPr>
          <w:sz w:val="21"/>
        </w:rPr>
        <w:t xml:space="preserve">应扣留的质量保证金； </w:t>
      </w:r>
    </w:p>
    <w:p w14:paraId="4F4BE76E">
      <w:pPr>
        <w:pStyle w:val="17"/>
        <w:spacing w:before="4"/>
        <w:rPr>
          <w:sz w:val="15"/>
        </w:rPr>
      </w:pPr>
    </w:p>
    <w:p w14:paraId="69981F51">
      <w:pPr>
        <w:pStyle w:val="317"/>
        <w:numPr>
          <w:ilvl w:val="0"/>
          <w:numId w:val="47"/>
        </w:numPr>
        <w:tabs>
          <w:tab w:val="left" w:pos="1274"/>
        </w:tabs>
        <w:ind w:hanging="528"/>
        <w:rPr>
          <w:sz w:val="21"/>
        </w:rPr>
      </w:pPr>
      <w:r>
        <w:rPr>
          <w:spacing w:val="-1"/>
          <w:sz w:val="21"/>
        </w:rPr>
        <w:t>发包人应支付承包人的合同价款。</w:t>
      </w:r>
      <w:r>
        <w:rPr>
          <w:sz w:val="21"/>
        </w:rPr>
        <w:t xml:space="preserve"> </w:t>
      </w:r>
    </w:p>
    <w:p w14:paraId="615DE374">
      <w:pPr>
        <w:pStyle w:val="17"/>
        <w:spacing w:before="4"/>
        <w:rPr>
          <w:sz w:val="15"/>
        </w:rPr>
      </w:pPr>
    </w:p>
    <w:p w14:paraId="740FCEEF">
      <w:pPr>
        <w:pStyle w:val="17"/>
        <w:ind w:left="746"/>
      </w:pPr>
      <w:r>
        <w:t>（9）</w:t>
      </w:r>
      <w:r>
        <w:rPr>
          <w:u w:val="single"/>
        </w:rPr>
        <w:t xml:space="preserve"> </w:t>
      </w:r>
      <w:r>
        <w:t xml:space="preserve">。 </w:t>
      </w:r>
    </w:p>
    <w:p w14:paraId="1A359847">
      <w:pPr>
        <w:pStyle w:val="17"/>
        <w:spacing w:before="10"/>
        <w:rPr>
          <w:sz w:val="9"/>
        </w:rPr>
      </w:pPr>
    </w:p>
    <w:p w14:paraId="5EA9FA4B">
      <w:pPr>
        <w:pStyle w:val="3"/>
        <w:numPr>
          <w:ilvl w:val="1"/>
          <w:numId w:val="5"/>
        </w:numPr>
        <w:tabs>
          <w:tab w:val="left" w:pos="1213"/>
        </w:tabs>
        <w:spacing w:before="4"/>
        <w:ind w:left="1212" w:hanging="467"/>
      </w:pPr>
      <w:r>
        <w:rPr>
          <w:spacing w:val="6"/>
        </w:rPr>
        <w:t>竣工结算审核</w:t>
      </w:r>
      <w:r>
        <w:rPr>
          <w:spacing w:val="6"/>
          <w:w w:val="167"/>
        </w:rPr>
        <w:t xml:space="preserve"> </w:t>
      </w:r>
    </w:p>
    <w:p w14:paraId="5FF0C97C">
      <w:pPr>
        <w:sectPr>
          <w:pgSz w:w="11910" w:h="16850"/>
          <w:pgMar w:top="1440" w:right="1080" w:bottom="1440" w:left="1080" w:header="0" w:footer="996" w:gutter="0"/>
          <w:cols w:space="720" w:num="1"/>
        </w:sectPr>
      </w:pPr>
    </w:p>
    <w:p w14:paraId="7F9312AE">
      <w:pPr>
        <w:pStyle w:val="317"/>
        <w:numPr>
          <w:ilvl w:val="2"/>
          <w:numId w:val="5"/>
        </w:numPr>
        <w:tabs>
          <w:tab w:val="left" w:pos="1213"/>
        </w:tabs>
        <w:spacing w:before="46"/>
        <w:ind w:left="1213" w:hanging="632"/>
        <w:jc w:val="left"/>
        <w:rPr>
          <w:sz w:val="19"/>
        </w:rPr>
      </w:pPr>
      <w:r>
        <w:rPr>
          <w:spacing w:val="-1"/>
          <w:sz w:val="21"/>
        </w:rPr>
        <w:t xml:space="preserve">竣工结算办法 </w:t>
      </w:r>
    </w:p>
    <w:p w14:paraId="18F9DFA1">
      <w:pPr>
        <w:pStyle w:val="17"/>
        <w:spacing w:before="4"/>
        <w:rPr>
          <w:sz w:val="15"/>
        </w:rPr>
      </w:pPr>
    </w:p>
    <w:p w14:paraId="13DF8EA2">
      <w:pPr>
        <w:pStyle w:val="317"/>
        <w:numPr>
          <w:ilvl w:val="3"/>
          <w:numId w:val="5"/>
        </w:numPr>
        <w:tabs>
          <w:tab w:val="left" w:pos="1483"/>
        </w:tabs>
        <w:ind w:left="1483"/>
        <w:rPr>
          <w:sz w:val="21"/>
        </w:rPr>
      </w:pPr>
      <w:r>
        <w:rPr>
          <w:spacing w:val="-1"/>
          <w:sz w:val="21"/>
        </w:rPr>
        <w:t xml:space="preserve">计量原则 </w:t>
      </w:r>
    </w:p>
    <w:p w14:paraId="2BEACE79">
      <w:pPr>
        <w:pStyle w:val="17"/>
        <w:spacing w:before="4"/>
        <w:rPr>
          <w:sz w:val="15"/>
        </w:rPr>
      </w:pPr>
    </w:p>
    <w:p w14:paraId="49870452">
      <w:pPr>
        <w:pStyle w:val="17"/>
        <w:ind w:left="581"/>
      </w:pPr>
      <w:r>
        <w:t xml:space="preserve">按照第 12.3.1 项〔计量原则〕约定执行。 </w:t>
      </w:r>
    </w:p>
    <w:p w14:paraId="64CD4085">
      <w:pPr>
        <w:pStyle w:val="17"/>
        <w:spacing w:before="6"/>
        <w:rPr>
          <w:sz w:val="16"/>
        </w:rPr>
      </w:pPr>
    </w:p>
    <w:p w14:paraId="5BB7785F">
      <w:pPr>
        <w:pStyle w:val="317"/>
        <w:numPr>
          <w:ilvl w:val="3"/>
          <w:numId w:val="5"/>
        </w:numPr>
        <w:tabs>
          <w:tab w:val="left" w:pos="1483"/>
        </w:tabs>
        <w:spacing w:before="1"/>
        <w:ind w:left="1483"/>
        <w:rPr>
          <w:sz w:val="21"/>
        </w:rPr>
      </w:pPr>
      <w:r>
        <w:rPr>
          <w:sz w:val="21"/>
        </w:rPr>
        <w:t xml:space="preserve">计价原则 </w:t>
      </w:r>
    </w:p>
    <w:p w14:paraId="541350F9">
      <w:pPr>
        <w:pStyle w:val="17"/>
        <w:spacing w:before="4"/>
        <w:rPr>
          <w:sz w:val="15"/>
        </w:rPr>
      </w:pPr>
    </w:p>
    <w:p w14:paraId="29E22871">
      <w:pPr>
        <w:pStyle w:val="17"/>
        <w:ind w:left="581"/>
      </w:pPr>
      <w:r>
        <w:rPr>
          <w:u w:val="single"/>
        </w:rPr>
        <w:t>合同竣工结算价=Σ分部分项工程结算价+Σ措施项目结算价+Σ其他项目结算价±Σ价格调整（如</w:t>
      </w:r>
    </w:p>
    <w:p w14:paraId="0DE1D262">
      <w:pPr>
        <w:pStyle w:val="17"/>
        <w:spacing w:before="10"/>
        <w:rPr>
          <w:sz w:val="9"/>
        </w:rPr>
      </w:pPr>
    </w:p>
    <w:p w14:paraId="6A7FEF6F">
      <w:pPr>
        <w:pStyle w:val="17"/>
        <w:spacing w:before="71"/>
        <w:ind w:left="161"/>
      </w:pPr>
      <w:r>
        <w:rPr>
          <w:u w:val="single"/>
        </w:rPr>
        <w:t>有）±Σ变更、索赔与现场签证结算价±Σ奖励、罚金、违约金及其他费用+Σ规费+Σ税金</w:t>
      </w:r>
      <w:r>
        <w:t xml:space="preserve">。 </w:t>
      </w:r>
    </w:p>
    <w:p w14:paraId="42917A07">
      <w:pPr>
        <w:pStyle w:val="17"/>
        <w:spacing w:before="10"/>
        <w:rPr>
          <w:sz w:val="9"/>
        </w:rPr>
      </w:pPr>
    </w:p>
    <w:p w14:paraId="31F63D5D">
      <w:pPr>
        <w:pStyle w:val="17"/>
        <w:spacing w:before="71"/>
        <w:ind w:left="581"/>
      </w:pPr>
      <w:r>
        <w:t xml:space="preserve">具体结算办法如下： </w:t>
      </w:r>
    </w:p>
    <w:p w14:paraId="7F32AE31">
      <w:pPr>
        <w:pStyle w:val="17"/>
        <w:spacing w:before="4"/>
        <w:rPr>
          <w:sz w:val="15"/>
        </w:rPr>
      </w:pPr>
    </w:p>
    <w:p w14:paraId="3555A6F9">
      <w:pPr>
        <w:pStyle w:val="317"/>
        <w:numPr>
          <w:ilvl w:val="0"/>
          <w:numId w:val="48"/>
        </w:numPr>
        <w:tabs>
          <w:tab w:val="left" w:pos="1109"/>
        </w:tabs>
        <w:ind w:hanging="528"/>
        <w:jc w:val="left"/>
        <w:rPr>
          <w:sz w:val="21"/>
        </w:rPr>
      </w:pPr>
      <w:r>
        <w:rPr>
          <w:sz w:val="21"/>
        </w:rPr>
        <w:t xml:space="preserve">分部分项工程： </w:t>
      </w:r>
    </w:p>
    <w:p w14:paraId="0C01D0DC">
      <w:pPr>
        <w:pStyle w:val="17"/>
        <w:spacing w:before="6"/>
        <w:rPr>
          <w:sz w:val="16"/>
        </w:rPr>
      </w:pPr>
    </w:p>
    <w:p w14:paraId="1C0CEC0C">
      <w:pPr>
        <w:pStyle w:val="17"/>
        <w:ind w:left="581"/>
      </w:pPr>
      <w:r>
        <w:rPr>
          <w:u w:val="single"/>
        </w:rPr>
        <w:t>①已标价工程量清单子目综合单价按合同约定无需调整的，以按照竣工图和第 12.3.1 项〔计量原</w:t>
      </w:r>
    </w:p>
    <w:p w14:paraId="1543AD00">
      <w:pPr>
        <w:pStyle w:val="17"/>
        <w:spacing w:before="11"/>
        <w:rPr>
          <w:sz w:val="9"/>
        </w:rPr>
      </w:pPr>
    </w:p>
    <w:p w14:paraId="7C2DC5ED">
      <w:pPr>
        <w:pStyle w:val="17"/>
        <w:spacing w:before="70"/>
        <w:ind w:left="161"/>
      </w:pPr>
      <w:r>
        <w:rPr>
          <w:u w:val="single"/>
        </w:rPr>
        <w:t>则〕约定确定的工程量乘以相应的已标价工程量清单子目综合单价确定该部分分部分项工程结算价</w:t>
      </w:r>
      <w:r>
        <w:t xml:space="preserve">； </w:t>
      </w:r>
    </w:p>
    <w:p w14:paraId="6516073D">
      <w:pPr>
        <w:pStyle w:val="17"/>
        <w:spacing w:before="11"/>
        <w:rPr>
          <w:sz w:val="9"/>
        </w:rPr>
      </w:pPr>
    </w:p>
    <w:p w14:paraId="2AA0819F">
      <w:pPr>
        <w:pStyle w:val="17"/>
        <w:spacing w:before="71"/>
        <w:ind w:left="581"/>
      </w:pPr>
      <w:r>
        <w:rPr>
          <w:u w:val="single"/>
        </w:rPr>
        <w:t>②已标价工程量清单子目综合单价按第 11.3 款〔严重不平衡报价引起的调整〕约定需要修正综合</w:t>
      </w:r>
    </w:p>
    <w:p w14:paraId="2091D442">
      <w:pPr>
        <w:pStyle w:val="17"/>
        <w:spacing w:before="10"/>
        <w:rPr>
          <w:sz w:val="9"/>
        </w:rPr>
      </w:pPr>
    </w:p>
    <w:p w14:paraId="19D7413C">
      <w:pPr>
        <w:pStyle w:val="17"/>
        <w:spacing w:before="71"/>
        <w:ind w:left="161"/>
      </w:pPr>
      <w:r>
        <w:rPr>
          <w:u w:val="single"/>
        </w:rPr>
        <w:t>单价的，结算工程量超过已标价工程量 15%的，超出部分工程量乘以按第 11.3 款〔严重不平衡报价引</w:t>
      </w:r>
    </w:p>
    <w:p w14:paraId="4D26FFD4">
      <w:pPr>
        <w:pStyle w:val="17"/>
        <w:spacing w:before="10"/>
        <w:rPr>
          <w:sz w:val="9"/>
        </w:rPr>
      </w:pPr>
    </w:p>
    <w:p w14:paraId="7710BFE3">
      <w:pPr>
        <w:pStyle w:val="17"/>
        <w:spacing w:before="71"/>
        <w:ind w:left="161"/>
      </w:pPr>
      <w:r>
        <w:rPr>
          <w:u w:val="single"/>
        </w:rPr>
        <w:t>起的调整〕约定修正综合单价确定该部分分部分项工程结算价</w:t>
      </w:r>
      <w:r>
        <w:t xml:space="preserve">； </w:t>
      </w:r>
    </w:p>
    <w:p w14:paraId="725B6164">
      <w:pPr>
        <w:pStyle w:val="17"/>
        <w:rPr>
          <w:sz w:val="11"/>
        </w:rPr>
      </w:pPr>
    </w:p>
    <w:p w14:paraId="1CCFF97F">
      <w:pPr>
        <w:pStyle w:val="17"/>
        <w:spacing w:before="70"/>
        <w:ind w:left="581"/>
      </w:pPr>
      <w:r>
        <w:rPr>
          <w:u w:val="single"/>
        </w:rPr>
        <w:t>③需要对没有填入综合单价或总额价的子目项目进行扣减的，第 12.3.1 项〔计量原则〕约定确定</w:t>
      </w:r>
    </w:p>
    <w:p w14:paraId="783B804A">
      <w:pPr>
        <w:pStyle w:val="17"/>
        <w:spacing w:before="10"/>
        <w:rPr>
          <w:sz w:val="9"/>
        </w:rPr>
      </w:pPr>
    </w:p>
    <w:p w14:paraId="5B0B0206">
      <w:pPr>
        <w:pStyle w:val="17"/>
        <w:spacing w:before="71"/>
        <w:ind w:left="161"/>
      </w:pPr>
      <w:r>
        <w:rPr>
          <w:u w:val="single"/>
        </w:rPr>
        <w:t>的工程量乘以按照 10.4.1〔变更估价原则〕（3）目约定的综合单价进行扣减</w:t>
      </w:r>
      <w:r>
        <w:t xml:space="preserve">； </w:t>
      </w:r>
    </w:p>
    <w:p w14:paraId="34E084B3">
      <w:pPr>
        <w:pStyle w:val="17"/>
        <w:spacing w:before="10"/>
        <w:rPr>
          <w:sz w:val="9"/>
        </w:rPr>
      </w:pPr>
    </w:p>
    <w:p w14:paraId="354D0570">
      <w:pPr>
        <w:pStyle w:val="17"/>
        <w:spacing w:before="71"/>
        <w:ind w:left="581"/>
      </w:pPr>
      <w:r>
        <w:rPr>
          <w:u w:val="single"/>
        </w:rPr>
        <w:t>④合同、已标价工程量清单和招标文件另有约定的，按照其约定执行</w:t>
      </w:r>
      <w:r>
        <w:t xml:space="preserve">。 </w:t>
      </w:r>
    </w:p>
    <w:p w14:paraId="214AB3E1">
      <w:pPr>
        <w:pStyle w:val="17"/>
        <w:spacing w:before="11"/>
        <w:rPr>
          <w:sz w:val="9"/>
        </w:rPr>
      </w:pPr>
    </w:p>
    <w:p w14:paraId="7EBAA44D">
      <w:pPr>
        <w:pStyle w:val="317"/>
        <w:numPr>
          <w:ilvl w:val="0"/>
          <w:numId w:val="48"/>
        </w:numPr>
        <w:tabs>
          <w:tab w:val="left" w:pos="1109"/>
        </w:tabs>
        <w:spacing w:before="70"/>
        <w:ind w:hanging="528"/>
        <w:jc w:val="left"/>
        <w:rPr>
          <w:sz w:val="21"/>
        </w:rPr>
      </w:pPr>
      <w:r>
        <w:rPr>
          <w:sz w:val="21"/>
        </w:rPr>
        <w:t xml:space="preserve">措施项目： </w:t>
      </w:r>
    </w:p>
    <w:p w14:paraId="51785249">
      <w:pPr>
        <w:pStyle w:val="17"/>
        <w:spacing w:before="4"/>
        <w:rPr>
          <w:sz w:val="15"/>
        </w:rPr>
      </w:pPr>
    </w:p>
    <w:p w14:paraId="5FA610DE">
      <w:pPr>
        <w:pStyle w:val="17"/>
        <w:spacing w:before="1"/>
        <w:ind w:left="581"/>
      </w:pPr>
      <w:r>
        <w:rPr>
          <w:u w:val="single"/>
        </w:rPr>
        <w:t>①已标价工程量清单范围内以项为计量单位的措施项目费（安全文明施工费除外）包干使用；不以</w:t>
      </w:r>
    </w:p>
    <w:p w14:paraId="4AE561DB">
      <w:pPr>
        <w:pStyle w:val="17"/>
        <w:spacing w:before="12"/>
        <w:rPr>
          <w:sz w:val="10"/>
        </w:rPr>
      </w:pPr>
    </w:p>
    <w:p w14:paraId="59F099F7">
      <w:pPr>
        <w:pStyle w:val="17"/>
        <w:spacing w:before="71"/>
        <w:ind w:left="161"/>
      </w:pPr>
      <w:r>
        <w:rPr>
          <w:u w:val="single"/>
        </w:rPr>
        <w:t>项为计量单位的措施项目费按第 14.2.1 项〔竣工结算办理办法〕分部分项约定执行</w:t>
      </w:r>
      <w:r>
        <w:t xml:space="preserve">。 </w:t>
      </w:r>
    </w:p>
    <w:p w14:paraId="00B70861">
      <w:pPr>
        <w:pStyle w:val="17"/>
        <w:spacing w:before="10"/>
        <w:rPr>
          <w:sz w:val="9"/>
        </w:rPr>
      </w:pPr>
    </w:p>
    <w:p w14:paraId="0160FE71">
      <w:pPr>
        <w:pStyle w:val="17"/>
        <w:spacing w:before="70"/>
        <w:ind w:left="581"/>
      </w:pPr>
      <w:r>
        <w:rPr>
          <w:u w:val="single"/>
        </w:rPr>
        <w:t>②工程变更引起施工方案改变使措施项目发生变化的，经监理人、发包人确定后可对按第 10.4.3</w:t>
      </w:r>
    </w:p>
    <w:p w14:paraId="6E51B626">
      <w:pPr>
        <w:pStyle w:val="17"/>
        <w:spacing w:before="11"/>
        <w:rPr>
          <w:sz w:val="9"/>
        </w:rPr>
      </w:pPr>
    </w:p>
    <w:p w14:paraId="41295BD5">
      <w:pPr>
        <w:pStyle w:val="17"/>
        <w:spacing w:before="70"/>
        <w:ind w:left="161"/>
      </w:pPr>
      <w:r>
        <w:rPr>
          <w:u w:val="single"/>
        </w:rPr>
        <w:t>项约定执行</w:t>
      </w:r>
      <w:r>
        <w:t xml:space="preserve">。 </w:t>
      </w:r>
    </w:p>
    <w:p w14:paraId="2AA8A712">
      <w:pPr>
        <w:pStyle w:val="17"/>
        <w:spacing w:before="11"/>
        <w:rPr>
          <w:sz w:val="9"/>
        </w:rPr>
      </w:pPr>
    </w:p>
    <w:p w14:paraId="7D7F3FE9">
      <w:pPr>
        <w:pStyle w:val="17"/>
        <w:spacing w:before="71"/>
        <w:ind w:left="581"/>
      </w:pPr>
      <w:r>
        <w:rPr>
          <w:u w:val="single"/>
        </w:rPr>
        <w:t>③安全文明施工费按照《重庆市建设工程安全文明施工费计取及使用管理规定》（渝建发〔2014〕</w:t>
      </w:r>
    </w:p>
    <w:p w14:paraId="5272ED0D">
      <w:pPr>
        <w:pStyle w:val="17"/>
        <w:spacing w:before="10"/>
        <w:rPr>
          <w:sz w:val="9"/>
        </w:rPr>
      </w:pPr>
    </w:p>
    <w:p w14:paraId="248819CF">
      <w:pPr>
        <w:pStyle w:val="17"/>
        <w:spacing w:before="71"/>
        <w:ind w:left="161"/>
      </w:pPr>
      <w:r>
        <w:rPr>
          <w:u w:val="single"/>
        </w:rPr>
        <w:t>25 号）、《重庆市住房和城乡建设委员会关于调整建设施工现场形象品质提升安全文明施工费计取的</w:t>
      </w:r>
    </w:p>
    <w:p w14:paraId="53EC3FE5">
      <w:pPr>
        <w:pStyle w:val="17"/>
        <w:rPr>
          <w:sz w:val="11"/>
        </w:rPr>
      </w:pPr>
    </w:p>
    <w:p w14:paraId="42F61879">
      <w:pPr>
        <w:pStyle w:val="17"/>
        <w:spacing w:before="70"/>
        <w:ind w:left="161"/>
      </w:pPr>
      <w:r>
        <w:rPr>
          <w:u w:val="single"/>
        </w:rPr>
        <w:t>通知》（渝建管〔2020〕97</w:t>
      </w:r>
      <w:r>
        <w:rPr>
          <w:spacing w:val="-24"/>
          <w:u w:val="single"/>
        </w:rPr>
        <w:t xml:space="preserve"> 号</w:t>
      </w:r>
      <w:r>
        <w:rPr>
          <w:spacing w:val="-15"/>
          <w:u w:val="single"/>
        </w:rPr>
        <w:t>）</w:t>
      </w:r>
      <w:r>
        <w:rPr>
          <w:u w:val="single"/>
        </w:rPr>
        <w:t>、《重庆市建设工程费用定额》（CQFYDE-2018）</w:t>
      </w:r>
      <w:r>
        <w:rPr>
          <w:spacing w:val="-4"/>
          <w:u w:val="single"/>
        </w:rPr>
        <w:t>、《重庆市城乡建设</w:t>
      </w:r>
    </w:p>
    <w:p w14:paraId="14DB5499">
      <w:pPr>
        <w:pStyle w:val="17"/>
        <w:spacing w:before="11"/>
        <w:rPr>
          <w:sz w:val="9"/>
        </w:rPr>
      </w:pPr>
    </w:p>
    <w:p w14:paraId="4727BAEA">
      <w:pPr>
        <w:pStyle w:val="17"/>
        <w:spacing w:before="70"/>
        <w:ind w:left="161"/>
      </w:pPr>
      <w:r>
        <w:rPr>
          <w:spacing w:val="-3"/>
          <w:u w:val="single"/>
        </w:rPr>
        <w:t>委员会关于适用增值税新税率调整建设工程计价依据的通知》</w:t>
      </w:r>
      <w:r>
        <w:rPr>
          <w:u w:val="single"/>
        </w:rPr>
        <w:t>（</w:t>
      </w:r>
      <w:r>
        <w:rPr>
          <w:spacing w:val="-13"/>
          <w:u w:val="single"/>
        </w:rPr>
        <w:t>渝建〔</w:t>
      </w:r>
      <w:r>
        <w:rPr>
          <w:u w:val="single"/>
        </w:rPr>
        <w:t>2019</w:t>
      </w:r>
      <w:r>
        <w:rPr>
          <w:spacing w:val="-30"/>
          <w:u w:val="single"/>
        </w:rPr>
        <w:t>〕</w:t>
      </w:r>
      <w:r>
        <w:rPr>
          <w:u w:val="single"/>
        </w:rPr>
        <w:t>143</w:t>
      </w:r>
      <w:r>
        <w:rPr>
          <w:spacing w:val="-24"/>
          <w:u w:val="single"/>
        </w:rPr>
        <w:t xml:space="preserve"> 号</w:t>
      </w:r>
      <w:r>
        <w:rPr>
          <w:spacing w:val="-30"/>
          <w:u w:val="single"/>
        </w:rPr>
        <w:t>）</w:t>
      </w:r>
      <w:r>
        <w:rPr>
          <w:u w:val="single"/>
        </w:rPr>
        <w:t>的规定进行结算</w:t>
      </w:r>
      <w:r>
        <w:rPr>
          <w:spacing w:val="-105"/>
        </w:rPr>
        <w:t>。</w:t>
      </w:r>
      <w:r>
        <w:t xml:space="preserve"> </w:t>
      </w:r>
    </w:p>
    <w:p w14:paraId="6708B9B0">
      <w:pPr>
        <w:pStyle w:val="17"/>
        <w:spacing w:before="10"/>
        <w:rPr>
          <w:sz w:val="9"/>
        </w:rPr>
      </w:pPr>
    </w:p>
    <w:p w14:paraId="076BD9B5">
      <w:pPr>
        <w:pStyle w:val="317"/>
        <w:numPr>
          <w:ilvl w:val="0"/>
          <w:numId w:val="48"/>
        </w:numPr>
        <w:tabs>
          <w:tab w:val="left" w:pos="1109"/>
        </w:tabs>
        <w:spacing w:before="71"/>
        <w:ind w:hanging="528"/>
        <w:jc w:val="left"/>
        <w:rPr>
          <w:sz w:val="21"/>
        </w:rPr>
      </w:pPr>
      <w:r>
        <w:rPr>
          <w:sz w:val="21"/>
        </w:rPr>
        <w:t xml:space="preserve">其他项目： </w:t>
      </w:r>
    </w:p>
    <w:p w14:paraId="39661848">
      <w:pPr>
        <w:pStyle w:val="17"/>
        <w:spacing w:before="4"/>
        <w:rPr>
          <w:sz w:val="15"/>
        </w:rPr>
      </w:pPr>
    </w:p>
    <w:p w14:paraId="3FD72A80">
      <w:pPr>
        <w:pStyle w:val="17"/>
        <w:ind w:left="581"/>
      </w:pPr>
      <w:r>
        <w:t>①材料（工程设备）暂估价：</w:t>
      </w:r>
      <w:r>
        <w:rPr>
          <w:u w:val="single"/>
        </w:rPr>
        <w:t>按照第 12.3.1 项〔计量原则〕约定及对应定额消耗量确定的数量乘</w:t>
      </w:r>
    </w:p>
    <w:p w14:paraId="7FEB0E0A">
      <w:pPr>
        <w:pStyle w:val="17"/>
        <w:spacing w:before="11"/>
        <w:rPr>
          <w:sz w:val="9"/>
        </w:rPr>
      </w:pPr>
    </w:p>
    <w:p w14:paraId="41A1490C">
      <w:pPr>
        <w:pStyle w:val="17"/>
        <w:spacing w:before="70"/>
        <w:ind w:left="161"/>
      </w:pPr>
      <w:r>
        <w:rPr>
          <w:u w:val="single"/>
        </w:rPr>
        <w:t>以监理人、跟审单位、发包人根据市场行情认质核价确定的价格进行结算</w:t>
      </w:r>
      <w:r>
        <w:t xml:space="preserve">。 </w:t>
      </w:r>
    </w:p>
    <w:p w14:paraId="709C5057">
      <w:pPr>
        <w:pStyle w:val="17"/>
        <w:rPr>
          <w:sz w:val="11"/>
        </w:rPr>
      </w:pPr>
    </w:p>
    <w:p w14:paraId="64E96F38">
      <w:pPr>
        <w:pStyle w:val="17"/>
        <w:spacing w:before="71"/>
        <w:ind w:left="581"/>
      </w:pPr>
      <w:r>
        <w:t xml:space="preserve">②专业工程暂估价： </w:t>
      </w:r>
    </w:p>
    <w:p w14:paraId="2A89B7F6">
      <w:pPr>
        <w:pStyle w:val="17"/>
        <w:spacing w:before="4"/>
        <w:rPr>
          <w:sz w:val="15"/>
        </w:rPr>
      </w:pPr>
    </w:p>
    <w:p w14:paraId="5EAA2102">
      <w:pPr>
        <w:pStyle w:val="317"/>
        <w:numPr>
          <w:ilvl w:val="0"/>
          <w:numId w:val="49"/>
        </w:numPr>
        <w:tabs>
          <w:tab w:val="left" w:pos="898"/>
        </w:tabs>
        <w:ind w:hanging="317"/>
        <w:rPr>
          <w:sz w:val="21"/>
        </w:rPr>
      </w:pPr>
      <w:r>
        <w:rPr>
          <w:spacing w:val="-2"/>
          <w:sz w:val="21"/>
          <w:u w:val="single"/>
        </w:rPr>
        <w:t>对于不属于依法必须招标的暂估价项目：按发包人审定的价格进行结算</w:t>
      </w:r>
      <w:r>
        <w:rPr>
          <w:sz w:val="21"/>
        </w:rPr>
        <w:t xml:space="preserve">。 </w:t>
      </w:r>
    </w:p>
    <w:p w14:paraId="07456963">
      <w:pPr>
        <w:rPr>
          <w:sz w:val="21"/>
        </w:rPr>
        <w:sectPr>
          <w:pgSz w:w="11910" w:h="16850"/>
          <w:pgMar w:top="1440" w:right="1080" w:bottom="1440" w:left="1080" w:header="0" w:footer="996" w:gutter="0"/>
          <w:cols w:space="720" w:num="1"/>
        </w:sectPr>
      </w:pPr>
    </w:p>
    <w:p w14:paraId="2E851FAE">
      <w:pPr>
        <w:pStyle w:val="317"/>
        <w:numPr>
          <w:ilvl w:val="1"/>
          <w:numId w:val="49"/>
        </w:numPr>
        <w:tabs>
          <w:tab w:val="left" w:pos="1064"/>
        </w:tabs>
        <w:spacing w:before="46"/>
        <w:ind w:hanging="318"/>
        <w:rPr>
          <w:sz w:val="21"/>
        </w:rPr>
      </w:pPr>
      <w:r>
        <w:rPr>
          <w:sz w:val="21"/>
          <w:u w:val="single"/>
        </w:rPr>
        <w:t>对于依法必须招标的暂估价项目：达到招标规模标准的暂估价内容，包括专业工程暂估价和材</w:t>
      </w:r>
    </w:p>
    <w:p w14:paraId="685B2184">
      <w:pPr>
        <w:pStyle w:val="17"/>
        <w:spacing w:before="11"/>
        <w:rPr>
          <w:sz w:val="9"/>
        </w:rPr>
      </w:pPr>
    </w:p>
    <w:p w14:paraId="4FFF6A42">
      <w:pPr>
        <w:pStyle w:val="17"/>
        <w:spacing w:before="70"/>
        <w:ind w:left="326"/>
      </w:pPr>
      <w:r>
        <w:rPr>
          <w:u w:val="single"/>
        </w:rPr>
        <w:t>料设备暂估价均应招标确定，并按暂估价招标文件约定结算</w:t>
      </w:r>
      <w:r>
        <w:t xml:space="preserve">。 </w:t>
      </w:r>
    </w:p>
    <w:p w14:paraId="54B008B9">
      <w:pPr>
        <w:pStyle w:val="17"/>
        <w:spacing w:before="10"/>
        <w:rPr>
          <w:sz w:val="9"/>
        </w:rPr>
      </w:pPr>
    </w:p>
    <w:p w14:paraId="6EBDC051">
      <w:pPr>
        <w:pStyle w:val="317"/>
        <w:numPr>
          <w:ilvl w:val="1"/>
          <w:numId w:val="49"/>
        </w:numPr>
        <w:tabs>
          <w:tab w:val="left" w:pos="1064"/>
        </w:tabs>
        <w:spacing w:before="71"/>
        <w:ind w:hanging="318"/>
        <w:rPr>
          <w:sz w:val="21"/>
        </w:rPr>
      </w:pPr>
      <w:r>
        <w:rPr>
          <w:spacing w:val="-1"/>
          <w:sz w:val="21"/>
          <w:u w:val="single"/>
        </w:rPr>
        <w:t>总承包服务费：总承包服务费包干使用，结算时不作调整</w:t>
      </w:r>
      <w:r>
        <w:rPr>
          <w:sz w:val="21"/>
        </w:rPr>
        <w:t xml:space="preserve">。 </w:t>
      </w:r>
    </w:p>
    <w:p w14:paraId="151F4452">
      <w:pPr>
        <w:pStyle w:val="17"/>
        <w:rPr>
          <w:sz w:val="11"/>
        </w:rPr>
      </w:pPr>
    </w:p>
    <w:p w14:paraId="051BCCF7">
      <w:pPr>
        <w:pStyle w:val="317"/>
        <w:numPr>
          <w:ilvl w:val="0"/>
          <w:numId w:val="48"/>
        </w:numPr>
        <w:tabs>
          <w:tab w:val="left" w:pos="1274"/>
        </w:tabs>
        <w:spacing w:before="70"/>
        <w:ind w:left="1273" w:hanging="528"/>
        <w:jc w:val="left"/>
        <w:rPr>
          <w:sz w:val="21"/>
        </w:rPr>
      </w:pPr>
      <w:r>
        <w:rPr>
          <w:sz w:val="21"/>
        </w:rPr>
        <w:t>价格调整：</w:t>
      </w:r>
      <w:r>
        <w:rPr>
          <w:spacing w:val="-12"/>
          <w:sz w:val="21"/>
          <w:u w:val="single"/>
        </w:rPr>
        <w:t xml:space="preserve">按照第 </w:t>
      </w:r>
      <w:r>
        <w:rPr>
          <w:sz w:val="21"/>
          <w:u w:val="single"/>
        </w:rPr>
        <w:t>11</w:t>
      </w:r>
      <w:r>
        <w:rPr>
          <w:spacing w:val="-7"/>
          <w:sz w:val="21"/>
          <w:u w:val="single"/>
        </w:rPr>
        <w:t xml:space="preserve"> 条〔价格调整〕约定约定执行</w:t>
      </w:r>
      <w:r>
        <w:rPr>
          <w:sz w:val="21"/>
        </w:rPr>
        <w:t xml:space="preserve">。 </w:t>
      </w:r>
    </w:p>
    <w:p w14:paraId="25F25240">
      <w:pPr>
        <w:pStyle w:val="17"/>
        <w:spacing w:before="11"/>
        <w:rPr>
          <w:sz w:val="9"/>
        </w:rPr>
      </w:pPr>
    </w:p>
    <w:p w14:paraId="5ECE72B5">
      <w:pPr>
        <w:pStyle w:val="317"/>
        <w:numPr>
          <w:ilvl w:val="0"/>
          <w:numId w:val="48"/>
        </w:numPr>
        <w:tabs>
          <w:tab w:val="left" w:pos="1274"/>
        </w:tabs>
        <w:spacing w:before="71"/>
        <w:ind w:left="1273" w:hanging="528"/>
        <w:jc w:val="left"/>
        <w:rPr>
          <w:sz w:val="21"/>
        </w:rPr>
      </w:pPr>
      <w:r>
        <w:rPr>
          <w:spacing w:val="-1"/>
          <w:sz w:val="21"/>
        </w:rPr>
        <w:t>工程变更、索赔与现场签证：</w:t>
      </w:r>
      <w:r>
        <w:rPr>
          <w:sz w:val="21"/>
        </w:rPr>
        <w:t xml:space="preserve"> </w:t>
      </w:r>
    </w:p>
    <w:p w14:paraId="2C05E470">
      <w:pPr>
        <w:pStyle w:val="17"/>
        <w:spacing w:before="4"/>
        <w:rPr>
          <w:sz w:val="15"/>
        </w:rPr>
      </w:pPr>
    </w:p>
    <w:p w14:paraId="6BDD87C8">
      <w:pPr>
        <w:pStyle w:val="317"/>
        <w:numPr>
          <w:ilvl w:val="0"/>
          <w:numId w:val="50"/>
        </w:numPr>
        <w:tabs>
          <w:tab w:val="left" w:pos="1064"/>
        </w:tabs>
        <w:ind w:hanging="318"/>
        <w:rPr>
          <w:sz w:val="21"/>
        </w:rPr>
      </w:pPr>
      <w:r>
        <w:rPr>
          <w:spacing w:val="-8"/>
          <w:sz w:val="21"/>
        </w:rPr>
        <w:t xml:space="preserve">工程变更：按照第 </w:t>
      </w:r>
      <w:r>
        <w:rPr>
          <w:sz w:val="21"/>
        </w:rPr>
        <w:t>10.4.1</w:t>
      </w:r>
      <w:r>
        <w:rPr>
          <w:spacing w:val="-11"/>
          <w:sz w:val="21"/>
        </w:rPr>
        <w:t xml:space="preserve"> 项〔变更估价原则〕约定确定为总价包干的，按审定包干总价计入结</w:t>
      </w:r>
    </w:p>
    <w:p w14:paraId="638E4A75">
      <w:pPr>
        <w:pStyle w:val="17"/>
        <w:spacing w:before="4"/>
        <w:rPr>
          <w:sz w:val="15"/>
        </w:rPr>
      </w:pPr>
    </w:p>
    <w:p w14:paraId="44F67600">
      <w:pPr>
        <w:pStyle w:val="17"/>
        <w:ind w:left="326"/>
      </w:pPr>
      <w:r>
        <w:t>算；其余项目按照有效的竣工结算资料和第 12.3.1 项〔计量原则〕约定确定的工程量乘以相应的按照</w:t>
      </w:r>
    </w:p>
    <w:p w14:paraId="5F515F30">
      <w:pPr>
        <w:pStyle w:val="17"/>
        <w:spacing w:before="4"/>
        <w:rPr>
          <w:sz w:val="15"/>
        </w:rPr>
      </w:pPr>
    </w:p>
    <w:p w14:paraId="07FE048E">
      <w:pPr>
        <w:pStyle w:val="17"/>
        <w:ind w:left="326"/>
      </w:pPr>
      <w:r>
        <w:t xml:space="preserve">第 10.4.1 项〔变更估价原则〕约定确定综合单价来确定该部分结算价。 </w:t>
      </w:r>
    </w:p>
    <w:p w14:paraId="55C80817">
      <w:pPr>
        <w:pStyle w:val="17"/>
        <w:spacing w:before="6"/>
        <w:rPr>
          <w:sz w:val="16"/>
        </w:rPr>
      </w:pPr>
    </w:p>
    <w:p w14:paraId="0168CAC7">
      <w:pPr>
        <w:pStyle w:val="317"/>
        <w:numPr>
          <w:ilvl w:val="0"/>
          <w:numId w:val="50"/>
        </w:numPr>
        <w:tabs>
          <w:tab w:val="left" w:pos="1064"/>
        </w:tabs>
        <w:ind w:hanging="318"/>
        <w:rPr>
          <w:sz w:val="21"/>
        </w:rPr>
      </w:pPr>
      <w:r>
        <w:rPr>
          <w:spacing w:val="-7"/>
          <w:sz w:val="21"/>
        </w:rPr>
        <w:t xml:space="preserve">索赔：按照第 </w:t>
      </w:r>
      <w:r>
        <w:rPr>
          <w:sz w:val="21"/>
        </w:rPr>
        <w:t>10.4.1</w:t>
      </w:r>
      <w:r>
        <w:rPr>
          <w:spacing w:val="-11"/>
          <w:sz w:val="21"/>
        </w:rPr>
        <w:t xml:space="preserve"> 项〔变更估价原则〕和第 </w:t>
      </w:r>
      <w:r>
        <w:rPr>
          <w:sz w:val="21"/>
        </w:rPr>
        <w:t>14.2.1</w:t>
      </w:r>
      <w:r>
        <w:rPr>
          <w:spacing w:val="-7"/>
          <w:sz w:val="21"/>
        </w:rPr>
        <w:t xml:space="preserve"> 项〔竣工结算办法〕约定执行。</w:t>
      </w:r>
      <w:r>
        <w:rPr>
          <w:sz w:val="21"/>
        </w:rPr>
        <w:t xml:space="preserve"> </w:t>
      </w:r>
    </w:p>
    <w:p w14:paraId="7531D13F">
      <w:pPr>
        <w:pStyle w:val="17"/>
        <w:spacing w:before="4"/>
        <w:rPr>
          <w:sz w:val="15"/>
        </w:rPr>
      </w:pPr>
    </w:p>
    <w:p w14:paraId="008D7D06">
      <w:pPr>
        <w:pStyle w:val="317"/>
        <w:numPr>
          <w:ilvl w:val="0"/>
          <w:numId w:val="50"/>
        </w:numPr>
        <w:tabs>
          <w:tab w:val="left" w:pos="1064"/>
        </w:tabs>
        <w:spacing w:before="1"/>
        <w:ind w:hanging="318"/>
        <w:rPr>
          <w:sz w:val="21"/>
        </w:rPr>
      </w:pPr>
      <w:r>
        <w:rPr>
          <w:spacing w:val="-6"/>
          <w:sz w:val="21"/>
        </w:rPr>
        <w:t xml:space="preserve">现场签证：按照第 </w:t>
      </w:r>
      <w:r>
        <w:rPr>
          <w:sz w:val="21"/>
        </w:rPr>
        <w:t>10.4.1</w:t>
      </w:r>
      <w:r>
        <w:rPr>
          <w:spacing w:val="-11"/>
          <w:sz w:val="21"/>
        </w:rPr>
        <w:t xml:space="preserve"> 项〔变更估价原则〕和第 </w:t>
      </w:r>
      <w:r>
        <w:rPr>
          <w:sz w:val="21"/>
        </w:rPr>
        <w:t>14.2.1</w:t>
      </w:r>
      <w:r>
        <w:rPr>
          <w:spacing w:val="-7"/>
          <w:sz w:val="21"/>
        </w:rPr>
        <w:t xml:space="preserve"> 项〔竣工结算办法〕约定执行。</w:t>
      </w:r>
      <w:r>
        <w:rPr>
          <w:sz w:val="21"/>
        </w:rPr>
        <w:t xml:space="preserve"> </w:t>
      </w:r>
    </w:p>
    <w:p w14:paraId="42527703">
      <w:pPr>
        <w:pStyle w:val="17"/>
        <w:spacing w:before="4"/>
        <w:rPr>
          <w:sz w:val="15"/>
        </w:rPr>
      </w:pPr>
    </w:p>
    <w:p w14:paraId="0C0BD9CF">
      <w:pPr>
        <w:pStyle w:val="317"/>
        <w:numPr>
          <w:ilvl w:val="0"/>
          <w:numId w:val="48"/>
        </w:numPr>
        <w:tabs>
          <w:tab w:val="left" w:pos="1274"/>
        </w:tabs>
        <w:ind w:left="1273" w:hanging="528"/>
        <w:jc w:val="left"/>
        <w:rPr>
          <w:sz w:val="21"/>
        </w:rPr>
      </w:pPr>
      <w:r>
        <w:rPr>
          <w:spacing w:val="-1"/>
          <w:sz w:val="21"/>
        </w:rPr>
        <w:t>奖励、罚金、违约金及其他费用：</w:t>
      </w:r>
      <w:r>
        <w:rPr>
          <w:sz w:val="21"/>
          <w:u w:val="single"/>
        </w:rPr>
        <w:t>按实进行结算</w:t>
      </w:r>
      <w:r>
        <w:rPr>
          <w:sz w:val="21"/>
        </w:rPr>
        <w:t xml:space="preserve">。 </w:t>
      </w:r>
    </w:p>
    <w:p w14:paraId="28FC9BCD">
      <w:pPr>
        <w:pStyle w:val="17"/>
        <w:spacing w:before="10"/>
        <w:rPr>
          <w:sz w:val="9"/>
        </w:rPr>
      </w:pPr>
    </w:p>
    <w:p w14:paraId="24510774">
      <w:pPr>
        <w:pStyle w:val="317"/>
        <w:numPr>
          <w:ilvl w:val="0"/>
          <w:numId w:val="48"/>
        </w:numPr>
        <w:tabs>
          <w:tab w:val="left" w:pos="1274"/>
        </w:tabs>
        <w:spacing w:before="71"/>
        <w:ind w:left="1273" w:hanging="528"/>
        <w:jc w:val="left"/>
        <w:rPr>
          <w:sz w:val="21"/>
        </w:rPr>
      </w:pPr>
      <w:r>
        <w:rPr>
          <w:sz w:val="21"/>
        </w:rPr>
        <w:t>规费：已标价工程量清单中规费费用按《重庆市建设工程费用定额》（CQFYDE-2018）</w:t>
      </w:r>
      <w:r>
        <w:rPr>
          <w:spacing w:val="-31"/>
          <w:sz w:val="21"/>
        </w:rPr>
        <w:t>执行。</w:t>
      </w:r>
      <w:r>
        <w:rPr>
          <w:sz w:val="21"/>
        </w:rPr>
        <w:t xml:space="preserve"> </w:t>
      </w:r>
    </w:p>
    <w:p w14:paraId="796B80F7">
      <w:pPr>
        <w:pStyle w:val="17"/>
        <w:spacing w:before="4"/>
        <w:rPr>
          <w:sz w:val="15"/>
        </w:rPr>
      </w:pPr>
    </w:p>
    <w:p w14:paraId="0E5EC278">
      <w:pPr>
        <w:pStyle w:val="317"/>
        <w:numPr>
          <w:ilvl w:val="0"/>
          <w:numId w:val="48"/>
        </w:numPr>
        <w:tabs>
          <w:tab w:val="left" w:pos="1274"/>
        </w:tabs>
        <w:spacing w:line="422" w:lineRule="auto"/>
        <w:ind w:left="326" w:right="1235" w:firstLine="420"/>
        <w:jc w:val="both"/>
        <w:rPr>
          <w:sz w:val="21"/>
        </w:rPr>
      </w:pPr>
      <w:r>
        <w:rPr>
          <w:sz w:val="21"/>
        </w:rPr>
        <w:t>税金：包含增值税、城市维护建设税、教育费附加、地方教育附加以及环境保护税。其中增值税按《重庆市建设工程费用定额》（CQFYDE-2018）、《重庆市城乡建设委员会关于适用增值税新税率调整建设工程计价依据的通知》（</w:t>
      </w:r>
      <w:r>
        <w:rPr>
          <w:spacing w:val="-2"/>
          <w:sz w:val="21"/>
        </w:rPr>
        <w:t>渝建〔</w:t>
      </w:r>
      <w:r>
        <w:rPr>
          <w:sz w:val="21"/>
        </w:rPr>
        <w:t>2019〕143</w:t>
      </w:r>
      <w:r>
        <w:rPr>
          <w:spacing w:val="-23"/>
          <w:sz w:val="21"/>
        </w:rPr>
        <w:t xml:space="preserve"> 号</w:t>
      </w:r>
      <w:r>
        <w:rPr>
          <w:sz w:val="21"/>
        </w:rPr>
        <w:t>）</w:t>
      </w:r>
      <w:r>
        <w:rPr>
          <w:spacing w:val="-1"/>
          <w:sz w:val="21"/>
        </w:rPr>
        <w:t>规定执行，环境保护税按实结算。</w:t>
      </w:r>
      <w:r>
        <w:rPr>
          <w:sz w:val="21"/>
        </w:rPr>
        <w:t xml:space="preserve"> </w:t>
      </w:r>
    </w:p>
    <w:p w14:paraId="414B1FFB">
      <w:pPr>
        <w:pStyle w:val="317"/>
        <w:numPr>
          <w:ilvl w:val="3"/>
          <w:numId w:val="5"/>
        </w:numPr>
        <w:tabs>
          <w:tab w:val="left" w:pos="1649"/>
        </w:tabs>
        <w:spacing w:line="259" w:lineRule="exact"/>
        <w:ind w:left="1648" w:hanging="903"/>
        <w:jc w:val="both"/>
        <w:rPr>
          <w:sz w:val="21"/>
        </w:rPr>
      </w:pPr>
      <w:r>
        <w:rPr>
          <w:sz w:val="21"/>
        </w:rPr>
        <w:t xml:space="preserve">竣工结算价 </w:t>
      </w:r>
    </w:p>
    <w:p w14:paraId="1EF5A8CD">
      <w:pPr>
        <w:pStyle w:val="17"/>
        <w:spacing w:before="4"/>
        <w:rPr>
          <w:sz w:val="15"/>
        </w:rPr>
      </w:pPr>
    </w:p>
    <w:p w14:paraId="74292986">
      <w:pPr>
        <w:pStyle w:val="17"/>
        <w:spacing w:before="1"/>
        <w:ind w:left="746"/>
      </w:pPr>
      <w:r>
        <w:rPr>
          <w:spacing w:val="-15"/>
          <w:u w:val="single"/>
        </w:rPr>
        <w:t>以发包人会同跟审单位、监理人、承包人根据有效资料共同确定竣工结算金额作为合同竣工结算价</w:t>
      </w:r>
      <w:r>
        <w:rPr>
          <w:spacing w:val="-120"/>
        </w:rPr>
        <w:t>。</w:t>
      </w:r>
      <w:r>
        <w:t xml:space="preserve"> </w:t>
      </w:r>
    </w:p>
    <w:p w14:paraId="2FB5E781">
      <w:pPr>
        <w:pStyle w:val="17"/>
        <w:spacing w:before="10"/>
        <w:rPr>
          <w:sz w:val="9"/>
        </w:rPr>
      </w:pPr>
    </w:p>
    <w:p w14:paraId="413C2DFA">
      <w:pPr>
        <w:pStyle w:val="317"/>
        <w:numPr>
          <w:ilvl w:val="2"/>
          <w:numId w:val="5"/>
        </w:numPr>
        <w:tabs>
          <w:tab w:val="left" w:pos="1378"/>
        </w:tabs>
        <w:spacing w:before="71"/>
        <w:ind w:left="1378" w:hanging="632"/>
        <w:jc w:val="left"/>
        <w:rPr>
          <w:sz w:val="19"/>
        </w:rPr>
      </w:pPr>
      <w:r>
        <w:rPr>
          <w:sz w:val="21"/>
        </w:rPr>
        <w:t xml:space="preserve">竣工结算审核期限 </w:t>
      </w:r>
    </w:p>
    <w:p w14:paraId="3A75BD0B">
      <w:pPr>
        <w:pStyle w:val="17"/>
        <w:spacing w:before="6"/>
        <w:rPr>
          <w:sz w:val="16"/>
        </w:rPr>
      </w:pPr>
    </w:p>
    <w:p w14:paraId="7466CB5B">
      <w:pPr>
        <w:pStyle w:val="17"/>
        <w:ind w:left="746"/>
      </w:pPr>
      <w:r>
        <w:rPr>
          <w:spacing w:val="-1"/>
        </w:rPr>
        <w:t>监理人审核竣工付款申请单的期限：</w:t>
      </w:r>
      <w:r>
        <w:rPr>
          <w:spacing w:val="20"/>
          <w:u w:val="single"/>
        </w:rPr>
        <w:t>不超过 日</w:t>
      </w:r>
      <w:r>
        <w:t xml:space="preserve">。 </w:t>
      </w:r>
    </w:p>
    <w:p w14:paraId="6EF645AA">
      <w:pPr>
        <w:pStyle w:val="17"/>
        <w:spacing w:before="10"/>
        <w:rPr>
          <w:sz w:val="9"/>
        </w:rPr>
      </w:pPr>
    </w:p>
    <w:p w14:paraId="4838DFFF">
      <w:pPr>
        <w:pStyle w:val="17"/>
        <w:spacing w:before="71"/>
        <w:ind w:left="746"/>
      </w:pPr>
      <w:r>
        <w:rPr>
          <w:spacing w:val="-1"/>
        </w:rPr>
        <w:t>发包人审核竣工付款申请单的期限：</w:t>
      </w:r>
      <w:r>
        <w:rPr>
          <w:spacing w:val="20"/>
          <w:u w:val="single"/>
        </w:rPr>
        <w:t>不超过 日</w:t>
      </w:r>
      <w:r>
        <w:t xml:space="preserve">。 </w:t>
      </w:r>
    </w:p>
    <w:p w14:paraId="3529D18E">
      <w:pPr>
        <w:pStyle w:val="17"/>
        <w:spacing w:before="10"/>
        <w:rPr>
          <w:sz w:val="9"/>
        </w:rPr>
      </w:pPr>
    </w:p>
    <w:p w14:paraId="3CE4D341">
      <w:pPr>
        <w:pStyle w:val="17"/>
        <w:spacing w:before="71"/>
        <w:ind w:left="746"/>
      </w:pPr>
      <w:r>
        <w:t>发包人完成竣工付款的期限：</w:t>
      </w:r>
      <w:r>
        <w:rPr>
          <w:u w:val="single"/>
        </w:rPr>
        <w:t>完成竣工付款申请单审核后 天内</w:t>
      </w:r>
      <w:r>
        <w:t xml:space="preserve">。 </w:t>
      </w:r>
    </w:p>
    <w:p w14:paraId="5120ED4F">
      <w:pPr>
        <w:pStyle w:val="17"/>
        <w:spacing w:before="10"/>
        <w:rPr>
          <w:sz w:val="9"/>
        </w:rPr>
      </w:pPr>
    </w:p>
    <w:p w14:paraId="57F3E350">
      <w:pPr>
        <w:pStyle w:val="17"/>
        <w:spacing w:before="71" w:line="355" w:lineRule="auto"/>
        <w:ind w:left="746" w:right="2070"/>
        <w:rPr>
          <w:rFonts w:ascii="微软雅黑" w:eastAsia="微软雅黑"/>
          <w:b/>
        </w:rPr>
      </w:pPr>
      <w:r>
        <w:t>关于竣工付款证书异议部分复核的方式和程序： 按照第 20 条〔争议解决〕约定处理。</w:t>
      </w:r>
      <w:r>
        <w:rPr>
          <w:rFonts w:hint="eastAsia" w:ascii="微软雅黑" w:eastAsia="微软雅黑"/>
          <w:b/>
          <w:w w:val="81"/>
        </w:rPr>
        <w:t>14</w:t>
      </w:r>
      <w:r>
        <w:rPr>
          <w:rFonts w:hint="eastAsia" w:ascii="微软雅黑" w:eastAsia="微软雅黑"/>
          <w:b/>
          <w:w w:val="175"/>
        </w:rPr>
        <w:t>.</w:t>
      </w:r>
      <w:r>
        <w:rPr>
          <w:rFonts w:hint="eastAsia" w:ascii="微软雅黑" w:eastAsia="微软雅黑"/>
          <w:b/>
          <w:w w:val="81"/>
        </w:rPr>
        <w:t>4</w:t>
      </w:r>
      <w:r>
        <w:rPr>
          <w:rFonts w:hint="eastAsia" w:ascii="微软雅黑" w:eastAsia="微软雅黑"/>
          <w:b/>
          <w:w w:val="167"/>
        </w:rPr>
        <w:t xml:space="preserve"> </w:t>
      </w:r>
      <w:r>
        <w:rPr>
          <w:rFonts w:hint="eastAsia" w:ascii="微软雅黑" w:eastAsia="微软雅黑"/>
          <w:b/>
        </w:rPr>
        <w:t>最终结清</w:t>
      </w:r>
      <w:r>
        <w:rPr>
          <w:rFonts w:hint="eastAsia" w:ascii="微软雅黑" w:eastAsia="微软雅黑"/>
          <w:b/>
          <w:w w:val="167"/>
        </w:rPr>
        <w:t xml:space="preserve"> </w:t>
      </w:r>
    </w:p>
    <w:p w14:paraId="00F2C265">
      <w:pPr>
        <w:pStyle w:val="317"/>
        <w:numPr>
          <w:ilvl w:val="2"/>
          <w:numId w:val="51"/>
        </w:numPr>
        <w:tabs>
          <w:tab w:val="left" w:pos="1378"/>
        </w:tabs>
        <w:spacing w:line="244" w:lineRule="exact"/>
        <w:ind w:hanging="632"/>
        <w:rPr>
          <w:sz w:val="21"/>
        </w:rPr>
      </w:pPr>
      <w:r>
        <w:rPr>
          <w:sz w:val="21"/>
        </w:rPr>
        <w:t xml:space="preserve">最终结清申请单 </w:t>
      </w:r>
    </w:p>
    <w:p w14:paraId="0BD664BF">
      <w:pPr>
        <w:pStyle w:val="17"/>
        <w:spacing w:before="4"/>
        <w:rPr>
          <w:sz w:val="15"/>
        </w:rPr>
      </w:pPr>
    </w:p>
    <w:p w14:paraId="0333D9A6">
      <w:pPr>
        <w:pStyle w:val="17"/>
        <w:ind w:left="746"/>
      </w:pPr>
      <w:r>
        <w:t>承包人提交最终结清申请单的份数：</w:t>
      </w:r>
      <w:r>
        <w:rPr>
          <w:u w:val="single"/>
        </w:rPr>
        <w:t>3 份</w:t>
      </w:r>
      <w:r>
        <w:t xml:space="preserve">。 </w:t>
      </w:r>
    </w:p>
    <w:p w14:paraId="75404969">
      <w:pPr>
        <w:pStyle w:val="17"/>
        <w:spacing w:before="10"/>
        <w:rPr>
          <w:sz w:val="9"/>
        </w:rPr>
      </w:pPr>
    </w:p>
    <w:p w14:paraId="28CE0CF4">
      <w:pPr>
        <w:pStyle w:val="17"/>
        <w:spacing w:before="71"/>
        <w:ind w:left="746"/>
      </w:pPr>
      <w:r>
        <w:t>承包人提交最终结算申请单的期限：</w:t>
      </w:r>
      <w:r>
        <w:rPr>
          <w:u w:val="single"/>
        </w:rPr>
        <w:t>缺陷责任期终止证书颁发后 14 天内</w:t>
      </w:r>
      <w:r>
        <w:t xml:space="preserve">。 </w:t>
      </w:r>
    </w:p>
    <w:p w14:paraId="4997582B">
      <w:pPr>
        <w:pStyle w:val="17"/>
        <w:spacing w:before="10"/>
        <w:rPr>
          <w:sz w:val="9"/>
        </w:rPr>
      </w:pPr>
    </w:p>
    <w:p w14:paraId="6292365B">
      <w:pPr>
        <w:pStyle w:val="317"/>
        <w:numPr>
          <w:ilvl w:val="2"/>
          <w:numId w:val="51"/>
        </w:numPr>
        <w:tabs>
          <w:tab w:val="left" w:pos="1378"/>
        </w:tabs>
        <w:spacing w:before="71"/>
        <w:ind w:hanging="632"/>
        <w:rPr>
          <w:sz w:val="21"/>
        </w:rPr>
      </w:pPr>
      <w:r>
        <w:rPr>
          <w:sz w:val="21"/>
        </w:rPr>
        <w:t xml:space="preserve">最终结清证书和支付 </w:t>
      </w:r>
    </w:p>
    <w:p w14:paraId="6E44F7C6">
      <w:pPr>
        <w:pStyle w:val="17"/>
        <w:spacing w:before="4"/>
        <w:rPr>
          <w:sz w:val="15"/>
        </w:rPr>
      </w:pPr>
    </w:p>
    <w:p w14:paraId="3E14295C">
      <w:pPr>
        <w:pStyle w:val="317"/>
        <w:numPr>
          <w:ilvl w:val="0"/>
          <w:numId w:val="52"/>
        </w:numPr>
        <w:tabs>
          <w:tab w:val="left" w:pos="1274"/>
        </w:tabs>
        <w:ind w:hanging="528"/>
        <w:rPr>
          <w:sz w:val="21"/>
        </w:rPr>
      </w:pPr>
      <w:r>
        <w:rPr>
          <w:spacing w:val="-1"/>
          <w:sz w:val="21"/>
        </w:rPr>
        <w:t>发包人完成最终结清申请单的审批并颁发最终结清证书的期限：</w:t>
      </w:r>
      <w:r>
        <w:rPr>
          <w:spacing w:val="-5"/>
          <w:sz w:val="21"/>
          <w:u w:val="single"/>
        </w:rPr>
        <w:t xml:space="preserve">发包人收到完整资料后 </w:t>
      </w:r>
      <w:r>
        <w:rPr>
          <w:sz w:val="21"/>
          <w:u w:val="single"/>
        </w:rPr>
        <w:t>14</w:t>
      </w:r>
    </w:p>
    <w:p w14:paraId="6B2A1E04">
      <w:pPr>
        <w:pStyle w:val="17"/>
        <w:rPr>
          <w:sz w:val="11"/>
        </w:rPr>
      </w:pPr>
    </w:p>
    <w:p w14:paraId="63EC0334">
      <w:pPr>
        <w:pStyle w:val="17"/>
        <w:spacing w:before="71"/>
        <w:ind w:left="326"/>
      </w:pPr>
      <w:r>
        <w:rPr>
          <w:u w:val="single"/>
        </w:rPr>
        <w:t>天内完成审批并颁发最终结清证书</w:t>
      </w:r>
      <w:r>
        <w:t xml:space="preserve">。 </w:t>
      </w:r>
    </w:p>
    <w:p w14:paraId="50D740D7">
      <w:pPr>
        <w:pStyle w:val="17"/>
        <w:spacing w:before="10"/>
        <w:rPr>
          <w:sz w:val="9"/>
        </w:rPr>
      </w:pPr>
    </w:p>
    <w:p w14:paraId="0BE9C781">
      <w:pPr>
        <w:pStyle w:val="317"/>
        <w:numPr>
          <w:ilvl w:val="0"/>
          <w:numId w:val="52"/>
        </w:numPr>
        <w:tabs>
          <w:tab w:val="left" w:pos="1274"/>
        </w:tabs>
        <w:spacing w:before="71"/>
        <w:ind w:hanging="528"/>
        <w:rPr>
          <w:sz w:val="21"/>
        </w:rPr>
      </w:pPr>
      <w:r>
        <w:rPr>
          <w:sz w:val="21"/>
        </w:rPr>
        <w:t>发包人完成支付的期限：</w:t>
      </w:r>
      <w:r>
        <w:rPr>
          <w:spacing w:val="-5"/>
          <w:sz w:val="21"/>
          <w:u w:val="single"/>
        </w:rPr>
        <w:t xml:space="preserve">颁发最终结清证书的 </w:t>
      </w:r>
      <w:r>
        <w:rPr>
          <w:sz w:val="21"/>
          <w:u w:val="single"/>
        </w:rPr>
        <w:t>14</w:t>
      </w:r>
      <w:r>
        <w:rPr>
          <w:spacing w:val="-16"/>
          <w:sz w:val="21"/>
          <w:u w:val="single"/>
        </w:rPr>
        <w:t xml:space="preserve"> 天内</w:t>
      </w:r>
      <w:r>
        <w:rPr>
          <w:sz w:val="21"/>
        </w:rPr>
        <w:t xml:space="preserve">。 </w:t>
      </w:r>
    </w:p>
    <w:p w14:paraId="2B9E9944">
      <w:pPr>
        <w:rPr>
          <w:sz w:val="21"/>
        </w:rPr>
        <w:sectPr>
          <w:pgSz w:w="11910" w:h="16850"/>
          <w:pgMar w:top="1440" w:right="1080" w:bottom="1440" w:left="1080" w:header="0" w:footer="996" w:gutter="0"/>
          <w:cols w:space="720" w:num="1"/>
        </w:sectPr>
      </w:pPr>
    </w:p>
    <w:p w14:paraId="362307E3">
      <w:pPr>
        <w:pStyle w:val="17"/>
        <w:spacing w:before="46"/>
        <w:ind w:left="581"/>
      </w:pPr>
      <w:r>
        <w:t xml:space="preserve">本条补充 14.5 款： </w:t>
      </w:r>
    </w:p>
    <w:p w14:paraId="75DAD9C7">
      <w:pPr>
        <w:pStyle w:val="3"/>
        <w:spacing w:before="129"/>
        <w:ind w:left="581" w:firstLine="0"/>
      </w:pPr>
      <w:r>
        <w:rPr>
          <w:spacing w:val="14"/>
          <w:w w:val="81"/>
        </w:rPr>
        <w:t>14</w:t>
      </w:r>
      <w:r>
        <w:rPr>
          <w:spacing w:val="14"/>
          <w:w w:val="175"/>
        </w:rPr>
        <w:t>.</w:t>
      </w:r>
      <w:r>
        <w:rPr>
          <w:w w:val="81"/>
        </w:rPr>
        <w:t>5</w:t>
      </w:r>
      <w:r>
        <w:rPr>
          <w:spacing w:val="-29"/>
          <w:w w:val="167"/>
        </w:rPr>
        <w:t xml:space="preserve"> </w:t>
      </w:r>
      <w:r>
        <w:rPr>
          <w:spacing w:val="-1"/>
        </w:rPr>
        <w:t>逾期办理或不配合办理竣工结算的处理</w:t>
      </w:r>
      <w:r>
        <w:rPr>
          <w:w w:val="167"/>
        </w:rPr>
        <w:t xml:space="preserve"> </w:t>
      </w:r>
    </w:p>
    <w:p w14:paraId="1BF5AD6D">
      <w:pPr>
        <w:pStyle w:val="17"/>
        <w:spacing w:before="146" w:line="429" w:lineRule="auto"/>
        <w:ind w:left="161" w:right="1267" w:firstLine="420"/>
      </w:pPr>
      <w:r>
        <w:rPr>
          <w:spacing w:val="-13"/>
        </w:rPr>
        <w:t>有下列情形之一的，视为承包人放弃与发包人共同办理竣工结算的权利，发包人有权会同跟审单位、监理人根据有效资料共同确定竣工结算金额。</w:t>
      </w:r>
      <w:r>
        <w:t xml:space="preserve"> </w:t>
      </w:r>
    </w:p>
    <w:p w14:paraId="336308E7">
      <w:pPr>
        <w:pStyle w:val="317"/>
        <w:numPr>
          <w:ilvl w:val="0"/>
          <w:numId w:val="53"/>
        </w:numPr>
        <w:tabs>
          <w:tab w:val="left" w:pos="1109"/>
        </w:tabs>
        <w:spacing w:line="252" w:lineRule="exact"/>
        <w:ind w:hanging="528"/>
        <w:rPr>
          <w:sz w:val="21"/>
        </w:rPr>
      </w:pPr>
      <w:r>
        <w:rPr>
          <w:sz w:val="21"/>
        </w:rPr>
        <w:t>承包人逾期未报送竣工结算资料，亦未获得发包人批准延期报送，经发包人两次书面催告仍</w:t>
      </w:r>
    </w:p>
    <w:p w14:paraId="59E9321D">
      <w:pPr>
        <w:pStyle w:val="17"/>
        <w:spacing w:before="4"/>
        <w:rPr>
          <w:sz w:val="15"/>
        </w:rPr>
      </w:pPr>
    </w:p>
    <w:p w14:paraId="330273CA">
      <w:pPr>
        <w:pStyle w:val="17"/>
        <w:ind w:left="161"/>
      </w:pPr>
      <w:r>
        <w:t xml:space="preserve">未在限期内报送的； </w:t>
      </w:r>
    </w:p>
    <w:p w14:paraId="1A90676C">
      <w:pPr>
        <w:pStyle w:val="17"/>
        <w:spacing w:before="4"/>
        <w:rPr>
          <w:sz w:val="15"/>
        </w:rPr>
      </w:pPr>
    </w:p>
    <w:p w14:paraId="13508208">
      <w:pPr>
        <w:pStyle w:val="317"/>
        <w:numPr>
          <w:ilvl w:val="0"/>
          <w:numId w:val="53"/>
        </w:numPr>
        <w:tabs>
          <w:tab w:val="left" w:pos="1109"/>
        </w:tabs>
        <w:spacing w:line="422" w:lineRule="auto"/>
        <w:ind w:left="161" w:right="1371" w:firstLine="420"/>
        <w:jc w:val="both"/>
        <w:rPr>
          <w:sz w:val="21"/>
        </w:rPr>
      </w:pPr>
      <w:r>
        <w:rPr>
          <w:sz w:val="21"/>
        </w:rPr>
        <w:t>承包人在接到监理人或发包人对竣工结算申请单提出的审核意见后，未在限期内按监理人或</w:t>
      </w:r>
      <w:r>
        <w:rPr>
          <w:spacing w:val="-2"/>
          <w:sz w:val="21"/>
        </w:rPr>
        <w:t>发包人提出的合理要求补充资料和</w:t>
      </w:r>
      <w:r>
        <w:rPr>
          <w:sz w:val="21"/>
        </w:rPr>
        <w:t>（或</w:t>
      </w:r>
      <w:r>
        <w:rPr>
          <w:spacing w:val="-16"/>
          <w:sz w:val="21"/>
        </w:rPr>
        <w:t>）</w:t>
      </w:r>
      <w:r>
        <w:rPr>
          <w:spacing w:val="-4"/>
          <w:sz w:val="21"/>
        </w:rPr>
        <w:t>修改竣工结算资料，亦未获得发包人批准延期报送，经发包人两次书面催告仍未在限期内报送的；</w:t>
      </w:r>
      <w:r>
        <w:rPr>
          <w:sz w:val="21"/>
        </w:rPr>
        <w:t xml:space="preserve"> </w:t>
      </w:r>
    </w:p>
    <w:p w14:paraId="340D3842">
      <w:pPr>
        <w:pStyle w:val="317"/>
        <w:numPr>
          <w:ilvl w:val="0"/>
          <w:numId w:val="53"/>
        </w:numPr>
        <w:tabs>
          <w:tab w:val="left" w:pos="1109"/>
        </w:tabs>
        <w:spacing w:line="415" w:lineRule="auto"/>
        <w:ind w:left="161" w:right="1401" w:firstLine="420"/>
        <w:rPr>
          <w:sz w:val="21"/>
        </w:rPr>
      </w:pPr>
      <w:r>
        <w:rPr>
          <w:sz w:val="21"/>
        </w:rPr>
        <w:t>承包人不配合发包人、跟审单位、监理人、发包人委托的工程造价咨询服务单位办理竣工结</w:t>
      </w:r>
      <w:r>
        <w:rPr>
          <w:spacing w:val="-1"/>
          <w:sz w:val="21"/>
        </w:rPr>
        <w:t>算的，经发包人两次书面函告仍未改正的。</w:t>
      </w:r>
      <w:r>
        <w:rPr>
          <w:sz w:val="21"/>
        </w:rPr>
        <w:t xml:space="preserve"> </w:t>
      </w:r>
    </w:p>
    <w:p w14:paraId="6B88F294">
      <w:pPr>
        <w:pStyle w:val="17"/>
        <w:ind w:left="581"/>
      </w:pPr>
      <w:r>
        <w:t>（4）</w:t>
      </w:r>
      <w:r>
        <w:rPr>
          <w:u w:val="single"/>
        </w:rPr>
        <w:t xml:space="preserve"> </w:t>
      </w:r>
      <w:r>
        <w:t xml:space="preserve">。 </w:t>
      </w:r>
    </w:p>
    <w:p w14:paraId="4EEA1149">
      <w:pPr>
        <w:pStyle w:val="17"/>
        <w:spacing w:before="1"/>
        <w:rPr>
          <w:sz w:val="9"/>
        </w:rPr>
      </w:pPr>
    </w:p>
    <w:p w14:paraId="0ED3E46D">
      <w:pPr>
        <w:pStyle w:val="17"/>
        <w:spacing w:before="71"/>
        <w:ind w:left="581"/>
      </w:pPr>
      <w:r>
        <w:rPr>
          <w:spacing w:val="-3"/>
          <w:u w:val="single"/>
        </w:rPr>
        <w:t xml:space="preserve">发包人应在竣工结算定案表确定后 </w:t>
      </w:r>
      <w:r>
        <w:rPr>
          <w:u w:val="single"/>
        </w:rPr>
        <w:t>28</w:t>
      </w:r>
      <w:r>
        <w:rPr>
          <w:spacing w:val="-7"/>
          <w:u w:val="single"/>
        </w:rPr>
        <w:t xml:space="preserve"> 天内，以书面函件形式将竣工结算定案表函告承包人，该定</w:t>
      </w:r>
    </w:p>
    <w:p w14:paraId="250F9CDC">
      <w:pPr>
        <w:pStyle w:val="17"/>
        <w:spacing w:before="12"/>
        <w:rPr>
          <w:sz w:val="10"/>
        </w:rPr>
      </w:pPr>
    </w:p>
    <w:p w14:paraId="306D68E8">
      <w:pPr>
        <w:pStyle w:val="17"/>
        <w:spacing w:before="71"/>
        <w:ind w:left="161"/>
      </w:pPr>
      <w:r>
        <w:rPr>
          <w:spacing w:val="-5"/>
          <w:u w:val="single"/>
        </w:rPr>
        <w:t>案表自送达之日起生效。该书面函件应采用直接送达方式送达，双方应办理书面签收手续，承包人实际</w:t>
      </w:r>
    </w:p>
    <w:p w14:paraId="75D71F30">
      <w:pPr>
        <w:pStyle w:val="17"/>
        <w:spacing w:before="10"/>
        <w:rPr>
          <w:sz w:val="9"/>
        </w:rPr>
      </w:pPr>
    </w:p>
    <w:p w14:paraId="632B36D7">
      <w:pPr>
        <w:pStyle w:val="17"/>
        <w:spacing w:before="71"/>
        <w:ind w:left="161"/>
      </w:pPr>
      <w:r>
        <w:rPr>
          <w:spacing w:val="-11"/>
          <w:u w:val="single"/>
        </w:rPr>
        <w:t>签收日期为送达之日；若承包人拒绝签收的，视为已经送达，以该书面函件载明的签发日期为送达之日</w:t>
      </w:r>
      <w:r>
        <w:rPr>
          <w:spacing w:val="-120"/>
        </w:rPr>
        <w:t>。</w:t>
      </w:r>
      <w:r>
        <w:t xml:space="preserve"> </w:t>
      </w:r>
    </w:p>
    <w:p w14:paraId="0E3C45C1">
      <w:pPr>
        <w:pStyle w:val="17"/>
        <w:spacing w:before="6"/>
      </w:pPr>
    </w:p>
    <w:p w14:paraId="7DC6913E">
      <w:pPr>
        <w:pStyle w:val="3"/>
        <w:numPr>
          <w:ilvl w:val="0"/>
          <w:numId w:val="5"/>
        </w:numPr>
        <w:tabs>
          <w:tab w:val="left" w:pos="522"/>
        </w:tabs>
        <w:spacing w:before="4"/>
        <w:ind w:left="521" w:hanging="361"/>
        <w:jc w:val="left"/>
      </w:pPr>
      <w:r>
        <w:rPr>
          <w:spacing w:val="4"/>
        </w:rPr>
        <w:t>缺陷责任期与保修</w:t>
      </w:r>
      <w:r>
        <w:rPr>
          <w:spacing w:val="4"/>
          <w:w w:val="167"/>
        </w:rPr>
        <w:t xml:space="preserve"> </w:t>
      </w:r>
    </w:p>
    <w:p w14:paraId="2FEC64FB">
      <w:pPr>
        <w:pStyle w:val="17"/>
        <w:spacing w:before="4"/>
        <w:rPr>
          <w:rFonts w:ascii="微软雅黑"/>
          <w:b/>
          <w:sz w:val="13"/>
        </w:rPr>
      </w:pPr>
    </w:p>
    <w:p w14:paraId="0C463E9D">
      <w:pPr>
        <w:pStyle w:val="317"/>
        <w:numPr>
          <w:ilvl w:val="1"/>
          <w:numId w:val="54"/>
        </w:numPr>
        <w:tabs>
          <w:tab w:val="left" w:pos="1048"/>
        </w:tabs>
        <w:ind w:hanging="467"/>
        <w:jc w:val="left"/>
        <w:rPr>
          <w:rFonts w:ascii="微软雅黑" w:eastAsia="微软雅黑"/>
          <w:b/>
          <w:sz w:val="21"/>
        </w:rPr>
      </w:pPr>
      <w:r>
        <w:rPr>
          <w:rFonts w:hint="eastAsia" w:ascii="微软雅黑" w:eastAsia="微软雅黑"/>
          <w:b/>
          <w:spacing w:val="8"/>
          <w:sz w:val="21"/>
        </w:rPr>
        <w:t>质量保证金</w:t>
      </w:r>
      <w:r>
        <w:rPr>
          <w:rFonts w:hint="eastAsia" w:ascii="微软雅黑" w:eastAsia="微软雅黑"/>
          <w:b/>
          <w:spacing w:val="8"/>
          <w:w w:val="167"/>
          <w:sz w:val="21"/>
        </w:rPr>
        <w:t xml:space="preserve"> </w:t>
      </w:r>
    </w:p>
    <w:p w14:paraId="3AADF9B1">
      <w:pPr>
        <w:pStyle w:val="317"/>
        <w:numPr>
          <w:ilvl w:val="2"/>
          <w:numId w:val="54"/>
        </w:numPr>
        <w:tabs>
          <w:tab w:val="left" w:pos="1213"/>
        </w:tabs>
        <w:spacing w:before="145" w:line="415" w:lineRule="auto"/>
        <w:ind w:left="581" w:right="6771" w:firstLine="0"/>
        <w:jc w:val="left"/>
        <w:rPr>
          <w:sz w:val="21"/>
        </w:rPr>
      </w:pPr>
      <w:r>
        <w:rPr>
          <w:spacing w:val="-1"/>
          <w:sz w:val="21"/>
        </w:rPr>
        <w:t xml:space="preserve">承包人提供质量保证金的方式 </w:t>
      </w:r>
      <w:r>
        <w:rPr>
          <w:sz w:val="21"/>
        </w:rPr>
        <w:t>质量保证金采用以下第</w:t>
      </w:r>
      <w:r>
        <w:rPr>
          <w:spacing w:val="20"/>
          <w:sz w:val="21"/>
        </w:rPr>
        <w:t xml:space="preserve"> 种方式： </w:t>
      </w:r>
    </w:p>
    <w:p w14:paraId="469BAD78">
      <w:pPr>
        <w:pStyle w:val="317"/>
        <w:numPr>
          <w:ilvl w:val="0"/>
          <w:numId w:val="55"/>
        </w:numPr>
        <w:tabs>
          <w:tab w:val="left" w:pos="1109"/>
        </w:tabs>
        <w:spacing w:before="15"/>
        <w:ind w:hanging="528"/>
        <w:rPr>
          <w:sz w:val="21"/>
        </w:rPr>
      </w:pPr>
      <w:r>
        <w:rPr>
          <w:sz w:val="21"/>
        </w:rPr>
        <w:t xml:space="preserve">质量保证金保函 </w:t>
      </w:r>
    </w:p>
    <w:p w14:paraId="60CAFD38">
      <w:pPr>
        <w:pStyle w:val="17"/>
        <w:spacing w:before="4"/>
        <w:rPr>
          <w:sz w:val="15"/>
        </w:rPr>
      </w:pPr>
    </w:p>
    <w:p w14:paraId="6133EA2C">
      <w:pPr>
        <w:pStyle w:val="317"/>
        <w:numPr>
          <w:ilvl w:val="0"/>
          <w:numId w:val="56"/>
        </w:numPr>
        <w:tabs>
          <w:tab w:val="left" w:pos="898"/>
        </w:tabs>
        <w:ind w:hanging="317"/>
        <w:rPr>
          <w:sz w:val="21"/>
        </w:rPr>
      </w:pPr>
      <w:r>
        <w:rPr>
          <w:spacing w:val="-2"/>
          <w:sz w:val="21"/>
          <w:u w:val="single"/>
        </w:rPr>
        <w:t>按招标文件载明的格式或发包人认可的格式向发包人提交不可撤销的见索即付银行保函</w:t>
      </w:r>
      <w:r>
        <w:rPr>
          <w:sz w:val="21"/>
        </w:rPr>
        <w:t xml:space="preserve">； </w:t>
      </w:r>
    </w:p>
    <w:p w14:paraId="39CB2EB2">
      <w:pPr>
        <w:pStyle w:val="17"/>
        <w:spacing w:before="11"/>
        <w:rPr>
          <w:sz w:val="9"/>
        </w:rPr>
      </w:pPr>
    </w:p>
    <w:p w14:paraId="65C38949">
      <w:pPr>
        <w:pStyle w:val="317"/>
        <w:numPr>
          <w:ilvl w:val="0"/>
          <w:numId w:val="56"/>
        </w:numPr>
        <w:tabs>
          <w:tab w:val="left" w:pos="898"/>
        </w:tabs>
        <w:spacing w:before="71"/>
        <w:ind w:hanging="317"/>
        <w:rPr>
          <w:sz w:val="21"/>
        </w:rPr>
      </w:pPr>
      <w:r>
        <w:rPr>
          <w:sz w:val="21"/>
        </w:rPr>
        <w:t>出具保函的银行级别：</w:t>
      </w:r>
      <w:r>
        <w:rPr>
          <w:spacing w:val="-1"/>
          <w:sz w:val="21"/>
          <w:u w:val="single"/>
        </w:rPr>
        <w:t>地市级及以上国家政策性银行或股份制商业银行的支行或其上级银行</w:t>
      </w:r>
      <w:r>
        <w:rPr>
          <w:sz w:val="21"/>
        </w:rPr>
        <w:t xml:space="preserve">； </w:t>
      </w:r>
    </w:p>
    <w:p w14:paraId="1604D9B7">
      <w:pPr>
        <w:pStyle w:val="17"/>
        <w:spacing w:before="9"/>
        <w:rPr>
          <w:sz w:val="9"/>
        </w:rPr>
      </w:pPr>
    </w:p>
    <w:p w14:paraId="38BAFBC1">
      <w:pPr>
        <w:pStyle w:val="317"/>
        <w:numPr>
          <w:ilvl w:val="0"/>
          <w:numId w:val="56"/>
        </w:numPr>
        <w:tabs>
          <w:tab w:val="left" w:pos="898"/>
        </w:tabs>
        <w:spacing w:before="71"/>
        <w:ind w:hanging="317"/>
        <w:rPr>
          <w:sz w:val="21"/>
        </w:rPr>
      </w:pPr>
      <w:r>
        <w:rPr>
          <w:sz w:val="21"/>
        </w:rPr>
        <w:t>保函金额为：</w:t>
      </w:r>
      <w:r>
        <w:rPr>
          <w:spacing w:val="52"/>
          <w:sz w:val="21"/>
        </w:rPr>
        <w:t xml:space="preserve"> 。 </w:t>
      </w:r>
    </w:p>
    <w:p w14:paraId="4AB4DE52">
      <w:pPr>
        <w:pStyle w:val="17"/>
        <w:spacing w:before="11"/>
        <w:rPr>
          <w:sz w:val="9"/>
        </w:rPr>
      </w:pPr>
    </w:p>
    <w:p w14:paraId="194EACC2">
      <w:pPr>
        <w:pStyle w:val="317"/>
        <w:numPr>
          <w:ilvl w:val="0"/>
          <w:numId w:val="56"/>
        </w:numPr>
        <w:tabs>
          <w:tab w:val="left" w:pos="898"/>
        </w:tabs>
        <w:spacing w:before="70"/>
        <w:ind w:hanging="317"/>
        <w:rPr>
          <w:sz w:val="21"/>
        </w:rPr>
      </w:pPr>
      <w:r>
        <w:rPr>
          <w:sz w:val="21"/>
        </w:rPr>
        <w:t>提交时间：</w:t>
      </w:r>
      <w:r>
        <w:rPr>
          <w:spacing w:val="-5"/>
          <w:sz w:val="21"/>
          <w:u w:val="single"/>
        </w:rPr>
        <w:t xml:space="preserve">工程竣工验收合格后 </w:t>
      </w:r>
      <w:r>
        <w:rPr>
          <w:sz w:val="21"/>
          <w:u w:val="single"/>
        </w:rPr>
        <w:t>14</w:t>
      </w:r>
      <w:r>
        <w:rPr>
          <w:spacing w:val="-16"/>
          <w:sz w:val="21"/>
          <w:u w:val="single"/>
        </w:rPr>
        <w:t xml:space="preserve"> 天内</w:t>
      </w:r>
      <w:r>
        <w:rPr>
          <w:sz w:val="21"/>
        </w:rPr>
        <w:t xml:space="preserve">。 </w:t>
      </w:r>
    </w:p>
    <w:p w14:paraId="61F0B05E">
      <w:pPr>
        <w:pStyle w:val="17"/>
        <w:rPr>
          <w:sz w:val="11"/>
        </w:rPr>
      </w:pPr>
    </w:p>
    <w:p w14:paraId="317B63A5">
      <w:pPr>
        <w:pStyle w:val="17"/>
        <w:spacing w:before="71"/>
        <w:ind w:left="581"/>
      </w:pPr>
      <w:r>
        <w:rPr>
          <w:u w:val="single"/>
        </w:rPr>
        <w:t>承包人提交质量保证金保函的，发包人应同时退还（若有）扣留的作为质量保证金的工程价款、履</w:t>
      </w:r>
    </w:p>
    <w:p w14:paraId="5FD31517">
      <w:pPr>
        <w:pStyle w:val="17"/>
        <w:spacing w:before="10"/>
        <w:rPr>
          <w:sz w:val="9"/>
        </w:rPr>
      </w:pPr>
    </w:p>
    <w:p w14:paraId="247348CF">
      <w:pPr>
        <w:pStyle w:val="17"/>
        <w:spacing w:before="71"/>
        <w:ind w:left="161"/>
      </w:pPr>
      <w:r>
        <w:rPr>
          <w:u w:val="single"/>
        </w:rPr>
        <w:t>约担保、低价风险担保；保函金额不得超过工程价款结算总额的 3%</w:t>
      </w:r>
      <w:r>
        <w:t xml:space="preserve">。 </w:t>
      </w:r>
    </w:p>
    <w:p w14:paraId="7C9D5F09">
      <w:pPr>
        <w:pStyle w:val="17"/>
        <w:spacing w:before="10"/>
        <w:rPr>
          <w:sz w:val="9"/>
        </w:rPr>
      </w:pPr>
    </w:p>
    <w:p w14:paraId="590A5749">
      <w:pPr>
        <w:pStyle w:val="317"/>
        <w:numPr>
          <w:ilvl w:val="0"/>
          <w:numId w:val="55"/>
        </w:numPr>
        <w:tabs>
          <w:tab w:val="left" w:pos="1109"/>
        </w:tabs>
        <w:spacing w:before="71"/>
        <w:ind w:hanging="528"/>
        <w:rPr>
          <w:sz w:val="21"/>
        </w:rPr>
      </w:pPr>
      <w:r>
        <w:rPr>
          <w:sz w:val="21"/>
        </w:rPr>
        <w:t>竣工结算价的</w:t>
      </w:r>
      <w:r>
        <w:rPr>
          <w:spacing w:val="-1"/>
          <w:sz w:val="21"/>
          <w:u w:val="single"/>
        </w:rPr>
        <w:t xml:space="preserve"> </w:t>
      </w:r>
      <w:r>
        <w:rPr>
          <w:sz w:val="21"/>
          <w:u w:val="single"/>
        </w:rPr>
        <w:t>3%</w:t>
      </w:r>
      <w:r>
        <w:rPr>
          <w:sz w:val="21"/>
        </w:rPr>
        <w:t xml:space="preserve"> ； </w:t>
      </w:r>
    </w:p>
    <w:p w14:paraId="011E3FE9">
      <w:pPr>
        <w:pStyle w:val="17"/>
        <w:spacing w:before="10"/>
        <w:rPr>
          <w:sz w:val="9"/>
        </w:rPr>
      </w:pPr>
    </w:p>
    <w:p w14:paraId="6DC5DA61">
      <w:pPr>
        <w:pStyle w:val="317"/>
        <w:numPr>
          <w:ilvl w:val="0"/>
          <w:numId w:val="55"/>
        </w:numPr>
        <w:tabs>
          <w:tab w:val="left" w:pos="1109"/>
        </w:tabs>
        <w:spacing w:before="71"/>
        <w:ind w:hanging="528"/>
        <w:rPr>
          <w:sz w:val="21"/>
        </w:rPr>
      </w:pPr>
      <w:r>
        <w:rPr>
          <w:sz w:val="21"/>
        </w:rPr>
        <w:t>其他方式：</w:t>
      </w:r>
      <w:r>
        <w:rPr>
          <w:spacing w:val="-1"/>
          <w:sz w:val="21"/>
          <w:u w:val="single"/>
        </w:rPr>
        <w:t xml:space="preserve"> </w:t>
      </w:r>
      <w:r>
        <w:rPr>
          <w:sz w:val="21"/>
          <w:u w:val="single"/>
        </w:rPr>
        <w:t>/</w:t>
      </w:r>
      <w:r>
        <w:rPr>
          <w:sz w:val="21"/>
        </w:rPr>
        <w:t xml:space="preserve"> 。 </w:t>
      </w:r>
    </w:p>
    <w:p w14:paraId="71E50940">
      <w:pPr>
        <w:pStyle w:val="17"/>
        <w:spacing w:before="10"/>
        <w:rPr>
          <w:sz w:val="9"/>
        </w:rPr>
      </w:pPr>
    </w:p>
    <w:p w14:paraId="101F70F1">
      <w:pPr>
        <w:pStyle w:val="317"/>
        <w:numPr>
          <w:ilvl w:val="2"/>
          <w:numId w:val="54"/>
        </w:numPr>
        <w:tabs>
          <w:tab w:val="left" w:pos="1213"/>
        </w:tabs>
        <w:spacing w:before="71"/>
        <w:ind w:left="1213" w:hanging="632"/>
        <w:jc w:val="left"/>
        <w:rPr>
          <w:sz w:val="21"/>
        </w:rPr>
      </w:pPr>
      <w:r>
        <w:rPr>
          <w:sz w:val="21"/>
        </w:rPr>
        <w:t xml:space="preserve">质量保证金的扣留 </w:t>
      </w:r>
    </w:p>
    <w:p w14:paraId="37FC20C2">
      <w:pPr>
        <w:rPr>
          <w:sz w:val="21"/>
        </w:rPr>
        <w:sectPr>
          <w:pgSz w:w="11910" w:h="16850"/>
          <w:pgMar w:top="1440" w:right="1080" w:bottom="1440" w:left="1080" w:header="0" w:footer="996" w:gutter="0"/>
          <w:cols w:space="720" w:num="1"/>
        </w:sectPr>
      </w:pPr>
    </w:p>
    <w:p w14:paraId="4AA8420A">
      <w:pPr>
        <w:pStyle w:val="17"/>
        <w:spacing w:before="46"/>
        <w:ind w:left="746"/>
      </w:pPr>
      <w:r>
        <w:t>质量保证金的扣留采取以下第</w:t>
      </w:r>
      <w:r>
        <w:rPr>
          <w:u w:val="single"/>
        </w:rPr>
        <w:t xml:space="preserve"> </w:t>
      </w:r>
      <w:r>
        <w:t xml:space="preserve">种方式： </w:t>
      </w:r>
    </w:p>
    <w:p w14:paraId="7DADA30E">
      <w:pPr>
        <w:pStyle w:val="17"/>
        <w:spacing w:before="11"/>
        <w:rPr>
          <w:sz w:val="9"/>
        </w:rPr>
      </w:pPr>
    </w:p>
    <w:p w14:paraId="2879D28D">
      <w:pPr>
        <w:pStyle w:val="317"/>
        <w:numPr>
          <w:ilvl w:val="3"/>
          <w:numId w:val="54"/>
        </w:numPr>
        <w:tabs>
          <w:tab w:val="left" w:pos="1274"/>
        </w:tabs>
        <w:spacing w:before="70" w:line="415" w:lineRule="auto"/>
        <w:ind w:right="1236" w:firstLine="420"/>
        <w:rPr>
          <w:sz w:val="21"/>
        </w:rPr>
      </w:pPr>
      <w:r>
        <w:rPr>
          <w:sz w:val="21"/>
        </w:rPr>
        <w:t xml:space="preserve">在支付工程进度款时逐次扣留，在此情形下，质量保证金的计算基数不包括预付款的支付、扣回以及价格调整的金额； </w:t>
      </w:r>
    </w:p>
    <w:p w14:paraId="0ED12398">
      <w:pPr>
        <w:pStyle w:val="317"/>
        <w:numPr>
          <w:ilvl w:val="3"/>
          <w:numId w:val="54"/>
        </w:numPr>
        <w:tabs>
          <w:tab w:val="left" w:pos="1274"/>
        </w:tabs>
        <w:spacing w:before="15"/>
        <w:ind w:left="1273" w:hanging="528"/>
        <w:rPr>
          <w:sz w:val="21"/>
        </w:rPr>
      </w:pPr>
      <w:r>
        <w:rPr>
          <w:spacing w:val="-1"/>
          <w:sz w:val="21"/>
        </w:rPr>
        <w:t>工程竣工结算时一次性扣留质量保证金；</w:t>
      </w:r>
      <w:r>
        <w:rPr>
          <w:sz w:val="21"/>
        </w:rPr>
        <w:t xml:space="preserve"> </w:t>
      </w:r>
    </w:p>
    <w:p w14:paraId="02051A22">
      <w:pPr>
        <w:pStyle w:val="17"/>
        <w:spacing w:before="4"/>
        <w:rPr>
          <w:sz w:val="15"/>
        </w:rPr>
      </w:pPr>
    </w:p>
    <w:p w14:paraId="4823D514">
      <w:pPr>
        <w:pStyle w:val="17"/>
        <w:ind w:left="746"/>
      </w:pPr>
      <w:r>
        <w:t>（3）</w:t>
      </w:r>
      <w:r>
        <w:rPr>
          <w:spacing w:val="7"/>
          <w:u w:val="single"/>
        </w:rPr>
        <w:t xml:space="preserve">其他扣留方式：       </w:t>
      </w:r>
      <w:r>
        <w:t xml:space="preserve">。 </w:t>
      </w:r>
    </w:p>
    <w:p w14:paraId="4FE941E4">
      <w:pPr>
        <w:pStyle w:val="17"/>
        <w:spacing w:before="10"/>
        <w:rPr>
          <w:sz w:val="9"/>
        </w:rPr>
      </w:pPr>
    </w:p>
    <w:p w14:paraId="1889CCC8">
      <w:pPr>
        <w:pStyle w:val="317"/>
        <w:numPr>
          <w:ilvl w:val="2"/>
          <w:numId w:val="54"/>
        </w:numPr>
        <w:tabs>
          <w:tab w:val="left" w:pos="1438"/>
        </w:tabs>
        <w:spacing w:before="71"/>
        <w:ind w:left="1438" w:hanging="692"/>
        <w:jc w:val="left"/>
        <w:rPr>
          <w:sz w:val="21"/>
        </w:rPr>
      </w:pPr>
      <w:r>
        <w:rPr>
          <w:spacing w:val="-1"/>
          <w:sz w:val="21"/>
        </w:rPr>
        <w:t xml:space="preserve">质量保证金的退还 </w:t>
      </w:r>
    </w:p>
    <w:p w14:paraId="2AAFC278">
      <w:pPr>
        <w:pStyle w:val="17"/>
        <w:spacing w:before="4"/>
        <w:rPr>
          <w:sz w:val="15"/>
        </w:rPr>
      </w:pPr>
    </w:p>
    <w:p w14:paraId="316072C3">
      <w:pPr>
        <w:pStyle w:val="317"/>
        <w:numPr>
          <w:ilvl w:val="0"/>
          <w:numId w:val="57"/>
        </w:numPr>
        <w:tabs>
          <w:tab w:val="left" w:pos="1274"/>
        </w:tabs>
        <w:ind w:hanging="528"/>
        <w:rPr>
          <w:sz w:val="21"/>
        </w:rPr>
      </w:pPr>
      <w:r>
        <w:rPr>
          <w:spacing w:val="-3"/>
          <w:sz w:val="21"/>
        </w:rPr>
        <w:t xml:space="preserve">在发包人颁发缺陷责任期终止证书之日起 </w:t>
      </w:r>
      <w:r>
        <w:rPr>
          <w:sz w:val="21"/>
        </w:rPr>
        <w:t>14</w:t>
      </w:r>
      <w:r>
        <w:rPr>
          <w:spacing w:val="-9"/>
          <w:sz w:val="21"/>
        </w:rPr>
        <w:t xml:space="preserve"> 天内退还。 </w:t>
      </w:r>
    </w:p>
    <w:p w14:paraId="1666C696">
      <w:pPr>
        <w:pStyle w:val="17"/>
        <w:spacing w:before="4"/>
        <w:rPr>
          <w:sz w:val="15"/>
        </w:rPr>
      </w:pPr>
    </w:p>
    <w:p w14:paraId="67885C7B">
      <w:pPr>
        <w:pStyle w:val="317"/>
        <w:numPr>
          <w:ilvl w:val="0"/>
          <w:numId w:val="57"/>
        </w:numPr>
        <w:tabs>
          <w:tab w:val="left" w:pos="1274"/>
        </w:tabs>
        <w:spacing w:before="1" w:line="427" w:lineRule="auto"/>
        <w:ind w:left="326" w:right="1235" w:firstLine="420"/>
        <w:rPr>
          <w:sz w:val="21"/>
        </w:rPr>
      </w:pPr>
      <w:r>
        <w:rPr>
          <w:sz w:val="21"/>
        </w:rPr>
        <w:t xml:space="preserve">缺陷责任期内，承包人认真履行合同约定的责任，到期后，承包人可向发包人申请返还质量保证金。 </w:t>
      </w:r>
    </w:p>
    <w:p w14:paraId="4DD49E45">
      <w:pPr>
        <w:pStyle w:val="317"/>
        <w:numPr>
          <w:ilvl w:val="0"/>
          <w:numId w:val="57"/>
        </w:numPr>
        <w:tabs>
          <w:tab w:val="left" w:pos="1274"/>
        </w:tabs>
        <w:spacing w:line="257" w:lineRule="exact"/>
        <w:ind w:hanging="528"/>
        <w:rPr>
          <w:sz w:val="21"/>
        </w:rPr>
      </w:pPr>
      <w:r>
        <w:rPr>
          <w:spacing w:val="-1"/>
          <w:sz w:val="21"/>
        </w:rPr>
        <w:t>质量保证金是否支付利息采取以下</w:t>
      </w:r>
      <w:r>
        <w:rPr>
          <w:sz w:val="21"/>
          <w:u w:val="single"/>
        </w:rPr>
        <w:t>第②种</w:t>
      </w:r>
      <w:r>
        <w:rPr>
          <w:sz w:val="21"/>
        </w:rPr>
        <w:t xml:space="preserve">方式： </w:t>
      </w:r>
    </w:p>
    <w:p w14:paraId="3841253D">
      <w:pPr>
        <w:pStyle w:val="17"/>
        <w:spacing w:before="10"/>
        <w:rPr>
          <w:sz w:val="9"/>
        </w:rPr>
      </w:pPr>
    </w:p>
    <w:p w14:paraId="305FE90A">
      <w:pPr>
        <w:pStyle w:val="17"/>
        <w:spacing w:before="71"/>
        <w:ind w:left="746"/>
      </w:pPr>
      <w:r>
        <w:rPr>
          <w:u w:val="single"/>
        </w:rPr>
        <w:t>①按照中国人民银行 年  月公布的 5 年期贷款市场报价利率支付利息</w:t>
      </w:r>
      <w:r>
        <w:t xml:space="preserve">。 </w:t>
      </w:r>
    </w:p>
    <w:p w14:paraId="23B76A41">
      <w:pPr>
        <w:pStyle w:val="17"/>
        <w:spacing w:before="10"/>
        <w:rPr>
          <w:sz w:val="9"/>
        </w:rPr>
      </w:pPr>
    </w:p>
    <w:p w14:paraId="38516AE7">
      <w:pPr>
        <w:pStyle w:val="17"/>
        <w:spacing w:before="71"/>
        <w:ind w:left="746"/>
      </w:pPr>
      <w:r>
        <w:rPr>
          <w:u w:val="single"/>
        </w:rPr>
        <w:t>②不采用</w:t>
      </w:r>
      <w:r>
        <w:t xml:space="preserve">。 </w:t>
      </w:r>
    </w:p>
    <w:p w14:paraId="7C75DE71">
      <w:pPr>
        <w:pStyle w:val="17"/>
        <w:spacing w:before="10"/>
        <w:rPr>
          <w:sz w:val="9"/>
        </w:rPr>
      </w:pPr>
    </w:p>
    <w:p w14:paraId="1F28CBA6">
      <w:pPr>
        <w:pStyle w:val="3"/>
        <w:numPr>
          <w:ilvl w:val="1"/>
          <w:numId w:val="54"/>
        </w:numPr>
        <w:tabs>
          <w:tab w:val="left" w:pos="1213"/>
        </w:tabs>
        <w:spacing w:before="4"/>
        <w:ind w:left="1212" w:hanging="467"/>
        <w:jc w:val="left"/>
      </w:pPr>
      <w:r>
        <w:rPr>
          <w:spacing w:val="15"/>
        </w:rPr>
        <w:t>保修</w:t>
      </w:r>
      <w:r>
        <w:rPr>
          <w:w w:val="167"/>
        </w:rPr>
        <w:t xml:space="preserve"> </w:t>
      </w:r>
    </w:p>
    <w:p w14:paraId="7076B584">
      <w:pPr>
        <w:pStyle w:val="317"/>
        <w:numPr>
          <w:ilvl w:val="2"/>
          <w:numId w:val="54"/>
        </w:numPr>
        <w:tabs>
          <w:tab w:val="left" w:pos="1379"/>
        </w:tabs>
        <w:spacing w:before="160"/>
        <w:ind w:left="1378" w:hanging="633"/>
        <w:jc w:val="left"/>
        <w:rPr>
          <w:sz w:val="21"/>
        </w:rPr>
      </w:pPr>
      <w:r>
        <w:rPr>
          <w:sz w:val="21"/>
        </w:rPr>
        <w:t xml:space="preserve">保修责任 </w:t>
      </w:r>
    </w:p>
    <w:p w14:paraId="1D0E7E81">
      <w:pPr>
        <w:pStyle w:val="17"/>
        <w:spacing w:before="4"/>
        <w:rPr>
          <w:sz w:val="15"/>
        </w:rPr>
      </w:pPr>
    </w:p>
    <w:p w14:paraId="7FAC5E6E">
      <w:pPr>
        <w:pStyle w:val="17"/>
        <w:spacing w:line="415" w:lineRule="auto"/>
        <w:ind w:left="746" w:right="4443"/>
      </w:pPr>
      <w:r>
        <w:t xml:space="preserve">工程保修期为：按照附件 1《工程质量保修书》的规定执行。15.4.3 修复通知 </w:t>
      </w:r>
    </w:p>
    <w:p w14:paraId="7659A33A">
      <w:pPr>
        <w:pStyle w:val="17"/>
        <w:ind w:left="746"/>
      </w:pPr>
      <w:r>
        <w:t>承包人收到保修通知并到达工程现场的合理时间：</w:t>
      </w:r>
      <w:r>
        <w:rPr>
          <w:u w:val="single"/>
        </w:rPr>
        <w:t xml:space="preserve"> 小时内，最长不能超过 小时</w:t>
      </w:r>
      <w:r>
        <w:t xml:space="preserve">。 </w:t>
      </w:r>
    </w:p>
    <w:p w14:paraId="4219E059">
      <w:pPr>
        <w:pStyle w:val="17"/>
        <w:spacing w:before="7"/>
      </w:pPr>
    </w:p>
    <w:p w14:paraId="447216CE">
      <w:pPr>
        <w:pStyle w:val="3"/>
        <w:numPr>
          <w:ilvl w:val="0"/>
          <w:numId w:val="5"/>
        </w:numPr>
        <w:tabs>
          <w:tab w:val="left" w:pos="687"/>
        </w:tabs>
        <w:spacing w:before="3"/>
        <w:ind w:left="686" w:hanging="361"/>
        <w:jc w:val="left"/>
      </w:pPr>
      <w:r>
        <w:rPr>
          <w:spacing w:val="15"/>
        </w:rPr>
        <w:t>违约</w:t>
      </w:r>
      <w:r>
        <w:rPr>
          <w:w w:val="167"/>
        </w:rPr>
        <w:t xml:space="preserve"> </w:t>
      </w:r>
    </w:p>
    <w:p w14:paraId="7BF2CB25">
      <w:pPr>
        <w:pStyle w:val="17"/>
        <w:spacing w:before="4"/>
        <w:rPr>
          <w:rFonts w:ascii="微软雅黑"/>
          <w:b/>
          <w:sz w:val="13"/>
        </w:rPr>
      </w:pPr>
    </w:p>
    <w:p w14:paraId="17FACC48">
      <w:pPr>
        <w:pStyle w:val="317"/>
        <w:numPr>
          <w:ilvl w:val="1"/>
          <w:numId w:val="5"/>
        </w:numPr>
        <w:tabs>
          <w:tab w:val="left" w:pos="1213"/>
        </w:tabs>
        <w:ind w:left="1212" w:hanging="467"/>
        <w:rPr>
          <w:rFonts w:ascii="微软雅黑" w:eastAsia="微软雅黑"/>
          <w:b/>
          <w:sz w:val="21"/>
        </w:rPr>
      </w:pPr>
      <w:r>
        <w:rPr>
          <w:rFonts w:hint="eastAsia" w:ascii="微软雅黑" w:eastAsia="微软雅黑"/>
          <w:b/>
          <w:spacing w:val="8"/>
          <w:sz w:val="21"/>
        </w:rPr>
        <w:t>发包人违约</w:t>
      </w:r>
      <w:r>
        <w:rPr>
          <w:rFonts w:hint="eastAsia" w:ascii="微软雅黑" w:eastAsia="微软雅黑"/>
          <w:b/>
          <w:spacing w:val="8"/>
          <w:w w:val="167"/>
          <w:sz w:val="21"/>
        </w:rPr>
        <w:t xml:space="preserve"> </w:t>
      </w:r>
    </w:p>
    <w:p w14:paraId="5B058D98">
      <w:pPr>
        <w:pStyle w:val="317"/>
        <w:numPr>
          <w:ilvl w:val="2"/>
          <w:numId w:val="5"/>
        </w:numPr>
        <w:tabs>
          <w:tab w:val="left" w:pos="1378"/>
        </w:tabs>
        <w:spacing w:before="161"/>
        <w:ind w:left="1378" w:hanging="632"/>
        <w:jc w:val="left"/>
        <w:rPr>
          <w:sz w:val="19"/>
        </w:rPr>
      </w:pPr>
      <w:r>
        <w:rPr>
          <w:sz w:val="21"/>
        </w:rPr>
        <w:t xml:space="preserve">发包人违约的情形 </w:t>
      </w:r>
    </w:p>
    <w:p w14:paraId="287C9C7B">
      <w:pPr>
        <w:pStyle w:val="17"/>
        <w:spacing w:before="4"/>
        <w:rPr>
          <w:sz w:val="15"/>
        </w:rPr>
      </w:pPr>
    </w:p>
    <w:p w14:paraId="4F1DF3D7">
      <w:pPr>
        <w:pStyle w:val="17"/>
        <w:ind w:left="746"/>
      </w:pPr>
      <w:r>
        <w:t xml:space="preserve">除通用合同条款约定外，发包人违约的其他情形： </w:t>
      </w:r>
    </w:p>
    <w:p w14:paraId="4CF34B9E">
      <w:pPr>
        <w:pStyle w:val="17"/>
        <w:spacing w:before="4"/>
        <w:rPr>
          <w:sz w:val="15"/>
        </w:rPr>
      </w:pPr>
    </w:p>
    <w:p w14:paraId="414455EB">
      <w:pPr>
        <w:pStyle w:val="317"/>
        <w:numPr>
          <w:ilvl w:val="0"/>
          <w:numId w:val="58"/>
        </w:numPr>
        <w:tabs>
          <w:tab w:val="left" w:pos="1274"/>
        </w:tabs>
        <w:ind w:hanging="528"/>
        <w:jc w:val="left"/>
        <w:rPr>
          <w:sz w:val="21"/>
        </w:rPr>
      </w:pPr>
      <w:r>
        <w:rPr>
          <w:spacing w:val="-6"/>
          <w:sz w:val="21"/>
        </w:rPr>
        <w:t xml:space="preserve">根据专用合同条款 </w:t>
      </w:r>
      <w:r>
        <w:rPr>
          <w:sz w:val="21"/>
        </w:rPr>
        <w:t>7.5.1</w:t>
      </w:r>
      <w:r>
        <w:rPr>
          <w:spacing w:val="-7"/>
          <w:sz w:val="21"/>
        </w:rPr>
        <w:t xml:space="preserve"> 项因发包人原因导致工期延误的；</w:t>
      </w:r>
      <w:r>
        <w:rPr>
          <w:sz w:val="21"/>
        </w:rPr>
        <w:t xml:space="preserve"> </w:t>
      </w:r>
    </w:p>
    <w:p w14:paraId="50E4135C">
      <w:pPr>
        <w:pStyle w:val="317"/>
        <w:numPr>
          <w:ilvl w:val="0"/>
          <w:numId w:val="58"/>
        </w:numPr>
        <w:tabs>
          <w:tab w:val="left" w:pos="1274"/>
        </w:tabs>
        <w:spacing w:before="91"/>
        <w:ind w:hanging="528"/>
        <w:jc w:val="left"/>
        <w:rPr>
          <w:sz w:val="21"/>
        </w:rPr>
      </w:pPr>
      <w:r>
        <w:rPr>
          <w:spacing w:val="-1"/>
          <w:sz w:val="21"/>
        </w:rPr>
        <w:t>因发包人原因未能及时办理完毕合同约定的许可、批准或备案的；</w:t>
      </w:r>
      <w:r>
        <w:rPr>
          <w:sz w:val="21"/>
        </w:rPr>
        <w:t xml:space="preserve"> </w:t>
      </w:r>
    </w:p>
    <w:p w14:paraId="56048964">
      <w:pPr>
        <w:pStyle w:val="317"/>
        <w:numPr>
          <w:ilvl w:val="0"/>
          <w:numId w:val="58"/>
        </w:numPr>
        <w:tabs>
          <w:tab w:val="left" w:pos="1274"/>
        </w:tabs>
        <w:spacing w:before="137" w:line="374" w:lineRule="auto"/>
        <w:ind w:left="326" w:right="1003" w:firstLine="420"/>
        <w:jc w:val="left"/>
        <w:rPr>
          <w:sz w:val="21"/>
        </w:rPr>
      </w:pPr>
      <w:r>
        <w:rPr>
          <w:spacing w:val="-6"/>
          <w:sz w:val="21"/>
        </w:rPr>
        <w:t>因监理人未能按合同约定发出指示、指示延误或发出了错误指示而导致承包人费用增加和</w:t>
      </w:r>
      <w:r>
        <w:rPr>
          <w:spacing w:val="-5"/>
          <w:sz w:val="21"/>
        </w:rPr>
        <w:t>（</w:t>
      </w:r>
      <w:r>
        <w:rPr>
          <w:sz w:val="21"/>
        </w:rPr>
        <w:t xml:space="preserve">或）工期延误的； </w:t>
      </w:r>
    </w:p>
    <w:p w14:paraId="4D4E666C">
      <w:pPr>
        <w:pStyle w:val="317"/>
        <w:numPr>
          <w:ilvl w:val="0"/>
          <w:numId w:val="58"/>
        </w:numPr>
        <w:tabs>
          <w:tab w:val="left" w:pos="1274"/>
        </w:tabs>
        <w:spacing w:line="255" w:lineRule="exact"/>
        <w:ind w:hanging="528"/>
        <w:jc w:val="left"/>
        <w:rPr>
          <w:sz w:val="21"/>
        </w:rPr>
      </w:pPr>
      <w:r>
        <w:rPr>
          <w:spacing w:val="-15"/>
          <w:sz w:val="21"/>
        </w:rPr>
        <w:t xml:space="preserve">根据 </w:t>
      </w:r>
      <w:r>
        <w:rPr>
          <w:sz w:val="21"/>
        </w:rPr>
        <w:t>5.3.3</w:t>
      </w:r>
      <w:r>
        <w:rPr>
          <w:spacing w:val="-10"/>
          <w:sz w:val="21"/>
        </w:rPr>
        <w:t xml:space="preserve"> 发包人或监理人要求重新检查的，经检查证明工程质量符合合同要求的，并由此产</w:t>
      </w:r>
    </w:p>
    <w:p w14:paraId="49844A3C">
      <w:pPr>
        <w:pStyle w:val="17"/>
        <w:spacing w:before="136"/>
        <w:ind w:left="326"/>
      </w:pPr>
      <w:r>
        <w:t xml:space="preserve">生增加的费用和（或）延误的工期的； </w:t>
      </w:r>
    </w:p>
    <w:p w14:paraId="3C89B661">
      <w:pPr>
        <w:pStyle w:val="317"/>
        <w:numPr>
          <w:ilvl w:val="0"/>
          <w:numId w:val="58"/>
        </w:numPr>
        <w:tabs>
          <w:tab w:val="left" w:pos="1274"/>
        </w:tabs>
        <w:spacing w:before="137"/>
        <w:ind w:hanging="528"/>
        <w:jc w:val="left"/>
        <w:rPr>
          <w:sz w:val="21"/>
        </w:rPr>
      </w:pPr>
      <w:r>
        <w:rPr>
          <w:spacing w:val="-1"/>
          <w:sz w:val="21"/>
        </w:rPr>
        <w:t>因发包人原因造成工程质量未达到合同约定标准的；</w:t>
      </w:r>
      <w:r>
        <w:rPr>
          <w:sz w:val="21"/>
        </w:rPr>
        <w:t xml:space="preserve"> </w:t>
      </w:r>
    </w:p>
    <w:p w14:paraId="1C575CD4">
      <w:pPr>
        <w:pStyle w:val="317"/>
        <w:numPr>
          <w:ilvl w:val="0"/>
          <w:numId w:val="58"/>
        </w:numPr>
        <w:tabs>
          <w:tab w:val="left" w:pos="1274"/>
        </w:tabs>
        <w:spacing w:before="151"/>
        <w:ind w:hanging="528"/>
        <w:jc w:val="left"/>
        <w:rPr>
          <w:sz w:val="21"/>
        </w:rPr>
      </w:pPr>
      <w:r>
        <w:rPr>
          <w:spacing w:val="-1"/>
          <w:sz w:val="21"/>
        </w:rPr>
        <w:t>由于发包人原因对承包人造成的人员人身伤亡和财产损失的；</w:t>
      </w:r>
      <w:r>
        <w:rPr>
          <w:sz w:val="21"/>
        </w:rPr>
        <w:t xml:space="preserve"> </w:t>
      </w:r>
    </w:p>
    <w:p w14:paraId="03A8DB72">
      <w:pPr>
        <w:pStyle w:val="17"/>
        <w:spacing w:before="10"/>
        <w:rPr>
          <w:sz w:val="18"/>
        </w:rPr>
      </w:pPr>
    </w:p>
    <w:p w14:paraId="3C441ACD">
      <w:pPr>
        <w:pStyle w:val="317"/>
        <w:numPr>
          <w:ilvl w:val="0"/>
          <w:numId w:val="58"/>
        </w:numPr>
        <w:tabs>
          <w:tab w:val="left" w:pos="1274"/>
        </w:tabs>
        <w:ind w:hanging="528"/>
        <w:jc w:val="left"/>
        <w:rPr>
          <w:sz w:val="21"/>
        </w:rPr>
      </w:pPr>
      <w:r>
        <w:rPr>
          <w:spacing w:val="-1"/>
          <w:sz w:val="21"/>
        </w:rPr>
        <w:t>因发包人原因导致工程无法按期办理竣工验收或竣工结算的；</w:t>
      </w:r>
      <w:r>
        <w:rPr>
          <w:sz w:val="21"/>
        </w:rPr>
        <w:t xml:space="preserve"> </w:t>
      </w:r>
    </w:p>
    <w:p w14:paraId="58935D0C">
      <w:pPr>
        <w:rPr>
          <w:sz w:val="21"/>
        </w:rPr>
        <w:sectPr>
          <w:pgSz w:w="11910" w:h="16850"/>
          <w:pgMar w:top="1440" w:right="1080" w:bottom="1440" w:left="1080" w:header="0" w:footer="996" w:gutter="0"/>
          <w:cols w:space="720" w:num="1"/>
        </w:sectPr>
      </w:pPr>
    </w:p>
    <w:p w14:paraId="3756B61B">
      <w:pPr>
        <w:pStyle w:val="317"/>
        <w:numPr>
          <w:ilvl w:val="0"/>
          <w:numId w:val="58"/>
        </w:numPr>
        <w:tabs>
          <w:tab w:val="left" w:pos="1109"/>
        </w:tabs>
        <w:spacing w:before="46"/>
        <w:ind w:left="1108" w:hanging="528"/>
        <w:jc w:val="left"/>
        <w:rPr>
          <w:sz w:val="21"/>
        </w:rPr>
      </w:pPr>
      <w:r>
        <w:rPr>
          <w:spacing w:val="-1"/>
          <w:sz w:val="21"/>
        </w:rPr>
        <w:t>发包人无正当理由未按约定退还履约担保、低价风险担保、预付款担保或质量保证金的；</w:t>
      </w:r>
      <w:r>
        <w:rPr>
          <w:sz w:val="21"/>
        </w:rPr>
        <w:t xml:space="preserve"> </w:t>
      </w:r>
    </w:p>
    <w:p w14:paraId="31DD5E3A">
      <w:pPr>
        <w:pStyle w:val="17"/>
        <w:spacing w:before="4"/>
        <w:rPr>
          <w:sz w:val="15"/>
        </w:rPr>
      </w:pPr>
    </w:p>
    <w:p w14:paraId="7891507D">
      <w:pPr>
        <w:pStyle w:val="317"/>
        <w:numPr>
          <w:ilvl w:val="0"/>
          <w:numId w:val="58"/>
        </w:numPr>
        <w:tabs>
          <w:tab w:val="left" w:pos="1109"/>
        </w:tabs>
        <w:ind w:left="1108" w:hanging="528"/>
        <w:jc w:val="left"/>
        <w:rPr>
          <w:sz w:val="21"/>
        </w:rPr>
      </w:pPr>
      <w:r>
        <w:rPr>
          <w:spacing w:val="-1"/>
          <w:sz w:val="21"/>
        </w:rPr>
        <w:t>发包人不当提取履约担保、低价风险担保或质量保证金的；</w:t>
      </w:r>
      <w:r>
        <w:rPr>
          <w:sz w:val="21"/>
        </w:rPr>
        <w:t xml:space="preserve"> </w:t>
      </w:r>
    </w:p>
    <w:p w14:paraId="248ED14A">
      <w:pPr>
        <w:pStyle w:val="17"/>
        <w:spacing w:before="4"/>
        <w:rPr>
          <w:sz w:val="15"/>
        </w:rPr>
      </w:pPr>
    </w:p>
    <w:p w14:paraId="7DCCD2AD">
      <w:pPr>
        <w:pStyle w:val="317"/>
        <w:numPr>
          <w:ilvl w:val="0"/>
          <w:numId w:val="58"/>
        </w:numPr>
        <w:tabs>
          <w:tab w:val="left" w:pos="1214"/>
        </w:tabs>
        <w:ind w:left="1213" w:hanging="633"/>
        <w:jc w:val="left"/>
        <w:rPr>
          <w:sz w:val="21"/>
        </w:rPr>
      </w:pPr>
      <w:r>
        <w:rPr>
          <w:spacing w:val="-1"/>
          <w:sz w:val="21"/>
        </w:rPr>
        <w:t xml:space="preserve">发包人未按合同约定接收全部或部分工作的； </w:t>
      </w:r>
    </w:p>
    <w:p w14:paraId="792D4021">
      <w:pPr>
        <w:pStyle w:val="17"/>
        <w:spacing w:before="6"/>
        <w:rPr>
          <w:sz w:val="16"/>
        </w:rPr>
      </w:pPr>
    </w:p>
    <w:p w14:paraId="735D2C73">
      <w:pPr>
        <w:pStyle w:val="317"/>
        <w:numPr>
          <w:ilvl w:val="0"/>
          <w:numId w:val="58"/>
        </w:numPr>
        <w:tabs>
          <w:tab w:val="left" w:pos="1214"/>
        </w:tabs>
        <w:spacing w:before="1"/>
        <w:ind w:left="1213" w:hanging="633"/>
        <w:jc w:val="left"/>
        <w:rPr>
          <w:sz w:val="21"/>
        </w:rPr>
      </w:pPr>
      <w:r>
        <w:rPr>
          <w:spacing w:val="-1"/>
          <w:sz w:val="21"/>
        </w:rPr>
        <w:t>发包人未按合同约定办理保险的；</w:t>
      </w:r>
      <w:r>
        <w:rPr>
          <w:sz w:val="21"/>
        </w:rPr>
        <w:t xml:space="preserve"> </w:t>
      </w:r>
    </w:p>
    <w:p w14:paraId="459007B1">
      <w:pPr>
        <w:pStyle w:val="17"/>
        <w:spacing w:before="91"/>
        <w:ind w:left="581"/>
      </w:pPr>
      <w:r>
        <w:rPr>
          <w:u w:val="single"/>
        </w:rPr>
        <w:t xml:space="preserve">（12） 其 他 ： </w:t>
      </w:r>
      <w:r>
        <w:t xml:space="preserve">。 </w:t>
      </w:r>
    </w:p>
    <w:p w14:paraId="39DC2292">
      <w:pPr>
        <w:pStyle w:val="17"/>
        <w:spacing w:before="4"/>
        <w:rPr>
          <w:sz w:val="13"/>
        </w:rPr>
      </w:pPr>
    </w:p>
    <w:p w14:paraId="70A081DB">
      <w:pPr>
        <w:pStyle w:val="317"/>
        <w:numPr>
          <w:ilvl w:val="2"/>
          <w:numId w:val="5"/>
        </w:numPr>
        <w:tabs>
          <w:tab w:val="left" w:pos="1273"/>
        </w:tabs>
        <w:spacing w:before="71"/>
        <w:ind w:left="1273" w:hanging="692"/>
        <w:jc w:val="left"/>
        <w:rPr>
          <w:sz w:val="21"/>
        </w:rPr>
      </w:pPr>
      <w:r>
        <w:rPr>
          <w:sz w:val="21"/>
        </w:rPr>
        <w:t xml:space="preserve">发包人违约的责任 </w:t>
      </w:r>
    </w:p>
    <w:p w14:paraId="6486758E">
      <w:pPr>
        <w:pStyle w:val="317"/>
        <w:numPr>
          <w:ilvl w:val="0"/>
          <w:numId w:val="59"/>
        </w:numPr>
        <w:tabs>
          <w:tab w:val="left" w:pos="1109"/>
        </w:tabs>
        <w:spacing w:before="91" w:line="362" w:lineRule="auto"/>
        <w:ind w:right="1284" w:firstLine="420"/>
        <w:jc w:val="left"/>
        <w:rPr>
          <w:sz w:val="21"/>
        </w:rPr>
      </w:pPr>
      <w:r>
        <w:rPr>
          <w:spacing w:val="-3"/>
          <w:sz w:val="21"/>
        </w:rPr>
        <w:t>因发包人原因未能及时办理完毕前述许可、批准或备案的违约责任：由发包人承担由此增加的费用和（或）</w:t>
      </w:r>
      <w:r>
        <w:rPr>
          <w:spacing w:val="-6"/>
          <w:sz w:val="21"/>
        </w:rPr>
        <w:t xml:space="preserve">顺延工期，并支付合理利润，具体索赔程序按照第 </w:t>
      </w:r>
      <w:r>
        <w:rPr>
          <w:sz w:val="21"/>
        </w:rPr>
        <w:t>19</w:t>
      </w:r>
      <w:r>
        <w:rPr>
          <w:spacing w:val="-7"/>
          <w:sz w:val="21"/>
        </w:rPr>
        <w:t xml:space="preserve"> 条〔索赔〕约定执行。</w:t>
      </w:r>
      <w:r>
        <w:rPr>
          <w:sz w:val="21"/>
        </w:rPr>
        <w:t xml:space="preserve"> </w:t>
      </w:r>
    </w:p>
    <w:p w14:paraId="7EA28645">
      <w:pPr>
        <w:pStyle w:val="317"/>
        <w:numPr>
          <w:ilvl w:val="0"/>
          <w:numId w:val="59"/>
        </w:numPr>
        <w:tabs>
          <w:tab w:val="left" w:pos="1109"/>
        </w:tabs>
        <w:spacing w:before="13" w:line="362" w:lineRule="auto"/>
        <w:ind w:right="1164" w:firstLine="420"/>
        <w:jc w:val="left"/>
        <w:rPr>
          <w:sz w:val="21"/>
        </w:rPr>
      </w:pPr>
      <w:r>
        <w:rPr>
          <w:spacing w:val="-6"/>
          <w:sz w:val="21"/>
        </w:rPr>
        <w:t>因监理人未能按合同约定发出指示、指示延误或发出了错误指示而导致承包人费用增加和</w:t>
      </w:r>
      <w:r>
        <w:rPr>
          <w:sz w:val="21"/>
        </w:rPr>
        <w:t>（或）工期延误的，由发包人承担由此增加的费用和（或）顺延工期，并支付合理利润，具体索赔程序按照第 19</w:t>
      </w:r>
      <w:r>
        <w:rPr>
          <w:spacing w:val="-7"/>
          <w:sz w:val="21"/>
        </w:rPr>
        <w:t xml:space="preserve"> 条〔索赔〕约定执行。</w:t>
      </w:r>
      <w:r>
        <w:rPr>
          <w:sz w:val="21"/>
        </w:rPr>
        <w:t xml:space="preserve"> </w:t>
      </w:r>
    </w:p>
    <w:p w14:paraId="7DD5F982">
      <w:pPr>
        <w:pStyle w:val="317"/>
        <w:numPr>
          <w:ilvl w:val="0"/>
          <w:numId w:val="59"/>
        </w:numPr>
        <w:tabs>
          <w:tab w:val="left" w:pos="1109"/>
        </w:tabs>
        <w:spacing w:line="374" w:lineRule="auto"/>
        <w:ind w:right="1269" w:firstLine="420"/>
        <w:jc w:val="left"/>
        <w:rPr>
          <w:sz w:val="21"/>
        </w:rPr>
      </w:pPr>
      <w:r>
        <w:rPr>
          <w:spacing w:val="-2"/>
          <w:sz w:val="21"/>
        </w:rPr>
        <w:t>因发包人原因导致工期延误的违约责任：由发包人承担由此增加的费用和</w:t>
      </w:r>
      <w:r>
        <w:rPr>
          <w:sz w:val="21"/>
        </w:rPr>
        <w:t>（或</w:t>
      </w:r>
      <w:r>
        <w:rPr>
          <w:spacing w:val="-16"/>
          <w:sz w:val="21"/>
        </w:rPr>
        <w:t>）</w:t>
      </w:r>
      <w:r>
        <w:rPr>
          <w:spacing w:val="-4"/>
          <w:sz w:val="21"/>
        </w:rPr>
        <w:t>顺延工期，并</w:t>
      </w:r>
      <w:r>
        <w:rPr>
          <w:spacing w:val="-7"/>
          <w:sz w:val="21"/>
        </w:rPr>
        <w:t xml:space="preserve">支付合理利润，具体索赔程序按照第 </w:t>
      </w:r>
      <w:r>
        <w:rPr>
          <w:sz w:val="21"/>
        </w:rPr>
        <w:t>19</w:t>
      </w:r>
      <w:r>
        <w:rPr>
          <w:spacing w:val="-7"/>
          <w:sz w:val="21"/>
        </w:rPr>
        <w:t xml:space="preserve"> 条〔索赔〕约定执行。 </w:t>
      </w:r>
    </w:p>
    <w:p w14:paraId="5BDD266A">
      <w:pPr>
        <w:pStyle w:val="317"/>
        <w:numPr>
          <w:ilvl w:val="0"/>
          <w:numId w:val="59"/>
        </w:numPr>
        <w:tabs>
          <w:tab w:val="left" w:pos="1109"/>
        </w:tabs>
        <w:spacing w:line="255" w:lineRule="exact"/>
        <w:ind w:left="1108" w:hanging="528"/>
        <w:jc w:val="left"/>
        <w:rPr>
          <w:sz w:val="21"/>
        </w:rPr>
      </w:pPr>
      <w:r>
        <w:rPr>
          <w:spacing w:val="-3"/>
          <w:sz w:val="21"/>
        </w:rPr>
        <w:t xml:space="preserve">因发包人原因未能在计划开工日期前 </w:t>
      </w:r>
      <w:r>
        <w:rPr>
          <w:sz w:val="21"/>
        </w:rPr>
        <w:t>7</w:t>
      </w:r>
      <w:r>
        <w:rPr>
          <w:spacing w:val="-10"/>
          <w:sz w:val="21"/>
        </w:rPr>
        <w:t xml:space="preserve"> 天内下达开工通知的违约责任：由发包人承担由此增加</w:t>
      </w:r>
    </w:p>
    <w:p w14:paraId="5CACC35B">
      <w:pPr>
        <w:pStyle w:val="17"/>
        <w:spacing w:before="134"/>
        <w:ind w:left="161"/>
      </w:pPr>
      <w:r>
        <w:t xml:space="preserve">的费用和（或）顺延工期，并支付合理利润，具体索赔程序按照第 19 条〔索赔〕约定执行。 </w:t>
      </w:r>
    </w:p>
    <w:p w14:paraId="69680069">
      <w:pPr>
        <w:pStyle w:val="17"/>
        <w:spacing w:before="11"/>
        <w:rPr>
          <w:sz w:val="18"/>
        </w:rPr>
      </w:pPr>
    </w:p>
    <w:p w14:paraId="344F6FD7">
      <w:pPr>
        <w:pStyle w:val="317"/>
        <w:numPr>
          <w:ilvl w:val="0"/>
          <w:numId w:val="59"/>
        </w:numPr>
        <w:tabs>
          <w:tab w:val="left" w:pos="1109"/>
        </w:tabs>
        <w:ind w:left="1108" w:hanging="528"/>
        <w:jc w:val="left"/>
        <w:rPr>
          <w:sz w:val="21"/>
        </w:rPr>
      </w:pPr>
      <w:r>
        <w:rPr>
          <w:spacing w:val="-15"/>
          <w:sz w:val="21"/>
        </w:rPr>
        <w:t xml:space="preserve">根据 </w:t>
      </w:r>
      <w:r>
        <w:rPr>
          <w:sz w:val="21"/>
        </w:rPr>
        <w:t>5.3.3</w:t>
      </w:r>
      <w:r>
        <w:rPr>
          <w:spacing w:val="-10"/>
          <w:sz w:val="21"/>
        </w:rPr>
        <w:t xml:space="preserve"> 项发包人或监理人要求重新检查的，经检查证明工程质量符合合同要求的，由发包</w:t>
      </w:r>
    </w:p>
    <w:p w14:paraId="718DCA61">
      <w:pPr>
        <w:pStyle w:val="17"/>
        <w:spacing w:before="4"/>
        <w:rPr>
          <w:sz w:val="15"/>
        </w:rPr>
      </w:pPr>
    </w:p>
    <w:p w14:paraId="0E1B30B0">
      <w:pPr>
        <w:pStyle w:val="17"/>
        <w:spacing w:line="429" w:lineRule="auto"/>
        <w:ind w:left="161" w:right="1274"/>
      </w:pPr>
      <w:r>
        <w:rPr>
          <w:spacing w:val="-2"/>
        </w:rPr>
        <w:t>人承担由此增加的费用和</w:t>
      </w:r>
      <w:r>
        <w:t>（或</w:t>
      </w:r>
      <w:r>
        <w:rPr>
          <w:spacing w:val="-16"/>
        </w:rPr>
        <w:t>）</w:t>
      </w:r>
      <w:r>
        <w:rPr>
          <w:spacing w:val="-7"/>
        </w:rPr>
        <w:t xml:space="preserve">顺延工期，并支付合理利润，具体索赔程序按照第 </w:t>
      </w:r>
      <w:r>
        <w:t>19</w:t>
      </w:r>
      <w:r>
        <w:rPr>
          <w:spacing w:val="-10"/>
        </w:rPr>
        <w:t xml:space="preserve"> 条〔索赔〕约定执行。 </w:t>
      </w:r>
    </w:p>
    <w:p w14:paraId="28AAFD88">
      <w:pPr>
        <w:pStyle w:val="317"/>
        <w:numPr>
          <w:ilvl w:val="0"/>
          <w:numId w:val="59"/>
        </w:numPr>
        <w:tabs>
          <w:tab w:val="left" w:pos="1109"/>
        </w:tabs>
        <w:spacing w:line="252" w:lineRule="exact"/>
        <w:ind w:left="1108" w:hanging="528"/>
        <w:jc w:val="left"/>
        <w:rPr>
          <w:sz w:val="21"/>
        </w:rPr>
      </w:pPr>
      <w:r>
        <w:rPr>
          <w:spacing w:val="-3"/>
          <w:sz w:val="21"/>
        </w:rPr>
        <w:t>因发包人原因未按合同约定支付合同价款的违约责任：发包人应向承包人支付违约金，自应当</w:t>
      </w:r>
    </w:p>
    <w:p w14:paraId="73A5B640">
      <w:pPr>
        <w:pStyle w:val="17"/>
        <w:spacing w:before="4"/>
        <w:rPr>
          <w:sz w:val="15"/>
        </w:rPr>
      </w:pPr>
    </w:p>
    <w:p w14:paraId="6222D72A">
      <w:pPr>
        <w:pStyle w:val="17"/>
        <w:ind w:left="161"/>
      </w:pPr>
      <w:r>
        <w:rPr>
          <w:spacing w:val="-8"/>
        </w:rPr>
        <w:t xml:space="preserve">支付之日起 </w:t>
      </w:r>
      <w:r>
        <w:t>28</w:t>
      </w:r>
      <w:r>
        <w:rPr>
          <w:spacing w:val="-7"/>
        </w:rPr>
        <w:t xml:space="preserve"> 天后开始计算违约金，计算公式：</w:t>
      </w:r>
      <w:r>
        <w:rPr>
          <w:spacing w:val="4"/>
          <w:u w:val="single"/>
        </w:rPr>
        <w:t>违约金=应付未付金额×中国人民银行 年 月公布的</w:t>
      </w:r>
    </w:p>
    <w:p w14:paraId="1219BFEB">
      <w:pPr>
        <w:pStyle w:val="17"/>
        <w:spacing w:before="10"/>
        <w:rPr>
          <w:sz w:val="9"/>
        </w:rPr>
      </w:pPr>
    </w:p>
    <w:p w14:paraId="63E597EC">
      <w:pPr>
        <w:pStyle w:val="17"/>
        <w:spacing w:before="71"/>
        <w:ind w:left="161"/>
      </w:pPr>
      <w:r>
        <w:rPr>
          <w:u w:val="single"/>
        </w:rPr>
        <w:t>5</w:t>
      </w:r>
      <w:r>
        <w:rPr>
          <w:spacing w:val="-7"/>
          <w:u w:val="single"/>
        </w:rPr>
        <w:t xml:space="preserve"> 年期贷款市场报价利率</w:t>
      </w:r>
      <w:r>
        <w:rPr>
          <w:u w:val="single"/>
        </w:rPr>
        <w:t>/360</w:t>
      </w:r>
      <w:r>
        <w:rPr>
          <w:spacing w:val="-8"/>
          <w:u w:val="single"/>
        </w:rPr>
        <w:t xml:space="preserve"> 天×逾期天数</w:t>
      </w:r>
      <w:r>
        <w:rPr>
          <w:u w:val="single"/>
        </w:rPr>
        <w:t>（</w:t>
      </w:r>
      <w:r>
        <w:rPr>
          <w:spacing w:val="-16"/>
          <w:u w:val="single"/>
        </w:rPr>
        <w:t xml:space="preserve">自第 </w:t>
      </w:r>
      <w:r>
        <w:rPr>
          <w:u w:val="single"/>
        </w:rPr>
        <w:t>29</w:t>
      </w:r>
      <w:r>
        <w:rPr>
          <w:spacing w:val="-10"/>
          <w:u w:val="single"/>
        </w:rPr>
        <w:t xml:space="preserve"> 天起计算</w:t>
      </w:r>
      <w:r>
        <w:rPr>
          <w:u w:val="single"/>
        </w:rPr>
        <w:t>）</w:t>
      </w:r>
      <w:r>
        <w:rPr>
          <w:spacing w:val="-6"/>
          <w:u w:val="single"/>
        </w:rPr>
        <w:t xml:space="preserve">；逾期天数超过 </w:t>
      </w:r>
      <w:r>
        <w:rPr>
          <w:u w:val="single"/>
        </w:rPr>
        <w:t>56</w:t>
      </w:r>
      <w:r>
        <w:rPr>
          <w:spacing w:val="-8"/>
          <w:u w:val="single"/>
        </w:rPr>
        <w:t xml:space="preserve"> 天的，超过部分天</w:t>
      </w:r>
    </w:p>
    <w:p w14:paraId="232BC3BC">
      <w:pPr>
        <w:pStyle w:val="17"/>
        <w:spacing w:before="10"/>
        <w:rPr>
          <w:sz w:val="9"/>
        </w:rPr>
      </w:pPr>
    </w:p>
    <w:p w14:paraId="58C0EEEA">
      <w:pPr>
        <w:pStyle w:val="17"/>
        <w:spacing w:before="71"/>
        <w:ind w:left="161"/>
      </w:pPr>
      <w:r>
        <w:rPr>
          <w:u w:val="single"/>
        </w:rPr>
        <w:t>数按上述利率的两倍计算并支付违约金</w:t>
      </w:r>
      <w:r>
        <w:t xml:space="preserve">。 </w:t>
      </w:r>
    </w:p>
    <w:p w14:paraId="6E11284D">
      <w:pPr>
        <w:pStyle w:val="17"/>
        <w:rPr>
          <w:sz w:val="11"/>
        </w:rPr>
      </w:pPr>
    </w:p>
    <w:p w14:paraId="118AD8FA">
      <w:pPr>
        <w:pStyle w:val="317"/>
        <w:numPr>
          <w:ilvl w:val="0"/>
          <w:numId w:val="59"/>
        </w:numPr>
        <w:tabs>
          <w:tab w:val="left" w:pos="1109"/>
        </w:tabs>
        <w:spacing w:before="71" w:line="415" w:lineRule="auto"/>
        <w:ind w:right="1284" w:firstLine="420"/>
        <w:jc w:val="left"/>
        <w:rPr>
          <w:sz w:val="21"/>
        </w:rPr>
      </w:pPr>
      <w:r>
        <w:rPr>
          <w:spacing w:val="-4"/>
          <w:sz w:val="21"/>
        </w:rPr>
        <w:t>发包人违反合同约定，自行实施或转由他人实施被取消的合同工作内容的违约责任：由发包</w:t>
      </w:r>
      <w:r>
        <w:rPr>
          <w:spacing w:val="-5"/>
          <w:sz w:val="21"/>
        </w:rPr>
        <w:t>人承担由此给承包人造成的实际损失并支付合理利润。</w:t>
      </w:r>
      <w:r>
        <w:rPr>
          <w:sz w:val="21"/>
        </w:rPr>
        <w:t xml:space="preserve"> </w:t>
      </w:r>
    </w:p>
    <w:p w14:paraId="44363E55">
      <w:pPr>
        <w:pStyle w:val="317"/>
        <w:numPr>
          <w:ilvl w:val="0"/>
          <w:numId w:val="59"/>
        </w:numPr>
        <w:tabs>
          <w:tab w:val="left" w:pos="1109"/>
        </w:tabs>
        <w:spacing w:line="420" w:lineRule="auto"/>
        <w:ind w:right="1291" w:firstLine="420"/>
        <w:jc w:val="both"/>
        <w:rPr>
          <w:sz w:val="21"/>
        </w:rPr>
      </w:pPr>
      <w:r>
        <w:rPr>
          <w:spacing w:val="-3"/>
          <w:sz w:val="21"/>
        </w:rPr>
        <w:t>发包人提供的基准资料错误并导致承包人测量放线工作返工或造成工程损失的，以及发包人</w:t>
      </w:r>
      <w:r>
        <w:rPr>
          <w:sz w:val="21"/>
        </w:rPr>
        <w:t>提供的材料、工程设备的规格、数量或质量不符合合同约定，或因发包人原因导致交货日期延误或交货地点变更等情况的违约责任：由发包人承担由此增加的费用和（或）顺延工期，并支付合理利润，具体</w:t>
      </w:r>
      <w:r>
        <w:rPr>
          <w:spacing w:val="-6"/>
          <w:sz w:val="21"/>
        </w:rPr>
        <w:t xml:space="preserve">索赔程序按照第 </w:t>
      </w:r>
      <w:r>
        <w:rPr>
          <w:sz w:val="21"/>
        </w:rPr>
        <w:t>19</w:t>
      </w:r>
      <w:r>
        <w:rPr>
          <w:spacing w:val="-7"/>
          <w:sz w:val="21"/>
        </w:rPr>
        <w:t xml:space="preserve"> 条〔索赔〕约定执行。</w:t>
      </w:r>
      <w:r>
        <w:rPr>
          <w:sz w:val="21"/>
        </w:rPr>
        <w:t xml:space="preserve"> </w:t>
      </w:r>
    </w:p>
    <w:p w14:paraId="208FB727">
      <w:pPr>
        <w:pStyle w:val="317"/>
        <w:numPr>
          <w:ilvl w:val="0"/>
          <w:numId w:val="59"/>
        </w:numPr>
        <w:tabs>
          <w:tab w:val="left" w:pos="1109"/>
        </w:tabs>
        <w:spacing w:line="415" w:lineRule="auto"/>
        <w:ind w:right="1269" w:firstLine="420"/>
        <w:jc w:val="left"/>
        <w:rPr>
          <w:sz w:val="21"/>
        </w:rPr>
      </w:pPr>
      <w:r>
        <w:rPr>
          <w:spacing w:val="-2"/>
          <w:sz w:val="21"/>
        </w:rPr>
        <w:t>因发包人原因造成工程质量未达到合同约定标准的，由发包人承担由此增加的费用和</w:t>
      </w:r>
      <w:r>
        <w:rPr>
          <w:sz w:val="21"/>
        </w:rPr>
        <w:t>（</w:t>
      </w:r>
      <w:r>
        <w:rPr>
          <w:spacing w:val="-15"/>
          <w:sz w:val="21"/>
        </w:rPr>
        <w:t>或）</w:t>
      </w:r>
      <w:r>
        <w:rPr>
          <w:sz w:val="21"/>
        </w:rPr>
        <w:t>延</w:t>
      </w:r>
      <w:r>
        <w:rPr>
          <w:spacing w:val="-1"/>
          <w:sz w:val="21"/>
        </w:rPr>
        <w:t>误的工期，并支付合理利润。</w:t>
      </w:r>
      <w:r>
        <w:rPr>
          <w:sz w:val="21"/>
        </w:rPr>
        <w:t xml:space="preserve"> </w:t>
      </w:r>
    </w:p>
    <w:p w14:paraId="5320CE28">
      <w:pPr>
        <w:pStyle w:val="317"/>
        <w:numPr>
          <w:ilvl w:val="0"/>
          <w:numId w:val="59"/>
        </w:numPr>
        <w:tabs>
          <w:tab w:val="left" w:pos="1214"/>
        </w:tabs>
        <w:spacing w:line="269" w:lineRule="exact"/>
        <w:ind w:left="1213" w:hanging="633"/>
        <w:jc w:val="left"/>
        <w:rPr>
          <w:sz w:val="21"/>
        </w:rPr>
      </w:pPr>
      <w:r>
        <w:rPr>
          <w:sz w:val="21"/>
        </w:rPr>
        <w:t>因发包人违反合同约定造成暂停施工的违约责任：由发包人承担由此增加的费用和（或）顺</w:t>
      </w:r>
    </w:p>
    <w:p w14:paraId="0D0B4DAF">
      <w:pPr>
        <w:spacing w:line="269" w:lineRule="exact"/>
        <w:rPr>
          <w:sz w:val="21"/>
        </w:rPr>
        <w:sectPr>
          <w:pgSz w:w="11910" w:h="16850"/>
          <w:pgMar w:top="1440" w:right="1080" w:bottom="1440" w:left="1080" w:header="0" w:footer="996" w:gutter="0"/>
          <w:cols w:space="720" w:num="1"/>
        </w:sectPr>
      </w:pPr>
    </w:p>
    <w:p w14:paraId="23396E6A">
      <w:pPr>
        <w:pStyle w:val="17"/>
        <w:spacing w:before="46"/>
        <w:ind w:left="326"/>
        <w:jc w:val="both"/>
      </w:pPr>
      <w:r>
        <w:t xml:space="preserve">延工期，并支付合理利润，具体索赔程序按照第 19 条〔索赔〕约定执行。 </w:t>
      </w:r>
    </w:p>
    <w:p w14:paraId="332C8633">
      <w:pPr>
        <w:pStyle w:val="17"/>
        <w:spacing w:before="4"/>
        <w:rPr>
          <w:sz w:val="15"/>
        </w:rPr>
      </w:pPr>
    </w:p>
    <w:p w14:paraId="1A1CD50D">
      <w:pPr>
        <w:pStyle w:val="317"/>
        <w:numPr>
          <w:ilvl w:val="0"/>
          <w:numId w:val="59"/>
        </w:numPr>
        <w:tabs>
          <w:tab w:val="left" w:pos="1379"/>
        </w:tabs>
        <w:spacing w:line="422" w:lineRule="auto"/>
        <w:ind w:left="326" w:right="1109" w:firstLine="420"/>
        <w:jc w:val="both"/>
        <w:rPr>
          <w:sz w:val="21"/>
        </w:rPr>
      </w:pPr>
      <w:r>
        <w:rPr>
          <w:sz w:val="21"/>
        </w:rPr>
        <w:t>发包人无正当理由没有在约定期限内发出复工指示，导致承包人无法复工的违约责任：由发</w:t>
      </w:r>
      <w:r>
        <w:rPr>
          <w:spacing w:val="-2"/>
          <w:sz w:val="21"/>
        </w:rPr>
        <w:t>包人承担由此增加的费用和</w:t>
      </w:r>
      <w:r>
        <w:rPr>
          <w:sz w:val="21"/>
        </w:rPr>
        <w:t>（或</w:t>
      </w:r>
      <w:r>
        <w:rPr>
          <w:spacing w:val="-16"/>
          <w:sz w:val="21"/>
        </w:rPr>
        <w:t>）</w:t>
      </w:r>
      <w:r>
        <w:rPr>
          <w:spacing w:val="-7"/>
          <w:sz w:val="21"/>
        </w:rPr>
        <w:t xml:space="preserve">顺延工期，并支付合理利润，具体索赔程序按照第 </w:t>
      </w:r>
      <w:r>
        <w:rPr>
          <w:sz w:val="21"/>
        </w:rPr>
        <w:t>19</w:t>
      </w:r>
      <w:r>
        <w:rPr>
          <w:spacing w:val="-11"/>
          <w:sz w:val="21"/>
        </w:rPr>
        <w:t xml:space="preserve"> 条〔索赔〕约定执行。 </w:t>
      </w:r>
    </w:p>
    <w:p w14:paraId="7DAEA3F1">
      <w:pPr>
        <w:pStyle w:val="317"/>
        <w:numPr>
          <w:ilvl w:val="0"/>
          <w:numId w:val="59"/>
        </w:numPr>
        <w:tabs>
          <w:tab w:val="left" w:pos="1379"/>
        </w:tabs>
        <w:spacing w:line="415" w:lineRule="auto"/>
        <w:ind w:left="326" w:right="1130" w:firstLine="420"/>
        <w:jc w:val="both"/>
        <w:rPr>
          <w:sz w:val="21"/>
        </w:rPr>
      </w:pPr>
      <w:r>
        <w:rPr>
          <w:sz w:val="21"/>
        </w:rPr>
        <w:t>因发包人原因导致工程无法按期办理竣工验收或竣工结算的违约责任：由发包人承担由此增加的费用和（或）</w:t>
      </w:r>
      <w:r>
        <w:rPr>
          <w:spacing w:val="-3"/>
          <w:sz w:val="21"/>
        </w:rPr>
        <w:t xml:space="preserve">顺延工期，并支付合理利润，具体索赔程序按照第 </w:t>
      </w:r>
      <w:r>
        <w:rPr>
          <w:sz w:val="21"/>
        </w:rPr>
        <w:t>19</w:t>
      </w:r>
      <w:r>
        <w:rPr>
          <w:spacing w:val="-7"/>
          <w:sz w:val="21"/>
        </w:rPr>
        <w:t xml:space="preserve"> 条〔索赔〕约定执行。 </w:t>
      </w:r>
    </w:p>
    <w:p w14:paraId="126CC58E">
      <w:pPr>
        <w:pStyle w:val="317"/>
        <w:numPr>
          <w:ilvl w:val="0"/>
          <w:numId w:val="59"/>
        </w:numPr>
        <w:tabs>
          <w:tab w:val="left" w:pos="1379"/>
        </w:tabs>
        <w:spacing w:line="415" w:lineRule="auto"/>
        <w:ind w:left="326" w:right="1124" w:firstLine="420"/>
        <w:jc w:val="both"/>
        <w:rPr>
          <w:sz w:val="21"/>
        </w:rPr>
      </w:pPr>
      <w:r>
        <w:rPr>
          <w:sz w:val="21"/>
        </w:rPr>
        <w:t>发包人无正当理由未按约定退还履约担保、低价风险担保、预付款担保或质量保证金的违约</w:t>
      </w:r>
      <w:r>
        <w:rPr>
          <w:spacing w:val="-3"/>
          <w:sz w:val="21"/>
        </w:rPr>
        <w:t xml:space="preserve">责任：发包人应向承包人支付违约金，自应当退还之日起 </w:t>
      </w:r>
      <w:r>
        <w:rPr>
          <w:sz w:val="21"/>
        </w:rPr>
        <w:t>28</w:t>
      </w:r>
      <w:r>
        <w:rPr>
          <w:spacing w:val="-7"/>
          <w:sz w:val="21"/>
        </w:rPr>
        <w:t xml:space="preserve"> 天后开始计算违约金，</w:t>
      </w:r>
      <w:r>
        <w:rPr>
          <w:sz w:val="21"/>
          <w:u w:val="single"/>
        </w:rPr>
        <w:t>计算公式：违约金=</w:t>
      </w:r>
    </w:p>
    <w:p w14:paraId="3BA32AF3">
      <w:pPr>
        <w:pStyle w:val="17"/>
        <w:spacing w:before="5"/>
        <w:ind w:left="326"/>
      </w:pPr>
      <w:r>
        <w:rPr>
          <w:u w:val="single"/>
        </w:rPr>
        <w:t>应退未退担保金额×中国人民银行 年 月公布的 5 年期贷款市场报价利率/360 天×逾期天数（自第 29</w:t>
      </w:r>
    </w:p>
    <w:p w14:paraId="48CF3CAA">
      <w:pPr>
        <w:pStyle w:val="17"/>
        <w:spacing w:before="11"/>
        <w:rPr>
          <w:sz w:val="9"/>
        </w:rPr>
      </w:pPr>
    </w:p>
    <w:p w14:paraId="75E340DC">
      <w:pPr>
        <w:pStyle w:val="17"/>
        <w:spacing w:before="71"/>
        <w:ind w:left="326"/>
      </w:pPr>
      <w:r>
        <w:rPr>
          <w:u w:val="single"/>
        </w:rPr>
        <w:t>天起计算）</w:t>
      </w:r>
      <w:r>
        <w:t xml:space="preserve">。 </w:t>
      </w:r>
    </w:p>
    <w:p w14:paraId="48100BFB">
      <w:pPr>
        <w:pStyle w:val="17"/>
        <w:spacing w:before="10"/>
        <w:rPr>
          <w:sz w:val="9"/>
        </w:rPr>
      </w:pPr>
    </w:p>
    <w:p w14:paraId="31C0A9DC">
      <w:pPr>
        <w:pStyle w:val="317"/>
        <w:numPr>
          <w:ilvl w:val="0"/>
          <w:numId w:val="59"/>
        </w:numPr>
        <w:tabs>
          <w:tab w:val="left" w:pos="1379"/>
        </w:tabs>
        <w:spacing w:before="71" w:line="415" w:lineRule="auto"/>
        <w:ind w:left="326" w:right="1123" w:firstLine="420"/>
        <w:jc w:val="left"/>
        <w:rPr>
          <w:sz w:val="21"/>
        </w:rPr>
      </w:pPr>
      <w:r>
        <w:rPr>
          <w:sz w:val="21"/>
        </w:rPr>
        <w:t xml:space="preserve">发包人不当提取履约担保、低价风险担保、预付款担保或质量保证金的，应及时予以退还， </w:t>
      </w:r>
      <w:r>
        <w:rPr>
          <w:spacing w:val="-6"/>
          <w:sz w:val="21"/>
        </w:rPr>
        <w:t xml:space="preserve">若不当提取超过 </w:t>
      </w:r>
      <w:r>
        <w:rPr>
          <w:sz w:val="21"/>
        </w:rPr>
        <w:t>28</w:t>
      </w:r>
      <w:r>
        <w:rPr>
          <w:spacing w:val="-7"/>
          <w:sz w:val="21"/>
        </w:rPr>
        <w:t xml:space="preserve"> 天的，应承担违约责任：发包人应向承包人支付违约金，</w:t>
      </w:r>
      <w:r>
        <w:rPr>
          <w:sz w:val="21"/>
          <w:u w:val="single"/>
        </w:rPr>
        <w:t>计算公式：违约金=不当提</w:t>
      </w:r>
    </w:p>
    <w:p w14:paraId="444AEF46">
      <w:pPr>
        <w:pStyle w:val="17"/>
        <w:ind w:left="326"/>
      </w:pPr>
      <w:r>
        <w:rPr>
          <w:u w:val="single"/>
        </w:rPr>
        <w:t>取的担保金额×中国人民银行 年 月公布的 5 年期贷款市场报价利率/360 天×逾期天数（自第 29 天</w:t>
      </w:r>
    </w:p>
    <w:p w14:paraId="084E282F">
      <w:pPr>
        <w:pStyle w:val="17"/>
        <w:rPr>
          <w:sz w:val="11"/>
        </w:rPr>
      </w:pPr>
    </w:p>
    <w:p w14:paraId="054F7BB5">
      <w:pPr>
        <w:pStyle w:val="17"/>
        <w:spacing w:before="70"/>
        <w:ind w:left="326"/>
      </w:pPr>
      <w:r>
        <w:rPr>
          <w:u w:val="single"/>
        </w:rPr>
        <w:t>起计算）</w:t>
      </w:r>
      <w:r>
        <w:t xml:space="preserve">。 </w:t>
      </w:r>
    </w:p>
    <w:p w14:paraId="216AAD81">
      <w:pPr>
        <w:pStyle w:val="17"/>
        <w:spacing w:before="10"/>
        <w:rPr>
          <w:sz w:val="9"/>
        </w:rPr>
      </w:pPr>
    </w:p>
    <w:p w14:paraId="7D055945">
      <w:pPr>
        <w:pStyle w:val="317"/>
        <w:numPr>
          <w:ilvl w:val="0"/>
          <w:numId w:val="59"/>
        </w:numPr>
        <w:tabs>
          <w:tab w:val="left" w:pos="1379"/>
        </w:tabs>
        <w:spacing w:before="71"/>
        <w:ind w:left="1378" w:hanging="633"/>
        <w:jc w:val="left"/>
        <w:rPr>
          <w:sz w:val="21"/>
        </w:rPr>
      </w:pPr>
      <w:r>
        <w:rPr>
          <w:sz w:val="21"/>
        </w:rPr>
        <w:t>发包人未按合同约定接收全部或部分工作的违约责任：由发包人承担自应当接收工程之日起</w:t>
      </w:r>
    </w:p>
    <w:p w14:paraId="4D76AE14">
      <w:pPr>
        <w:pStyle w:val="17"/>
        <w:spacing w:before="4"/>
        <w:rPr>
          <w:sz w:val="15"/>
        </w:rPr>
      </w:pPr>
    </w:p>
    <w:p w14:paraId="4A6383AC">
      <w:pPr>
        <w:pStyle w:val="17"/>
        <w:ind w:left="326"/>
      </w:pPr>
      <w:r>
        <w:t xml:space="preserve">的工程照管、成品保护、保管等与工程有关的各项费用。 </w:t>
      </w:r>
    </w:p>
    <w:p w14:paraId="188C2814">
      <w:pPr>
        <w:pStyle w:val="317"/>
        <w:numPr>
          <w:ilvl w:val="0"/>
          <w:numId w:val="59"/>
        </w:numPr>
        <w:tabs>
          <w:tab w:val="left" w:pos="1379"/>
        </w:tabs>
        <w:spacing w:before="91" w:line="362" w:lineRule="auto"/>
        <w:ind w:left="326" w:right="1130" w:firstLine="420"/>
        <w:jc w:val="left"/>
        <w:rPr>
          <w:sz w:val="21"/>
        </w:rPr>
      </w:pPr>
      <w:r>
        <w:rPr>
          <w:sz w:val="21"/>
        </w:rPr>
        <w:t>由于发包人原因对承包人造成的人员人身伤亡和财产损失的，由发包人负责赔偿，并承担由此增加的费用和（或）</w:t>
      </w:r>
      <w:r>
        <w:rPr>
          <w:spacing w:val="-1"/>
          <w:sz w:val="21"/>
        </w:rPr>
        <w:t>延误的工期，并支付合理利润。</w:t>
      </w:r>
      <w:r>
        <w:rPr>
          <w:sz w:val="21"/>
        </w:rPr>
        <w:t xml:space="preserve"> </w:t>
      </w:r>
    </w:p>
    <w:p w14:paraId="5AE5D498">
      <w:pPr>
        <w:pStyle w:val="317"/>
        <w:numPr>
          <w:ilvl w:val="0"/>
          <w:numId w:val="59"/>
        </w:numPr>
        <w:tabs>
          <w:tab w:val="left" w:pos="1379"/>
        </w:tabs>
        <w:spacing w:before="119"/>
        <w:ind w:left="1378" w:hanging="633"/>
        <w:jc w:val="left"/>
        <w:rPr>
          <w:sz w:val="21"/>
        </w:rPr>
      </w:pPr>
      <w:r>
        <w:rPr>
          <w:spacing w:val="-4"/>
          <w:sz w:val="21"/>
        </w:rPr>
        <w:t xml:space="preserve">发包人未按合同约定办理保险的违约责任：除按 </w:t>
      </w:r>
      <w:r>
        <w:rPr>
          <w:sz w:val="21"/>
        </w:rPr>
        <w:t>18.6.1</w:t>
      </w:r>
      <w:r>
        <w:rPr>
          <w:spacing w:val="-12"/>
          <w:sz w:val="21"/>
        </w:rPr>
        <w:t xml:space="preserve"> 项约定执行外，每延迟 </w:t>
      </w:r>
      <w:r>
        <w:rPr>
          <w:sz w:val="21"/>
        </w:rPr>
        <w:t>1</w:t>
      </w:r>
      <w:r>
        <w:rPr>
          <w:spacing w:val="-22"/>
          <w:sz w:val="21"/>
        </w:rPr>
        <w:t xml:space="preserve"> 天，按 </w:t>
      </w:r>
      <w:r>
        <w:rPr>
          <w:sz w:val="21"/>
          <w:u w:val="single"/>
        </w:rPr>
        <w:t>500</w:t>
      </w:r>
    </w:p>
    <w:p w14:paraId="2C4D1A7A">
      <w:pPr>
        <w:pStyle w:val="17"/>
        <w:spacing w:before="10"/>
        <w:rPr>
          <w:sz w:val="9"/>
        </w:rPr>
      </w:pPr>
    </w:p>
    <w:p w14:paraId="35B4E2BC">
      <w:pPr>
        <w:pStyle w:val="17"/>
        <w:spacing w:before="71"/>
        <w:ind w:left="326"/>
      </w:pPr>
      <w:r>
        <w:rPr>
          <w:u w:val="single"/>
        </w:rPr>
        <w:t>元/天</w:t>
      </w:r>
      <w:r>
        <w:t xml:space="preserve">支付违约金。 </w:t>
      </w:r>
    </w:p>
    <w:p w14:paraId="2CF5607F">
      <w:pPr>
        <w:pStyle w:val="17"/>
        <w:spacing w:before="10"/>
        <w:rPr>
          <w:sz w:val="9"/>
        </w:rPr>
      </w:pPr>
    </w:p>
    <w:p w14:paraId="4BFCDB36">
      <w:pPr>
        <w:pStyle w:val="17"/>
        <w:spacing w:before="71"/>
        <w:ind w:left="746"/>
      </w:pPr>
      <w:r>
        <w:t>（18） 其 他 ：</w:t>
      </w:r>
      <w:r>
        <w:rPr>
          <w:u w:val="single"/>
        </w:rPr>
        <w:t xml:space="preserve"> </w:t>
      </w:r>
      <w:r>
        <w:t xml:space="preserve">。 </w:t>
      </w:r>
    </w:p>
    <w:p w14:paraId="0401B86A">
      <w:pPr>
        <w:pStyle w:val="17"/>
        <w:spacing w:before="10"/>
        <w:rPr>
          <w:sz w:val="9"/>
        </w:rPr>
      </w:pPr>
    </w:p>
    <w:p w14:paraId="5FECCB4E">
      <w:pPr>
        <w:pStyle w:val="17"/>
        <w:spacing w:before="71" w:line="422" w:lineRule="auto"/>
        <w:ind w:left="326" w:right="1107" w:firstLine="420"/>
        <w:jc w:val="both"/>
      </w:pPr>
      <w:r>
        <w:t>发包人发生除通用条款第16.1.1</w:t>
      </w:r>
      <w:r>
        <w:rPr>
          <w:spacing w:val="-8"/>
        </w:rPr>
        <w:t>项第</w:t>
      </w:r>
      <w:r>
        <w:rPr>
          <w:spacing w:val="-6"/>
        </w:rPr>
        <w:t>（7）</w:t>
      </w:r>
      <w:r>
        <w:rPr>
          <w:spacing w:val="-4"/>
        </w:rPr>
        <w:t>目以外的违约情况时，承包人可向发包人发出通知，要求</w:t>
      </w:r>
      <w:r>
        <w:rPr>
          <w:spacing w:val="-5"/>
        </w:rPr>
        <w:t>发包人采取有效措施纠正违约行为。发包人收到承包人通知后的</w:t>
      </w:r>
      <w:r>
        <w:t>28</w:t>
      </w:r>
      <w:r>
        <w:rPr>
          <w:spacing w:val="-1"/>
        </w:rPr>
        <w:t xml:space="preserve">天内仍不履行合同义务，承包人有权暂停施工，并通知监理人。 </w:t>
      </w:r>
    </w:p>
    <w:p w14:paraId="430E242B">
      <w:pPr>
        <w:pStyle w:val="317"/>
        <w:numPr>
          <w:ilvl w:val="2"/>
          <w:numId w:val="5"/>
        </w:numPr>
        <w:tabs>
          <w:tab w:val="left" w:pos="1378"/>
        </w:tabs>
        <w:spacing w:line="259" w:lineRule="exact"/>
        <w:ind w:left="1378" w:hanging="632"/>
        <w:jc w:val="left"/>
        <w:rPr>
          <w:sz w:val="19"/>
        </w:rPr>
      </w:pPr>
      <w:r>
        <w:rPr>
          <w:sz w:val="21"/>
        </w:rPr>
        <w:t xml:space="preserve">因发包人违约解除合同 </w:t>
      </w:r>
    </w:p>
    <w:p w14:paraId="73525032">
      <w:pPr>
        <w:pStyle w:val="17"/>
        <w:spacing w:before="4"/>
        <w:rPr>
          <w:sz w:val="15"/>
        </w:rPr>
      </w:pPr>
    </w:p>
    <w:p w14:paraId="02953D37">
      <w:pPr>
        <w:pStyle w:val="17"/>
        <w:ind w:left="746"/>
      </w:pPr>
      <w:r>
        <w:rPr>
          <w:spacing w:val="-1"/>
        </w:rPr>
        <w:t>因发包人违约并致使合同目的不能实现的，承包人有权解除合同：</w:t>
      </w:r>
      <w:r>
        <w:t xml:space="preserve"> </w:t>
      </w:r>
    </w:p>
    <w:p w14:paraId="7798FCAD">
      <w:pPr>
        <w:pStyle w:val="17"/>
        <w:spacing w:before="4"/>
        <w:rPr>
          <w:sz w:val="15"/>
        </w:rPr>
      </w:pPr>
    </w:p>
    <w:p w14:paraId="3AEA6302">
      <w:pPr>
        <w:pStyle w:val="317"/>
        <w:numPr>
          <w:ilvl w:val="0"/>
          <w:numId w:val="60"/>
        </w:numPr>
        <w:tabs>
          <w:tab w:val="left" w:pos="1274"/>
        </w:tabs>
        <w:ind w:hanging="528"/>
        <w:jc w:val="left"/>
        <w:rPr>
          <w:sz w:val="21"/>
        </w:rPr>
      </w:pPr>
      <w:r>
        <w:rPr>
          <w:spacing w:val="-1"/>
          <w:sz w:val="21"/>
        </w:rPr>
        <w:t>因发包人原因延迟支付合同价款超过</w:t>
      </w:r>
      <w:r>
        <w:rPr>
          <w:sz w:val="21"/>
        </w:rPr>
        <w:t xml:space="preserve">180天的； </w:t>
      </w:r>
    </w:p>
    <w:p w14:paraId="1043D829">
      <w:pPr>
        <w:pStyle w:val="17"/>
        <w:spacing w:before="4"/>
        <w:rPr>
          <w:sz w:val="15"/>
        </w:rPr>
      </w:pPr>
    </w:p>
    <w:p w14:paraId="565CE4A0">
      <w:pPr>
        <w:pStyle w:val="317"/>
        <w:numPr>
          <w:ilvl w:val="0"/>
          <w:numId w:val="60"/>
        </w:numPr>
        <w:tabs>
          <w:tab w:val="left" w:pos="1274"/>
        </w:tabs>
        <w:ind w:hanging="528"/>
        <w:jc w:val="left"/>
        <w:rPr>
          <w:sz w:val="21"/>
        </w:rPr>
      </w:pPr>
      <w:r>
        <w:rPr>
          <w:spacing w:val="-1"/>
          <w:sz w:val="21"/>
        </w:rPr>
        <w:t>因发包人原因导致工期延误超过</w:t>
      </w:r>
      <w:r>
        <w:rPr>
          <w:sz w:val="21"/>
        </w:rPr>
        <w:t xml:space="preserve">90天的； </w:t>
      </w:r>
    </w:p>
    <w:p w14:paraId="0714C85F">
      <w:pPr>
        <w:pStyle w:val="317"/>
        <w:numPr>
          <w:ilvl w:val="0"/>
          <w:numId w:val="60"/>
        </w:numPr>
        <w:tabs>
          <w:tab w:val="left" w:pos="1274"/>
        </w:tabs>
        <w:spacing w:before="107"/>
        <w:ind w:hanging="528"/>
        <w:jc w:val="left"/>
        <w:rPr>
          <w:sz w:val="21"/>
        </w:rPr>
      </w:pPr>
      <w:r>
        <w:rPr>
          <w:spacing w:val="-8"/>
          <w:sz w:val="21"/>
        </w:rPr>
        <w:t xml:space="preserve">因发包人第 </w:t>
      </w:r>
      <w:r>
        <w:rPr>
          <w:sz w:val="21"/>
        </w:rPr>
        <w:t>16.1.2（5）</w:t>
      </w:r>
      <w:r>
        <w:rPr>
          <w:spacing w:val="-4"/>
          <w:sz w:val="21"/>
        </w:rPr>
        <w:t xml:space="preserve">违约情形导致暂停施工满 </w:t>
      </w:r>
      <w:r>
        <w:rPr>
          <w:sz w:val="21"/>
        </w:rPr>
        <w:t>56</w:t>
      </w:r>
      <w:r>
        <w:rPr>
          <w:spacing w:val="-7"/>
          <w:sz w:val="21"/>
        </w:rPr>
        <w:t xml:space="preserve"> 天，且发包人仍未纠正其违约行为的；</w:t>
      </w:r>
      <w:r>
        <w:rPr>
          <w:sz w:val="21"/>
        </w:rPr>
        <w:t xml:space="preserve"> </w:t>
      </w:r>
    </w:p>
    <w:p w14:paraId="5E97E1C5">
      <w:pPr>
        <w:pStyle w:val="317"/>
        <w:numPr>
          <w:ilvl w:val="0"/>
          <w:numId w:val="60"/>
        </w:numPr>
        <w:tabs>
          <w:tab w:val="left" w:pos="1274"/>
        </w:tabs>
        <w:spacing w:before="136" w:line="362" w:lineRule="auto"/>
        <w:ind w:left="326" w:right="1119" w:firstLine="420"/>
        <w:jc w:val="left"/>
        <w:rPr>
          <w:sz w:val="21"/>
        </w:rPr>
      </w:pPr>
      <w:r>
        <w:rPr>
          <w:spacing w:val="-2"/>
          <w:sz w:val="21"/>
        </w:rPr>
        <w:t>其他未履行合同项下的义务构成对合同的实质性违约，并且在收到承包人要求说明其违约并</w:t>
      </w:r>
      <w:r>
        <w:rPr>
          <w:spacing w:val="-7"/>
          <w:sz w:val="21"/>
        </w:rPr>
        <w:t xml:space="preserve">予以补救的通知后 </w:t>
      </w:r>
      <w:r>
        <w:rPr>
          <w:sz w:val="21"/>
        </w:rPr>
        <w:t>56</w:t>
      </w:r>
      <w:r>
        <w:rPr>
          <w:spacing w:val="-7"/>
          <w:sz w:val="21"/>
        </w:rPr>
        <w:t xml:space="preserve"> 天内仍未补救该实质性违约的；</w:t>
      </w:r>
      <w:r>
        <w:rPr>
          <w:sz w:val="21"/>
        </w:rPr>
        <w:t xml:space="preserve"> </w:t>
      </w:r>
    </w:p>
    <w:p w14:paraId="58D28360">
      <w:pPr>
        <w:spacing w:line="362" w:lineRule="auto"/>
        <w:rPr>
          <w:sz w:val="21"/>
        </w:rPr>
        <w:sectPr>
          <w:pgSz w:w="11910" w:h="16850"/>
          <w:pgMar w:top="1440" w:right="1080" w:bottom="1440" w:left="1080" w:header="0" w:footer="996" w:gutter="0"/>
          <w:cols w:space="720" w:num="1"/>
        </w:sectPr>
      </w:pPr>
    </w:p>
    <w:p w14:paraId="66705796">
      <w:pPr>
        <w:pStyle w:val="317"/>
        <w:numPr>
          <w:ilvl w:val="0"/>
          <w:numId w:val="60"/>
        </w:numPr>
        <w:tabs>
          <w:tab w:val="left" w:pos="1109"/>
        </w:tabs>
        <w:spacing w:before="41"/>
        <w:ind w:left="1108" w:hanging="528"/>
        <w:jc w:val="left"/>
        <w:rPr>
          <w:sz w:val="21"/>
        </w:rPr>
      </w:pPr>
      <w:r>
        <w:rPr>
          <w:spacing w:val="-1"/>
          <w:sz w:val="21"/>
          <w:u w:val="single"/>
        </w:rPr>
        <w:t>合同约定的承包人有权解除合同的其他情形</w:t>
      </w:r>
      <w:r>
        <w:rPr>
          <w:sz w:val="21"/>
        </w:rPr>
        <w:t xml:space="preserve">。 </w:t>
      </w:r>
    </w:p>
    <w:p w14:paraId="52C5FA25">
      <w:pPr>
        <w:pStyle w:val="17"/>
        <w:spacing w:before="4"/>
        <w:rPr>
          <w:sz w:val="13"/>
        </w:rPr>
      </w:pPr>
    </w:p>
    <w:p w14:paraId="571354F7">
      <w:pPr>
        <w:pStyle w:val="317"/>
        <w:numPr>
          <w:ilvl w:val="2"/>
          <w:numId w:val="5"/>
        </w:numPr>
        <w:tabs>
          <w:tab w:val="left" w:pos="1214"/>
        </w:tabs>
        <w:spacing w:before="71"/>
        <w:ind w:left="1213" w:hanging="633"/>
        <w:jc w:val="left"/>
        <w:rPr>
          <w:sz w:val="19"/>
        </w:rPr>
      </w:pPr>
      <w:r>
        <w:rPr>
          <w:spacing w:val="-1"/>
          <w:sz w:val="21"/>
        </w:rPr>
        <w:t>因发包人违约解除合同后的付款</w:t>
      </w:r>
      <w:r>
        <w:rPr>
          <w:sz w:val="21"/>
        </w:rPr>
        <w:t xml:space="preserve"> </w:t>
      </w:r>
    </w:p>
    <w:p w14:paraId="13C5AECE">
      <w:pPr>
        <w:pStyle w:val="17"/>
        <w:spacing w:before="91" w:line="374" w:lineRule="auto"/>
        <w:ind w:left="161" w:right="1104" w:firstLine="420"/>
      </w:pPr>
      <w:r>
        <w:t xml:space="preserve">承包人按照本款约定解除合同的，发包人应在解除合同后 28 天内支付下列款项，并解除履约担保、低价风险担保、预付款担保： </w:t>
      </w:r>
    </w:p>
    <w:p w14:paraId="2795064C">
      <w:pPr>
        <w:pStyle w:val="317"/>
        <w:numPr>
          <w:ilvl w:val="0"/>
          <w:numId w:val="61"/>
        </w:numPr>
        <w:tabs>
          <w:tab w:val="left" w:pos="1109"/>
        </w:tabs>
        <w:spacing w:line="256" w:lineRule="exact"/>
        <w:ind w:hanging="528"/>
        <w:rPr>
          <w:sz w:val="21"/>
        </w:rPr>
      </w:pPr>
      <w:r>
        <w:rPr>
          <w:spacing w:val="-1"/>
          <w:sz w:val="21"/>
        </w:rPr>
        <w:t>合同解除前所完成工作的价款；</w:t>
      </w:r>
      <w:r>
        <w:rPr>
          <w:sz w:val="21"/>
        </w:rPr>
        <w:t xml:space="preserve"> </w:t>
      </w:r>
    </w:p>
    <w:p w14:paraId="6CA9BEFA">
      <w:pPr>
        <w:pStyle w:val="317"/>
        <w:numPr>
          <w:ilvl w:val="0"/>
          <w:numId w:val="61"/>
        </w:numPr>
        <w:tabs>
          <w:tab w:val="left" w:pos="1109"/>
        </w:tabs>
        <w:spacing w:before="136"/>
        <w:ind w:hanging="528"/>
        <w:rPr>
          <w:sz w:val="21"/>
        </w:rPr>
      </w:pPr>
      <w:r>
        <w:rPr>
          <w:spacing w:val="-1"/>
          <w:sz w:val="21"/>
        </w:rPr>
        <w:t>承包人为工程施工订购并已付款的材料、工程设备和其他物品的价款；</w:t>
      </w:r>
      <w:r>
        <w:rPr>
          <w:sz w:val="21"/>
        </w:rPr>
        <w:t xml:space="preserve"> </w:t>
      </w:r>
    </w:p>
    <w:p w14:paraId="17FB2B69">
      <w:pPr>
        <w:pStyle w:val="317"/>
        <w:numPr>
          <w:ilvl w:val="0"/>
          <w:numId w:val="61"/>
        </w:numPr>
        <w:tabs>
          <w:tab w:val="left" w:pos="1109"/>
        </w:tabs>
        <w:spacing w:before="136"/>
        <w:ind w:hanging="528"/>
        <w:rPr>
          <w:sz w:val="21"/>
        </w:rPr>
      </w:pPr>
      <w:r>
        <w:rPr>
          <w:spacing w:val="-1"/>
          <w:sz w:val="21"/>
        </w:rPr>
        <w:t>承包人撤离施工现场以及遣散承包人人员的款项；</w:t>
      </w:r>
      <w:r>
        <w:rPr>
          <w:sz w:val="21"/>
        </w:rPr>
        <w:t xml:space="preserve"> </w:t>
      </w:r>
    </w:p>
    <w:p w14:paraId="790B8FA4">
      <w:pPr>
        <w:pStyle w:val="317"/>
        <w:numPr>
          <w:ilvl w:val="0"/>
          <w:numId w:val="61"/>
        </w:numPr>
        <w:tabs>
          <w:tab w:val="left" w:pos="1109"/>
        </w:tabs>
        <w:spacing w:before="152"/>
        <w:ind w:hanging="528"/>
        <w:rPr>
          <w:sz w:val="21"/>
        </w:rPr>
      </w:pPr>
      <w:r>
        <w:rPr>
          <w:spacing w:val="-1"/>
          <w:sz w:val="21"/>
        </w:rPr>
        <w:t>按照合同约定在合同解除前应支付的违约金；</w:t>
      </w:r>
      <w:r>
        <w:rPr>
          <w:sz w:val="21"/>
        </w:rPr>
        <w:t xml:space="preserve"> </w:t>
      </w:r>
    </w:p>
    <w:p w14:paraId="23AB7EEC">
      <w:pPr>
        <w:pStyle w:val="317"/>
        <w:numPr>
          <w:ilvl w:val="0"/>
          <w:numId w:val="61"/>
        </w:numPr>
        <w:tabs>
          <w:tab w:val="left" w:pos="1109"/>
        </w:tabs>
        <w:spacing w:before="136"/>
        <w:ind w:hanging="528"/>
        <w:rPr>
          <w:sz w:val="21"/>
        </w:rPr>
      </w:pPr>
      <w:r>
        <w:rPr>
          <w:spacing w:val="-1"/>
          <w:sz w:val="21"/>
        </w:rPr>
        <w:t>按照合同约定应当支付给承包人的其他款项；</w:t>
      </w:r>
      <w:r>
        <w:rPr>
          <w:sz w:val="21"/>
        </w:rPr>
        <w:t xml:space="preserve"> </w:t>
      </w:r>
    </w:p>
    <w:p w14:paraId="77695EFF">
      <w:pPr>
        <w:pStyle w:val="317"/>
        <w:numPr>
          <w:ilvl w:val="0"/>
          <w:numId w:val="61"/>
        </w:numPr>
        <w:tabs>
          <w:tab w:val="left" w:pos="1109"/>
        </w:tabs>
        <w:spacing w:before="136"/>
        <w:ind w:hanging="528"/>
        <w:rPr>
          <w:sz w:val="21"/>
        </w:rPr>
      </w:pPr>
      <w:r>
        <w:rPr>
          <w:spacing w:val="-1"/>
          <w:sz w:val="21"/>
        </w:rPr>
        <w:t>按照合同约定应退还的质量保证金；</w:t>
      </w:r>
      <w:r>
        <w:rPr>
          <w:sz w:val="21"/>
        </w:rPr>
        <w:t xml:space="preserve"> </w:t>
      </w:r>
    </w:p>
    <w:p w14:paraId="3A45E025">
      <w:pPr>
        <w:pStyle w:val="317"/>
        <w:numPr>
          <w:ilvl w:val="0"/>
          <w:numId w:val="61"/>
        </w:numPr>
        <w:tabs>
          <w:tab w:val="left" w:pos="1109"/>
        </w:tabs>
        <w:spacing w:before="137"/>
        <w:ind w:hanging="528"/>
        <w:rPr>
          <w:sz w:val="21"/>
        </w:rPr>
      </w:pPr>
      <w:r>
        <w:rPr>
          <w:spacing w:val="-1"/>
          <w:sz w:val="21"/>
        </w:rPr>
        <w:t>因解除合同给承包人造成的损失；</w:t>
      </w:r>
      <w:r>
        <w:rPr>
          <w:sz w:val="21"/>
        </w:rPr>
        <w:t xml:space="preserve"> </w:t>
      </w:r>
    </w:p>
    <w:p w14:paraId="19CB2618">
      <w:pPr>
        <w:pStyle w:val="17"/>
        <w:spacing w:before="136"/>
        <w:ind w:left="581"/>
      </w:pPr>
      <w:r>
        <w:t>（8）</w:t>
      </w:r>
      <w:r>
        <w:rPr>
          <w:u w:val="single"/>
        </w:rPr>
        <w:t xml:space="preserve"> 。</w:t>
      </w:r>
      <w:r>
        <w:t xml:space="preserve"> </w:t>
      </w:r>
    </w:p>
    <w:p w14:paraId="0232DA26">
      <w:pPr>
        <w:pStyle w:val="17"/>
        <w:spacing w:before="151"/>
        <w:ind w:left="581"/>
      </w:pPr>
      <w:r>
        <w:t xml:space="preserve">合同当事人未能就解除合同后的结清达成一致的，按照第 20 条〔争议解决〕的约定处理。 </w:t>
      </w:r>
    </w:p>
    <w:p w14:paraId="345F3DA0">
      <w:pPr>
        <w:pStyle w:val="17"/>
        <w:spacing w:before="136" w:line="362" w:lineRule="auto"/>
        <w:ind w:left="161" w:right="1294" w:firstLine="420"/>
      </w:pPr>
      <w:r>
        <w:t xml:space="preserve">承包人应妥善做好已完工程和与工程有关的已购材料、工程设备的保护和移交工作，并将施工设备和人员撤出施工现场，发包人应为承包人撤出提供必要条件。 </w:t>
      </w:r>
    </w:p>
    <w:p w14:paraId="52366CF2">
      <w:pPr>
        <w:pStyle w:val="3"/>
        <w:numPr>
          <w:ilvl w:val="1"/>
          <w:numId w:val="5"/>
        </w:numPr>
        <w:tabs>
          <w:tab w:val="left" w:pos="1048"/>
        </w:tabs>
        <w:spacing w:before="37"/>
        <w:ind w:left="1047" w:hanging="467"/>
      </w:pPr>
      <w:r>
        <w:rPr>
          <w:spacing w:val="8"/>
        </w:rPr>
        <w:t>承包人违约</w:t>
      </w:r>
      <w:r>
        <w:rPr>
          <w:spacing w:val="8"/>
          <w:w w:val="167"/>
        </w:rPr>
        <w:t xml:space="preserve"> </w:t>
      </w:r>
    </w:p>
    <w:p w14:paraId="2AE2054D">
      <w:pPr>
        <w:pStyle w:val="317"/>
        <w:numPr>
          <w:ilvl w:val="2"/>
          <w:numId w:val="5"/>
        </w:numPr>
        <w:tabs>
          <w:tab w:val="left" w:pos="1213"/>
        </w:tabs>
        <w:spacing w:before="55"/>
        <w:ind w:left="1213" w:hanging="632"/>
        <w:jc w:val="left"/>
        <w:rPr>
          <w:sz w:val="19"/>
        </w:rPr>
      </w:pPr>
      <w:r>
        <w:rPr>
          <w:sz w:val="21"/>
        </w:rPr>
        <w:t xml:space="preserve">承包人违约的情形 </w:t>
      </w:r>
    </w:p>
    <w:p w14:paraId="1CD3F130">
      <w:pPr>
        <w:pStyle w:val="17"/>
        <w:spacing w:before="136"/>
        <w:ind w:left="581"/>
      </w:pPr>
      <w:r>
        <w:t xml:space="preserve">除通用合同条款约定外，承包人违约的其他情形： </w:t>
      </w:r>
    </w:p>
    <w:p w14:paraId="64B87308">
      <w:pPr>
        <w:pStyle w:val="317"/>
        <w:numPr>
          <w:ilvl w:val="0"/>
          <w:numId w:val="62"/>
        </w:numPr>
        <w:tabs>
          <w:tab w:val="left" w:pos="1109"/>
        </w:tabs>
        <w:spacing w:before="137"/>
        <w:ind w:hanging="528"/>
        <w:jc w:val="left"/>
        <w:rPr>
          <w:sz w:val="21"/>
        </w:rPr>
      </w:pPr>
      <w:r>
        <w:rPr>
          <w:spacing w:val="-1"/>
          <w:sz w:val="21"/>
        </w:rPr>
        <w:t>承包人未按合同约定提交履约担保或质量保证金的；</w:t>
      </w:r>
      <w:r>
        <w:rPr>
          <w:sz w:val="21"/>
        </w:rPr>
        <w:t xml:space="preserve"> </w:t>
      </w:r>
    </w:p>
    <w:p w14:paraId="67EF65F8">
      <w:pPr>
        <w:pStyle w:val="317"/>
        <w:numPr>
          <w:ilvl w:val="0"/>
          <w:numId w:val="62"/>
        </w:numPr>
        <w:tabs>
          <w:tab w:val="left" w:pos="1109"/>
        </w:tabs>
        <w:spacing w:before="136"/>
        <w:ind w:hanging="528"/>
        <w:jc w:val="left"/>
        <w:rPr>
          <w:sz w:val="21"/>
        </w:rPr>
      </w:pPr>
      <w:r>
        <w:rPr>
          <w:spacing w:val="-1"/>
          <w:sz w:val="21"/>
        </w:rPr>
        <w:t>承包人未能按期开工的；</w:t>
      </w:r>
      <w:r>
        <w:rPr>
          <w:sz w:val="21"/>
        </w:rPr>
        <w:t xml:space="preserve"> </w:t>
      </w:r>
    </w:p>
    <w:p w14:paraId="40F62F14">
      <w:pPr>
        <w:pStyle w:val="317"/>
        <w:numPr>
          <w:ilvl w:val="0"/>
          <w:numId w:val="62"/>
        </w:numPr>
        <w:tabs>
          <w:tab w:val="left" w:pos="1109"/>
        </w:tabs>
        <w:spacing w:before="151" w:line="362" w:lineRule="auto"/>
        <w:ind w:left="161" w:right="1285" w:firstLine="420"/>
        <w:jc w:val="left"/>
        <w:rPr>
          <w:sz w:val="21"/>
        </w:rPr>
      </w:pPr>
      <w:r>
        <w:rPr>
          <w:spacing w:val="-2"/>
          <w:sz w:val="21"/>
        </w:rPr>
        <w:t xml:space="preserve">承包人未按投标文件或监理人的要求及时配备称职的主要管理人员，或承包人未按经审定的施工组织设计配备或更换关键施工设备的； </w:t>
      </w:r>
    </w:p>
    <w:p w14:paraId="5199756E">
      <w:pPr>
        <w:pStyle w:val="317"/>
        <w:numPr>
          <w:ilvl w:val="0"/>
          <w:numId w:val="62"/>
        </w:numPr>
        <w:tabs>
          <w:tab w:val="left" w:pos="1109"/>
        </w:tabs>
        <w:spacing w:line="267" w:lineRule="exact"/>
        <w:ind w:hanging="528"/>
        <w:jc w:val="left"/>
        <w:rPr>
          <w:sz w:val="21"/>
        </w:rPr>
      </w:pPr>
      <w:r>
        <w:rPr>
          <w:spacing w:val="-1"/>
          <w:sz w:val="21"/>
        </w:rPr>
        <w:t>承包人有安全问题或有违反安全管理规章制度情况的；</w:t>
      </w:r>
      <w:r>
        <w:rPr>
          <w:sz w:val="21"/>
        </w:rPr>
        <w:t xml:space="preserve"> </w:t>
      </w:r>
    </w:p>
    <w:p w14:paraId="4C002919">
      <w:pPr>
        <w:pStyle w:val="317"/>
        <w:numPr>
          <w:ilvl w:val="0"/>
          <w:numId w:val="62"/>
        </w:numPr>
        <w:tabs>
          <w:tab w:val="left" w:pos="1109"/>
        </w:tabs>
        <w:spacing w:before="136" w:line="362" w:lineRule="auto"/>
        <w:ind w:left="161" w:right="1284" w:firstLine="420"/>
        <w:jc w:val="left"/>
        <w:rPr>
          <w:sz w:val="21"/>
        </w:rPr>
      </w:pPr>
      <w:r>
        <w:rPr>
          <w:spacing w:val="-4"/>
          <w:sz w:val="21"/>
        </w:rPr>
        <w:t xml:space="preserve">承包人在缺陷责任期及保修期内，未能在合理期限对工程缺陷进行修复，或拒绝按发包人要求进行修复的； </w:t>
      </w:r>
    </w:p>
    <w:p w14:paraId="6A84F132">
      <w:pPr>
        <w:pStyle w:val="317"/>
        <w:numPr>
          <w:ilvl w:val="0"/>
          <w:numId w:val="62"/>
        </w:numPr>
        <w:tabs>
          <w:tab w:val="left" w:pos="1109"/>
        </w:tabs>
        <w:spacing w:before="14" w:line="362" w:lineRule="auto"/>
        <w:ind w:left="161" w:right="1269" w:firstLine="420"/>
        <w:jc w:val="left"/>
        <w:rPr>
          <w:sz w:val="21"/>
        </w:rPr>
      </w:pPr>
      <w:r>
        <w:rPr>
          <w:spacing w:val="-4"/>
          <w:sz w:val="21"/>
        </w:rPr>
        <w:t>承包人拖欠其工人或所雇人员工资或报酬，导致其工人或所雇人员向有关部门投诉、控告、检举或以聚集等方式讨要工资或报酬的；</w:t>
      </w:r>
      <w:r>
        <w:rPr>
          <w:sz w:val="21"/>
        </w:rPr>
        <w:t xml:space="preserve"> </w:t>
      </w:r>
    </w:p>
    <w:p w14:paraId="1C631665">
      <w:pPr>
        <w:pStyle w:val="317"/>
        <w:numPr>
          <w:ilvl w:val="0"/>
          <w:numId w:val="62"/>
        </w:numPr>
        <w:tabs>
          <w:tab w:val="left" w:pos="1109"/>
        </w:tabs>
        <w:spacing w:line="362" w:lineRule="auto"/>
        <w:ind w:left="161" w:right="1285" w:firstLine="420"/>
        <w:jc w:val="left"/>
        <w:rPr>
          <w:sz w:val="21"/>
        </w:rPr>
      </w:pPr>
      <w:r>
        <w:rPr>
          <w:spacing w:val="-5"/>
          <w:sz w:val="21"/>
        </w:rPr>
        <w:t>承包人不配合发包人、监理人及发包人委托的工程造价咨询服务单位结算审核或承包人其他原因导致未按期完成工程竣工结算的；</w:t>
      </w:r>
      <w:r>
        <w:rPr>
          <w:sz w:val="21"/>
        </w:rPr>
        <w:t xml:space="preserve"> </w:t>
      </w:r>
    </w:p>
    <w:p w14:paraId="258FD7CC">
      <w:pPr>
        <w:pStyle w:val="317"/>
        <w:numPr>
          <w:ilvl w:val="0"/>
          <w:numId w:val="62"/>
        </w:numPr>
        <w:tabs>
          <w:tab w:val="left" w:pos="1109"/>
        </w:tabs>
        <w:spacing w:before="11"/>
        <w:ind w:hanging="528"/>
        <w:jc w:val="left"/>
        <w:rPr>
          <w:sz w:val="21"/>
        </w:rPr>
      </w:pPr>
      <w:r>
        <w:rPr>
          <w:spacing w:val="-1"/>
          <w:sz w:val="21"/>
        </w:rPr>
        <w:t>承包人违反合同约定进行转包或违法分包的；</w:t>
      </w:r>
      <w:r>
        <w:rPr>
          <w:sz w:val="21"/>
        </w:rPr>
        <w:t xml:space="preserve"> </w:t>
      </w:r>
    </w:p>
    <w:p w14:paraId="4283D922">
      <w:pPr>
        <w:pStyle w:val="317"/>
        <w:numPr>
          <w:ilvl w:val="0"/>
          <w:numId w:val="62"/>
        </w:numPr>
        <w:tabs>
          <w:tab w:val="left" w:pos="1109"/>
        </w:tabs>
        <w:spacing w:before="136"/>
        <w:ind w:hanging="528"/>
        <w:jc w:val="left"/>
        <w:rPr>
          <w:sz w:val="21"/>
        </w:rPr>
      </w:pPr>
      <w:r>
        <w:rPr>
          <w:spacing w:val="-1"/>
          <w:sz w:val="21"/>
        </w:rPr>
        <w:t xml:space="preserve">承包人未按合同约定移交全部或部分工作的； </w:t>
      </w:r>
    </w:p>
    <w:p w14:paraId="6C519070">
      <w:pPr>
        <w:pStyle w:val="317"/>
        <w:numPr>
          <w:ilvl w:val="0"/>
          <w:numId w:val="62"/>
        </w:numPr>
        <w:tabs>
          <w:tab w:val="left" w:pos="1214"/>
        </w:tabs>
        <w:spacing w:before="136"/>
        <w:ind w:left="1213" w:hanging="633"/>
        <w:jc w:val="left"/>
        <w:rPr>
          <w:sz w:val="21"/>
        </w:rPr>
      </w:pPr>
      <w:r>
        <w:rPr>
          <w:spacing w:val="-1"/>
          <w:sz w:val="21"/>
        </w:rPr>
        <w:t>承包人未按合同约定购买保险的；</w:t>
      </w:r>
      <w:r>
        <w:rPr>
          <w:sz w:val="21"/>
        </w:rPr>
        <w:t xml:space="preserve"> </w:t>
      </w:r>
    </w:p>
    <w:p w14:paraId="15EA7A72">
      <w:pPr>
        <w:pStyle w:val="317"/>
        <w:numPr>
          <w:ilvl w:val="0"/>
          <w:numId w:val="62"/>
        </w:numPr>
        <w:tabs>
          <w:tab w:val="left" w:pos="1214"/>
        </w:tabs>
        <w:spacing w:before="137" w:line="374" w:lineRule="auto"/>
        <w:ind w:left="581" w:right="5616" w:firstLine="0"/>
        <w:jc w:val="left"/>
        <w:rPr>
          <w:sz w:val="21"/>
        </w:rPr>
      </w:pPr>
      <w:r>
        <w:rPr>
          <w:spacing w:val="-1"/>
          <w:sz w:val="21"/>
        </w:rPr>
        <w:t xml:space="preserve">项目经理若有以下情形，属于承包人违约： </w:t>
      </w:r>
      <w:r>
        <w:rPr>
          <w:sz w:val="21"/>
        </w:rPr>
        <w:t>1）</w:t>
      </w:r>
      <w:r>
        <w:rPr>
          <w:spacing w:val="-1"/>
          <w:sz w:val="21"/>
        </w:rPr>
        <w:t>项目经理不按承诺到岗的；</w:t>
      </w:r>
      <w:r>
        <w:rPr>
          <w:sz w:val="21"/>
        </w:rPr>
        <w:t xml:space="preserve"> </w:t>
      </w:r>
    </w:p>
    <w:p w14:paraId="57E5F206">
      <w:pPr>
        <w:spacing w:line="374" w:lineRule="auto"/>
        <w:rPr>
          <w:sz w:val="21"/>
        </w:rPr>
        <w:sectPr>
          <w:pgSz w:w="11910" w:h="16850"/>
          <w:pgMar w:top="1440" w:right="1080" w:bottom="1440" w:left="1080" w:header="0" w:footer="996" w:gutter="0"/>
          <w:cols w:space="720" w:num="1"/>
        </w:sectPr>
      </w:pPr>
    </w:p>
    <w:p w14:paraId="4952E529">
      <w:pPr>
        <w:pStyle w:val="317"/>
        <w:numPr>
          <w:ilvl w:val="1"/>
          <w:numId w:val="56"/>
        </w:numPr>
        <w:tabs>
          <w:tab w:val="left" w:pos="1064"/>
        </w:tabs>
        <w:spacing w:before="41"/>
        <w:ind w:hanging="318"/>
        <w:rPr>
          <w:sz w:val="21"/>
        </w:rPr>
      </w:pPr>
      <w:r>
        <w:rPr>
          <w:spacing w:val="-1"/>
          <w:sz w:val="21"/>
        </w:rPr>
        <w:t>每月在施工现场的天数少于约定天数的；</w:t>
      </w:r>
      <w:r>
        <w:rPr>
          <w:sz w:val="21"/>
        </w:rPr>
        <w:t xml:space="preserve"> </w:t>
      </w:r>
    </w:p>
    <w:p w14:paraId="0E881A33">
      <w:pPr>
        <w:pStyle w:val="317"/>
        <w:numPr>
          <w:ilvl w:val="1"/>
          <w:numId w:val="56"/>
        </w:numPr>
        <w:tabs>
          <w:tab w:val="left" w:pos="1064"/>
        </w:tabs>
        <w:spacing w:before="136"/>
        <w:ind w:hanging="318"/>
        <w:rPr>
          <w:sz w:val="21"/>
        </w:rPr>
      </w:pPr>
      <w:r>
        <w:rPr>
          <w:spacing w:val="-1"/>
          <w:sz w:val="21"/>
        </w:rPr>
        <w:t>承包人未提交项目经理劳动合同和社会保险证明的；</w:t>
      </w:r>
      <w:r>
        <w:rPr>
          <w:sz w:val="21"/>
        </w:rPr>
        <w:t xml:space="preserve"> </w:t>
      </w:r>
    </w:p>
    <w:p w14:paraId="7213D084">
      <w:pPr>
        <w:pStyle w:val="317"/>
        <w:numPr>
          <w:ilvl w:val="1"/>
          <w:numId w:val="56"/>
        </w:numPr>
        <w:tabs>
          <w:tab w:val="left" w:pos="1064"/>
        </w:tabs>
        <w:spacing w:before="137"/>
        <w:ind w:hanging="318"/>
        <w:rPr>
          <w:sz w:val="21"/>
        </w:rPr>
      </w:pPr>
      <w:r>
        <w:rPr>
          <w:sz w:val="21"/>
        </w:rPr>
        <w:t>未经批准，擅自离开施工现场（超过约定时间）</w:t>
      </w:r>
      <w:r>
        <w:rPr>
          <w:spacing w:val="-3"/>
          <w:sz w:val="21"/>
        </w:rPr>
        <w:t>的；</w:t>
      </w:r>
      <w:r>
        <w:rPr>
          <w:sz w:val="21"/>
        </w:rPr>
        <w:t xml:space="preserve"> </w:t>
      </w:r>
    </w:p>
    <w:p w14:paraId="3F2AF44E">
      <w:pPr>
        <w:pStyle w:val="317"/>
        <w:numPr>
          <w:ilvl w:val="1"/>
          <w:numId w:val="56"/>
        </w:numPr>
        <w:tabs>
          <w:tab w:val="left" w:pos="1064"/>
        </w:tabs>
        <w:spacing w:before="151"/>
        <w:ind w:hanging="318"/>
        <w:rPr>
          <w:sz w:val="21"/>
        </w:rPr>
      </w:pPr>
      <w:r>
        <w:rPr>
          <w:spacing w:val="-1"/>
          <w:sz w:val="21"/>
        </w:rPr>
        <w:t>未经批准，擅自变更项目经理的；</w:t>
      </w:r>
      <w:r>
        <w:rPr>
          <w:sz w:val="21"/>
        </w:rPr>
        <w:t xml:space="preserve"> </w:t>
      </w:r>
    </w:p>
    <w:p w14:paraId="2E00E4E5">
      <w:pPr>
        <w:pStyle w:val="317"/>
        <w:numPr>
          <w:ilvl w:val="1"/>
          <w:numId w:val="56"/>
        </w:numPr>
        <w:tabs>
          <w:tab w:val="left" w:pos="1064"/>
        </w:tabs>
        <w:spacing w:before="136" w:line="362" w:lineRule="auto"/>
        <w:ind w:left="326" w:right="1124" w:firstLine="420"/>
        <w:rPr>
          <w:sz w:val="21"/>
        </w:rPr>
      </w:pPr>
      <w:r>
        <w:rPr>
          <w:sz w:val="21"/>
        </w:rPr>
        <w:t>按照渝建发〔2015〕35</w:t>
      </w:r>
      <w:r>
        <w:rPr>
          <w:spacing w:val="-9"/>
          <w:sz w:val="21"/>
        </w:rPr>
        <w:t xml:space="preserve"> 号文的要求，施工期间，项目经理因在一个记分周期内累计记分达到 </w:t>
      </w:r>
      <w:r>
        <w:rPr>
          <w:sz w:val="21"/>
        </w:rPr>
        <w:t xml:space="preserve">12 </w:t>
      </w:r>
      <w:r>
        <w:rPr>
          <w:spacing w:val="-1"/>
          <w:sz w:val="21"/>
        </w:rPr>
        <w:t>分，被建设行政主管部门依法责令停止执业的；</w:t>
      </w:r>
      <w:r>
        <w:rPr>
          <w:sz w:val="21"/>
        </w:rPr>
        <w:t xml:space="preserve"> </w:t>
      </w:r>
    </w:p>
    <w:p w14:paraId="215CCD6D">
      <w:pPr>
        <w:pStyle w:val="317"/>
        <w:numPr>
          <w:ilvl w:val="1"/>
          <w:numId w:val="56"/>
        </w:numPr>
        <w:tabs>
          <w:tab w:val="left" w:pos="1064"/>
        </w:tabs>
        <w:spacing w:line="267" w:lineRule="exact"/>
        <w:ind w:hanging="318"/>
        <w:rPr>
          <w:sz w:val="21"/>
        </w:rPr>
      </w:pPr>
      <w:r>
        <w:rPr>
          <w:spacing w:val="-1"/>
          <w:sz w:val="21"/>
        </w:rPr>
        <w:t>发包人有正当理由认为项目经理不称职</w:t>
      </w:r>
      <w:r>
        <w:rPr>
          <w:sz w:val="21"/>
        </w:rPr>
        <w:t>/</w:t>
      </w:r>
      <w:r>
        <w:rPr>
          <w:spacing w:val="-1"/>
          <w:sz w:val="21"/>
        </w:rPr>
        <w:t xml:space="preserve">不履职，且承包人在约定时间内不予更换的； </w:t>
      </w:r>
    </w:p>
    <w:p w14:paraId="65D69C1A">
      <w:pPr>
        <w:pStyle w:val="317"/>
        <w:numPr>
          <w:ilvl w:val="1"/>
          <w:numId w:val="56"/>
        </w:numPr>
        <w:tabs>
          <w:tab w:val="left" w:pos="1064"/>
        </w:tabs>
        <w:spacing w:before="152"/>
        <w:ind w:hanging="318"/>
        <w:rPr>
          <w:sz w:val="21"/>
        </w:rPr>
      </w:pPr>
      <w:r>
        <w:rPr>
          <w:spacing w:val="-1"/>
          <w:sz w:val="21"/>
        </w:rPr>
        <w:t>其他双方约定的情形：</w:t>
      </w:r>
      <w:r>
        <w:rPr>
          <w:spacing w:val="10"/>
          <w:sz w:val="21"/>
        </w:rPr>
        <w:t xml:space="preserve"> 。 </w:t>
      </w:r>
    </w:p>
    <w:p w14:paraId="280AD1FA">
      <w:pPr>
        <w:pStyle w:val="317"/>
        <w:numPr>
          <w:ilvl w:val="0"/>
          <w:numId w:val="62"/>
        </w:numPr>
        <w:tabs>
          <w:tab w:val="left" w:pos="1379"/>
        </w:tabs>
        <w:spacing w:before="136" w:line="362" w:lineRule="auto"/>
        <w:ind w:left="746" w:right="5239" w:firstLine="0"/>
        <w:jc w:val="left"/>
        <w:rPr>
          <w:sz w:val="21"/>
        </w:rPr>
      </w:pPr>
      <w:r>
        <w:rPr>
          <w:spacing w:val="-1"/>
          <w:sz w:val="21"/>
        </w:rPr>
        <w:t xml:space="preserve">技术负责人若有以下情形，属于承包人违约： </w:t>
      </w:r>
      <w:r>
        <w:rPr>
          <w:sz w:val="21"/>
        </w:rPr>
        <w:t>1）</w:t>
      </w:r>
      <w:r>
        <w:rPr>
          <w:spacing w:val="-1"/>
          <w:sz w:val="21"/>
        </w:rPr>
        <w:t>每月在施工现场的天数少于约定天数的；</w:t>
      </w:r>
      <w:r>
        <w:rPr>
          <w:sz w:val="21"/>
        </w:rPr>
        <w:t xml:space="preserve"> </w:t>
      </w:r>
    </w:p>
    <w:p w14:paraId="3D6EE7D5">
      <w:pPr>
        <w:pStyle w:val="317"/>
        <w:numPr>
          <w:ilvl w:val="0"/>
          <w:numId w:val="63"/>
        </w:numPr>
        <w:tabs>
          <w:tab w:val="left" w:pos="1064"/>
        </w:tabs>
        <w:spacing w:line="267" w:lineRule="exact"/>
        <w:ind w:hanging="318"/>
        <w:rPr>
          <w:sz w:val="21"/>
        </w:rPr>
      </w:pPr>
      <w:r>
        <w:rPr>
          <w:spacing w:val="-1"/>
          <w:sz w:val="21"/>
        </w:rPr>
        <w:t>承包人未提交技术负责人劳动合同和社会保险证明的；</w:t>
      </w:r>
      <w:r>
        <w:rPr>
          <w:sz w:val="21"/>
        </w:rPr>
        <w:t xml:space="preserve"> </w:t>
      </w:r>
    </w:p>
    <w:p w14:paraId="21DD164B">
      <w:pPr>
        <w:pStyle w:val="317"/>
        <w:numPr>
          <w:ilvl w:val="0"/>
          <w:numId w:val="63"/>
        </w:numPr>
        <w:tabs>
          <w:tab w:val="left" w:pos="1064"/>
        </w:tabs>
        <w:spacing w:before="151"/>
        <w:ind w:hanging="318"/>
        <w:rPr>
          <w:sz w:val="21"/>
        </w:rPr>
      </w:pPr>
      <w:r>
        <w:rPr>
          <w:sz w:val="21"/>
        </w:rPr>
        <w:t>未经批准，擅自离开施工现场（超过约定时间）</w:t>
      </w:r>
      <w:r>
        <w:rPr>
          <w:spacing w:val="-3"/>
          <w:sz w:val="21"/>
        </w:rPr>
        <w:t>的；</w:t>
      </w:r>
      <w:r>
        <w:rPr>
          <w:sz w:val="21"/>
        </w:rPr>
        <w:t xml:space="preserve"> </w:t>
      </w:r>
    </w:p>
    <w:p w14:paraId="0C42072A">
      <w:pPr>
        <w:pStyle w:val="317"/>
        <w:numPr>
          <w:ilvl w:val="0"/>
          <w:numId w:val="63"/>
        </w:numPr>
        <w:tabs>
          <w:tab w:val="left" w:pos="1064"/>
        </w:tabs>
        <w:spacing w:before="136"/>
        <w:ind w:hanging="318"/>
        <w:rPr>
          <w:sz w:val="21"/>
        </w:rPr>
      </w:pPr>
      <w:r>
        <w:rPr>
          <w:spacing w:val="-1"/>
          <w:sz w:val="21"/>
        </w:rPr>
        <w:t>未经批准，擅自变更技术负责人的；</w:t>
      </w:r>
      <w:r>
        <w:rPr>
          <w:sz w:val="21"/>
        </w:rPr>
        <w:t xml:space="preserve"> </w:t>
      </w:r>
    </w:p>
    <w:p w14:paraId="56CCCA7B">
      <w:pPr>
        <w:pStyle w:val="317"/>
        <w:numPr>
          <w:ilvl w:val="0"/>
          <w:numId w:val="63"/>
        </w:numPr>
        <w:tabs>
          <w:tab w:val="left" w:pos="1064"/>
        </w:tabs>
        <w:spacing w:before="137"/>
        <w:ind w:hanging="318"/>
        <w:rPr>
          <w:sz w:val="21"/>
        </w:rPr>
      </w:pPr>
      <w:r>
        <w:rPr>
          <w:spacing w:val="-1"/>
          <w:sz w:val="21"/>
        </w:rPr>
        <w:t>发包人有正当理由认为技术负责人不称职</w:t>
      </w:r>
      <w:r>
        <w:rPr>
          <w:sz w:val="21"/>
        </w:rPr>
        <w:t>/</w:t>
      </w:r>
      <w:r>
        <w:rPr>
          <w:spacing w:val="-1"/>
          <w:sz w:val="21"/>
        </w:rPr>
        <w:t>不履职，且承包人在约定时间内不予更换的；</w:t>
      </w:r>
      <w:r>
        <w:rPr>
          <w:sz w:val="21"/>
        </w:rPr>
        <w:t xml:space="preserve"> </w:t>
      </w:r>
    </w:p>
    <w:p w14:paraId="65A39D9E">
      <w:pPr>
        <w:pStyle w:val="317"/>
        <w:numPr>
          <w:ilvl w:val="0"/>
          <w:numId w:val="63"/>
        </w:numPr>
        <w:tabs>
          <w:tab w:val="left" w:pos="1064"/>
        </w:tabs>
        <w:spacing w:before="136"/>
        <w:ind w:hanging="318"/>
        <w:rPr>
          <w:sz w:val="21"/>
        </w:rPr>
      </w:pPr>
      <w:r>
        <w:rPr>
          <w:spacing w:val="-1"/>
          <w:sz w:val="21"/>
        </w:rPr>
        <w:t>其他双方约定的情形：</w:t>
      </w:r>
      <w:r>
        <w:rPr>
          <w:spacing w:val="10"/>
          <w:sz w:val="21"/>
        </w:rPr>
        <w:t xml:space="preserve"> 。 </w:t>
      </w:r>
    </w:p>
    <w:p w14:paraId="4097522E">
      <w:pPr>
        <w:pStyle w:val="317"/>
        <w:numPr>
          <w:ilvl w:val="0"/>
          <w:numId w:val="62"/>
        </w:numPr>
        <w:tabs>
          <w:tab w:val="left" w:pos="1379"/>
        </w:tabs>
        <w:spacing w:before="136" w:line="374" w:lineRule="auto"/>
        <w:ind w:left="746" w:right="4503" w:firstLine="0"/>
        <w:jc w:val="left"/>
        <w:rPr>
          <w:sz w:val="21"/>
        </w:rPr>
      </w:pPr>
      <w:r>
        <w:rPr>
          <w:spacing w:val="-1"/>
          <w:sz w:val="21"/>
        </w:rPr>
        <w:t xml:space="preserve">主要施工管理人员若有以下情形，属于承包人违约： </w:t>
      </w:r>
      <w:r>
        <w:rPr>
          <w:sz w:val="21"/>
        </w:rPr>
        <w:t>1）</w:t>
      </w:r>
      <w:r>
        <w:rPr>
          <w:spacing w:val="-2"/>
          <w:sz w:val="21"/>
        </w:rPr>
        <w:t>承包人未提交主要管理人员劳动合同和社会保险证明的；</w:t>
      </w:r>
      <w:r>
        <w:rPr>
          <w:sz w:val="21"/>
        </w:rPr>
        <w:t xml:space="preserve"> </w:t>
      </w:r>
    </w:p>
    <w:p w14:paraId="1AD27639">
      <w:pPr>
        <w:pStyle w:val="317"/>
        <w:numPr>
          <w:ilvl w:val="0"/>
          <w:numId w:val="64"/>
        </w:numPr>
        <w:tabs>
          <w:tab w:val="left" w:pos="1064"/>
        </w:tabs>
        <w:spacing w:line="255" w:lineRule="exact"/>
        <w:ind w:hanging="318"/>
        <w:rPr>
          <w:sz w:val="21"/>
        </w:rPr>
      </w:pPr>
      <w:r>
        <w:rPr>
          <w:sz w:val="21"/>
        </w:rPr>
        <w:t>未经批准，擅自离开施工现场（超过约定时间）</w:t>
      </w:r>
      <w:r>
        <w:rPr>
          <w:spacing w:val="-3"/>
          <w:sz w:val="21"/>
        </w:rPr>
        <w:t>的；</w:t>
      </w:r>
      <w:r>
        <w:rPr>
          <w:sz w:val="21"/>
        </w:rPr>
        <w:t xml:space="preserve"> </w:t>
      </w:r>
    </w:p>
    <w:p w14:paraId="09E08D0A">
      <w:pPr>
        <w:pStyle w:val="317"/>
        <w:numPr>
          <w:ilvl w:val="0"/>
          <w:numId w:val="64"/>
        </w:numPr>
        <w:tabs>
          <w:tab w:val="left" w:pos="1064"/>
        </w:tabs>
        <w:spacing w:before="137"/>
        <w:ind w:hanging="318"/>
        <w:rPr>
          <w:sz w:val="21"/>
        </w:rPr>
      </w:pPr>
      <w:r>
        <w:rPr>
          <w:spacing w:val="-1"/>
          <w:sz w:val="21"/>
        </w:rPr>
        <w:t>未经批准，擅自变更主要施工管理人员的；</w:t>
      </w:r>
      <w:r>
        <w:rPr>
          <w:sz w:val="21"/>
        </w:rPr>
        <w:t xml:space="preserve"> </w:t>
      </w:r>
    </w:p>
    <w:p w14:paraId="25D1AECE">
      <w:pPr>
        <w:pStyle w:val="317"/>
        <w:numPr>
          <w:ilvl w:val="0"/>
          <w:numId w:val="64"/>
        </w:numPr>
        <w:tabs>
          <w:tab w:val="left" w:pos="1064"/>
        </w:tabs>
        <w:spacing w:before="136"/>
        <w:ind w:hanging="318"/>
        <w:rPr>
          <w:sz w:val="21"/>
        </w:rPr>
      </w:pPr>
      <w:r>
        <w:rPr>
          <w:spacing w:val="-1"/>
          <w:sz w:val="21"/>
        </w:rPr>
        <w:t>发包人有正当理由认为主要施工管理人员不称职</w:t>
      </w:r>
      <w:r>
        <w:rPr>
          <w:sz w:val="21"/>
        </w:rPr>
        <w:t>/</w:t>
      </w:r>
      <w:r>
        <w:rPr>
          <w:spacing w:val="-1"/>
          <w:sz w:val="21"/>
        </w:rPr>
        <w:t>不履职，且承包人在约定时间内不予更换的；</w:t>
      </w:r>
      <w:r>
        <w:rPr>
          <w:sz w:val="21"/>
        </w:rPr>
        <w:t xml:space="preserve"> </w:t>
      </w:r>
    </w:p>
    <w:p w14:paraId="3CB897A7">
      <w:pPr>
        <w:pStyle w:val="317"/>
        <w:numPr>
          <w:ilvl w:val="0"/>
          <w:numId w:val="64"/>
        </w:numPr>
        <w:tabs>
          <w:tab w:val="left" w:pos="1064"/>
        </w:tabs>
        <w:spacing w:before="151"/>
        <w:ind w:hanging="318"/>
        <w:rPr>
          <w:sz w:val="21"/>
        </w:rPr>
      </w:pPr>
      <w:r>
        <w:rPr>
          <w:spacing w:val="-1"/>
          <w:sz w:val="21"/>
        </w:rPr>
        <w:t>其他双方约定的情形：</w:t>
      </w:r>
      <w:r>
        <w:rPr>
          <w:spacing w:val="10"/>
          <w:sz w:val="21"/>
        </w:rPr>
        <w:t xml:space="preserve"> 。 </w:t>
      </w:r>
    </w:p>
    <w:p w14:paraId="221F8825">
      <w:pPr>
        <w:pStyle w:val="17"/>
        <w:spacing w:before="137"/>
        <w:ind w:left="746"/>
      </w:pPr>
      <w:r>
        <w:t>（14）</w:t>
      </w:r>
      <w:r>
        <w:rPr>
          <w:u w:val="single"/>
        </w:rPr>
        <w:t xml:space="preserve"> 。</w:t>
      </w:r>
      <w:r>
        <w:t xml:space="preserve"> </w:t>
      </w:r>
    </w:p>
    <w:p w14:paraId="05B5F378">
      <w:pPr>
        <w:pStyle w:val="317"/>
        <w:numPr>
          <w:ilvl w:val="2"/>
          <w:numId w:val="5"/>
        </w:numPr>
        <w:tabs>
          <w:tab w:val="left" w:pos="1378"/>
        </w:tabs>
        <w:spacing w:before="136"/>
        <w:ind w:left="1378" w:hanging="632"/>
        <w:jc w:val="left"/>
        <w:rPr>
          <w:sz w:val="19"/>
        </w:rPr>
      </w:pPr>
      <w:r>
        <w:rPr>
          <w:sz w:val="21"/>
        </w:rPr>
        <w:t xml:space="preserve">承包人违约的责任 </w:t>
      </w:r>
    </w:p>
    <w:p w14:paraId="43CE12C7">
      <w:pPr>
        <w:pStyle w:val="17"/>
        <w:spacing w:before="136"/>
        <w:ind w:left="746"/>
      </w:pPr>
      <w:r>
        <w:t xml:space="preserve">承包人违约责任的承担方式和计算方法： </w:t>
      </w:r>
    </w:p>
    <w:p w14:paraId="7F3E5DC6">
      <w:pPr>
        <w:pStyle w:val="317"/>
        <w:numPr>
          <w:ilvl w:val="0"/>
          <w:numId w:val="65"/>
        </w:numPr>
        <w:tabs>
          <w:tab w:val="left" w:pos="1274"/>
        </w:tabs>
        <w:spacing w:before="151" w:line="362" w:lineRule="auto"/>
        <w:ind w:right="1108" w:firstLine="420"/>
        <w:jc w:val="both"/>
        <w:rPr>
          <w:sz w:val="21"/>
        </w:rPr>
      </w:pPr>
      <w:r>
        <w:rPr>
          <w:spacing w:val="-4"/>
          <w:sz w:val="21"/>
        </w:rPr>
        <w:t>承包人未按合同约定提交履约担保、质量保证金的违约责任：承包人应支付违约金，违约金的</w:t>
      </w:r>
      <w:r>
        <w:rPr>
          <w:spacing w:val="-9"/>
          <w:sz w:val="21"/>
        </w:rPr>
        <w:t xml:space="preserve">计算方法：每延误 </w:t>
      </w:r>
      <w:r>
        <w:rPr>
          <w:sz w:val="21"/>
        </w:rPr>
        <w:t>1</w:t>
      </w:r>
      <w:r>
        <w:rPr>
          <w:spacing w:val="-8"/>
          <w:sz w:val="21"/>
        </w:rPr>
        <w:t xml:space="preserve"> 天，承包人按</w:t>
      </w:r>
      <w:r>
        <w:rPr>
          <w:spacing w:val="87"/>
          <w:sz w:val="21"/>
          <w:u w:val="single"/>
        </w:rPr>
        <w:t xml:space="preserve"> </w:t>
      </w:r>
      <w:r>
        <w:rPr>
          <w:sz w:val="21"/>
          <w:u w:val="single"/>
        </w:rPr>
        <w:t>（5000～50000）元/天</w:t>
      </w:r>
      <w:r>
        <w:rPr>
          <w:sz w:val="21"/>
        </w:rPr>
        <w:t>计算违约金，累计违约金上限：</w:t>
      </w:r>
      <w:r>
        <w:rPr>
          <w:spacing w:val="34"/>
          <w:sz w:val="21"/>
          <w:u w:val="single"/>
        </w:rPr>
        <w:t xml:space="preserve"> 万元</w:t>
      </w:r>
      <w:r>
        <w:rPr>
          <w:sz w:val="21"/>
          <w:u w:val="single"/>
        </w:rPr>
        <w:t>（</w:t>
      </w:r>
      <w:r>
        <w:rPr>
          <w:spacing w:val="-123"/>
          <w:sz w:val="21"/>
          <w:u w:val="single"/>
        </w:rPr>
        <w:t>不超过</w:t>
      </w:r>
      <w:r>
        <w:rPr>
          <w:spacing w:val="-7"/>
          <w:sz w:val="21"/>
          <w:u w:val="single"/>
        </w:rPr>
        <w:t xml:space="preserve">签约合同价的 </w:t>
      </w:r>
      <w:r>
        <w:rPr>
          <w:sz w:val="21"/>
          <w:u w:val="single"/>
        </w:rPr>
        <w:t>3%）</w:t>
      </w:r>
      <w:r>
        <w:rPr>
          <w:sz w:val="21"/>
        </w:rPr>
        <w:t xml:space="preserve">。 </w:t>
      </w:r>
    </w:p>
    <w:p w14:paraId="35E3A616">
      <w:pPr>
        <w:pStyle w:val="317"/>
        <w:numPr>
          <w:ilvl w:val="0"/>
          <w:numId w:val="65"/>
        </w:numPr>
        <w:tabs>
          <w:tab w:val="left" w:pos="1274"/>
        </w:tabs>
        <w:spacing w:line="362" w:lineRule="auto"/>
        <w:ind w:right="1105" w:firstLine="420"/>
        <w:jc w:val="both"/>
        <w:rPr>
          <w:sz w:val="21"/>
        </w:rPr>
      </w:pPr>
      <w:r>
        <w:rPr>
          <w:spacing w:val="-2"/>
          <w:sz w:val="21"/>
        </w:rPr>
        <w:t>承包人违反合同约定进行转包或违法分包的违约责任：按照违反合同约定进行转包和</w:t>
      </w:r>
      <w:r>
        <w:rPr>
          <w:sz w:val="21"/>
        </w:rPr>
        <w:t>（</w:t>
      </w:r>
      <w:r>
        <w:rPr>
          <w:spacing w:val="-15"/>
          <w:sz w:val="21"/>
        </w:rPr>
        <w:t>或）</w:t>
      </w:r>
      <w:r>
        <w:rPr>
          <w:sz w:val="21"/>
        </w:rPr>
        <w:t>违</w:t>
      </w:r>
      <w:r>
        <w:rPr>
          <w:spacing w:val="-2"/>
          <w:sz w:val="21"/>
        </w:rPr>
        <w:t>法分包相应转包和</w:t>
      </w:r>
      <w:r>
        <w:rPr>
          <w:sz w:val="21"/>
        </w:rPr>
        <w:t>（或</w:t>
      </w:r>
      <w:r>
        <w:rPr>
          <w:spacing w:val="-16"/>
          <w:sz w:val="21"/>
        </w:rPr>
        <w:t>）</w:t>
      </w:r>
      <w:r>
        <w:rPr>
          <w:spacing w:val="-1"/>
          <w:sz w:val="21"/>
        </w:rPr>
        <w:t>分包合同的合同金额的</w:t>
      </w:r>
      <w:r>
        <w:rPr>
          <w:spacing w:val="92"/>
          <w:sz w:val="21"/>
          <w:u w:val="single"/>
        </w:rPr>
        <w:t xml:space="preserve"> </w:t>
      </w:r>
      <w:r>
        <w:rPr>
          <w:spacing w:val="-3"/>
          <w:sz w:val="21"/>
          <w:u w:val="single"/>
        </w:rPr>
        <w:t>（5～10）%</w:t>
      </w:r>
      <w:r>
        <w:rPr>
          <w:spacing w:val="-3"/>
          <w:sz w:val="21"/>
        </w:rPr>
        <w:t>支付违约金，违法转</w:t>
      </w:r>
      <w:r>
        <w:rPr>
          <w:sz w:val="21"/>
        </w:rPr>
        <w:t>/</w:t>
      </w:r>
      <w:r>
        <w:rPr>
          <w:spacing w:val="-11"/>
          <w:sz w:val="21"/>
        </w:rPr>
        <w:t xml:space="preserve">分包商应在 </w:t>
      </w:r>
      <w:r>
        <w:rPr>
          <w:sz w:val="21"/>
        </w:rPr>
        <w:t>7</w:t>
      </w:r>
      <w:r>
        <w:rPr>
          <w:spacing w:val="-12"/>
          <w:sz w:val="21"/>
        </w:rPr>
        <w:t xml:space="preserve"> 天内撤</w:t>
      </w:r>
    </w:p>
    <w:p w14:paraId="28A92FBC">
      <w:pPr>
        <w:pStyle w:val="17"/>
        <w:spacing w:before="11"/>
        <w:ind w:left="326"/>
      </w:pPr>
      <w:r>
        <w:t xml:space="preserve">离出场。 </w:t>
      </w:r>
    </w:p>
    <w:p w14:paraId="46BA5FDE">
      <w:pPr>
        <w:pStyle w:val="317"/>
        <w:numPr>
          <w:ilvl w:val="0"/>
          <w:numId w:val="65"/>
        </w:numPr>
        <w:tabs>
          <w:tab w:val="left" w:pos="1274"/>
        </w:tabs>
        <w:spacing w:before="136" w:line="362" w:lineRule="auto"/>
        <w:ind w:right="1119" w:firstLine="420"/>
        <w:jc w:val="left"/>
        <w:rPr>
          <w:sz w:val="21"/>
        </w:rPr>
      </w:pPr>
      <w:r>
        <w:rPr>
          <w:spacing w:val="-2"/>
          <w:sz w:val="21"/>
        </w:rPr>
        <w:t>承包人违反合同约定采购和使用不合格的材料和工程设备的违约责任：按照违反合同约定采购和使用不合格的材料和（或）</w:t>
      </w:r>
      <w:r>
        <w:rPr>
          <w:spacing w:val="-3"/>
          <w:sz w:val="21"/>
        </w:rPr>
        <w:t>工程设备相应合同金额的</w:t>
      </w:r>
      <w:r>
        <w:rPr>
          <w:spacing w:val="4"/>
          <w:sz w:val="21"/>
          <w:u w:val="single"/>
        </w:rPr>
        <w:t xml:space="preserve"> </w:t>
      </w:r>
      <w:r>
        <w:rPr>
          <w:sz w:val="21"/>
          <w:u w:val="single"/>
        </w:rPr>
        <w:t>（5～10）%</w:t>
      </w:r>
      <w:r>
        <w:rPr>
          <w:sz w:val="21"/>
        </w:rPr>
        <w:t xml:space="preserve">支付违约金。 </w:t>
      </w:r>
    </w:p>
    <w:p w14:paraId="7D526FB8">
      <w:pPr>
        <w:pStyle w:val="317"/>
        <w:numPr>
          <w:ilvl w:val="0"/>
          <w:numId w:val="65"/>
        </w:numPr>
        <w:tabs>
          <w:tab w:val="left" w:pos="1274"/>
        </w:tabs>
        <w:spacing w:line="367" w:lineRule="auto"/>
        <w:ind w:right="1119" w:firstLine="420"/>
        <w:jc w:val="both"/>
        <w:rPr>
          <w:sz w:val="21"/>
        </w:rPr>
      </w:pPr>
      <w:r>
        <w:rPr>
          <w:spacing w:val="-2"/>
          <w:sz w:val="21"/>
        </w:rPr>
        <w:t>因承包人原因导致工程质量不符合规定或合同要求的违约责任：承包人退还已支付工程质量</w:t>
      </w:r>
      <w:r>
        <w:rPr>
          <w:spacing w:val="-3"/>
          <w:sz w:val="21"/>
        </w:rPr>
        <w:t>不符合合同要求工程的工程款，并按照工程质量不符合合同要求工程相应合同金额的</w:t>
      </w:r>
      <w:r>
        <w:rPr>
          <w:spacing w:val="8"/>
          <w:sz w:val="21"/>
          <w:u w:val="single"/>
        </w:rPr>
        <w:t xml:space="preserve"> </w:t>
      </w:r>
      <w:r>
        <w:rPr>
          <w:sz w:val="21"/>
          <w:u w:val="single"/>
        </w:rPr>
        <w:t>（5～10）%</w:t>
      </w:r>
      <w:r>
        <w:rPr>
          <w:sz w:val="21"/>
        </w:rPr>
        <w:t xml:space="preserve">支付违约金。 </w:t>
      </w:r>
    </w:p>
    <w:p w14:paraId="0B81CE59">
      <w:pPr>
        <w:spacing w:line="367" w:lineRule="auto"/>
        <w:jc w:val="both"/>
        <w:rPr>
          <w:sz w:val="21"/>
        </w:rPr>
        <w:sectPr>
          <w:pgSz w:w="11910" w:h="16850"/>
          <w:pgMar w:top="1440" w:right="1080" w:bottom="1440" w:left="1080" w:header="0" w:footer="996" w:gutter="0"/>
          <w:cols w:space="720" w:num="1"/>
        </w:sectPr>
      </w:pPr>
    </w:p>
    <w:p w14:paraId="1946DC8D">
      <w:pPr>
        <w:pStyle w:val="317"/>
        <w:numPr>
          <w:ilvl w:val="0"/>
          <w:numId w:val="65"/>
        </w:numPr>
        <w:tabs>
          <w:tab w:val="left" w:pos="1109"/>
        </w:tabs>
        <w:spacing w:before="41" w:line="362" w:lineRule="auto"/>
        <w:ind w:left="161" w:right="1274" w:firstLine="420"/>
        <w:jc w:val="both"/>
        <w:rPr>
          <w:sz w:val="21"/>
        </w:rPr>
      </w:pPr>
      <w:r>
        <w:rPr>
          <w:spacing w:val="-5"/>
          <w:sz w:val="21"/>
        </w:rPr>
        <w:t>承包人违反材料与设备的约定，未经批准，擅自将已按照合同约定进入施工现场的材料或设</w:t>
      </w:r>
      <w:r>
        <w:rPr>
          <w:spacing w:val="-7"/>
          <w:sz w:val="21"/>
        </w:rPr>
        <w:t>备撤离施工现场的违约责任：按照承包人擅自撤离施工现场材料和</w:t>
      </w:r>
      <w:r>
        <w:rPr>
          <w:sz w:val="21"/>
        </w:rPr>
        <w:t>（或</w:t>
      </w:r>
      <w:r>
        <w:rPr>
          <w:spacing w:val="-16"/>
          <w:sz w:val="21"/>
        </w:rPr>
        <w:t>）</w:t>
      </w:r>
      <w:r>
        <w:rPr>
          <w:spacing w:val="-1"/>
          <w:sz w:val="21"/>
        </w:rPr>
        <w:t>设备相应合同金额的</w:t>
      </w:r>
      <w:r>
        <w:rPr>
          <w:spacing w:val="-1"/>
          <w:sz w:val="21"/>
          <w:u w:val="single"/>
        </w:rPr>
        <w:t xml:space="preserve"> </w:t>
      </w:r>
      <w:r>
        <w:rPr>
          <w:spacing w:val="-3"/>
          <w:sz w:val="21"/>
          <w:u w:val="single"/>
        </w:rPr>
        <w:t>（1～5）%</w:t>
      </w:r>
      <w:r>
        <w:rPr>
          <w:sz w:val="21"/>
        </w:rPr>
        <w:t xml:space="preserve">支付违约金。 </w:t>
      </w:r>
    </w:p>
    <w:p w14:paraId="1710C1AA">
      <w:pPr>
        <w:pStyle w:val="317"/>
        <w:numPr>
          <w:ilvl w:val="0"/>
          <w:numId w:val="65"/>
        </w:numPr>
        <w:tabs>
          <w:tab w:val="left" w:pos="1109"/>
        </w:tabs>
        <w:spacing w:before="12" w:line="362" w:lineRule="auto"/>
        <w:ind w:left="161" w:right="1184" w:firstLine="420"/>
        <w:jc w:val="left"/>
        <w:rPr>
          <w:sz w:val="21"/>
        </w:rPr>
      </w:pPr>
      <w:r>
        <w:rPr>
          <w:spacing w:val="-3"/>
          <w:sz w:val="21"/>
        </w:rPr>
        <w:t>因承包人原因造成工期延误的违约承担方式和计算方法：由承包人承担由此增加的费用，由此</w:t>
      </w:r>
      <w:r>
        <w:rPr>
          <w:spacing w:val="-15"/>
          <w:sz w:val="21"/>
        </w:rPr>
        <w:t xml:space="preserve">导致工期延误的，工期不予顺延；逾期竣工违约金的计算方法：每延误 </w:t>
      </w:r>
      <w:r>
        <w:rPr>
          <w:sz w:val="21"/>
        </w:rPr>
        <w:t>1</w:t>
      </w:r>
      <w:r>
        <w:rPr>
          <w:spacing w:val="-15"/>
          <w:sz w:val="21"/>
        </w:rPr>
        <w:t xml:space="preserve"> 天，承包人按</w:t>
      </w:r>
      <w:r>
        <w:rPr>
          <w:spacing w:val="60"/>
          <w:sz w:val="21"/>
          <w:u w:val="single"/>
        </w:rPr>
        <w:t xml:space="preserve"> </w:t>
      </w:r>
      <w:r>
        <w:rPr>
          <w:sz w:val="21"/>
          <w:u w:val="single"/>
        </w:rPr>
        <w:t>（5000～50000）</w:t>
      </w:r>
      <w:r>
        <w:rPr>
          <w:spacing w:val="-207"/>
          <w:sz w:val="21"/>
          <w:u w:val="single"/>
        </w:rPr>
        <w:t>元</w:t>
      </w:r>
      <w:r>
        <w:rPr>
          <w:sz w:val="21"/>
          <w:u w:val="single"/>
        </w:rPr>
        <w:t>/天</w:t>
      </w:r>
      <w:r>
        <w:rPr>
          <w:sz w:val="21"/>
        </w:rPr>
        <w:t>计算逾期竣工违约金，累计违约金上限：</w:t>
      </w:r>
      <w:r>
        <w:rPr>
          <w:sz w:val="21"/>
          <w:u w:val="single"/>
        </w:rPr>
        <w:t xml:space="preserve"> </w:t>
      </w:r>
      <w:r>
        <w:rPr>
          <w:spacing w:val="30"/>
          <w:sz w:val="21"/>
        </w:rPr>
        <w:t xml:space="preserve"> 万元</w:t>
      </w:r>
      <w:r>
        <w:rPr>
          <w:sz w:val="21"/>
        </w:rPr>
        <w:t>（</w:t>
      </w:r>
      <w:r>
        <w:rPr>
          <w:spacing w:val="4"/>
          <w:sz w:val="21"/>
        </w:rPr>
        <w:t xml:space="preserve">不超过签约合同价的 </w:t>
      </w:r>
      <w:r>
        <w:rPr>
          <w:sz w:val="21"/>
        </w:rPr>
        <w:t>3%）；承包人支付逾期竣</w:t>
      </w:r>
      <w:r>
        <w:rPr>
          <w:spacing w:val="-1"/>
          <w:sz w:val="21"/>
        </w:rPr>
        <w:t>工违约金后，不免除承包人继续完成工程及修补缺陷的义务。</w:t>
      </w:r>
      <w:r>
        <w:rPr>
          <w:sz w:val="21"/>
        </w:rPr>
        <w:t xml:space="preserve"> </w:t>
      </w:r>
    </w:p>
    <w:p w14:paraId="4E46195E">
      <w:pPr>
        <w:pStyle w:val="317"/>
        <w:numPr>
          <w:ilvl w:val="0"/>
          <w:numId w:val="65"/>
        </w:numPr>
        <w:tabs>
          <w:tab w:val="left" w:pos="1109"/>
        </w:tabs>
        <w:spacing w:before="12" w:line="362" w:lineRule="auto"/>
        <w:ind w:left="161" w:right="1284" w:firstLine="420"/>
        <w:jc w:val="left"/>
        <w:rPr>
          <w:sz w:val="21"/>
        </w:rPr>
      </w:pPr>
      <w:r>
        <w:rPr>
          <w:spacing w:val="-4"/>
          <w:sz w:val="21"/>
        </w:rPr>
        <w:t>承包人在缺陷责任期及保修期内，未能在合理期限对工程缺陷进行修复，或拒绝按发包人要</w:t>
      </w:r>
      <w:r>
        <w:rPr>
          <w:spacing w:val="-5"/>
          <w:sz w:val="21"/>
        </w:rPr>
        <w:t>求进行修复的违约责任：按照发包人修复缺陷费用的</w:t>
      </w:r>
      <w:r>
        <w:rPr>
          <w:spacing w:val="4"/>
          <w:sz w:val="21"/>
          <w:u w:val="single"/>
        </w:rPr>
        <w:t xml:space="preserve"> </w:t>
      </w:r>
      <w:r>
        <w:rPr>
          <w:sz w:val="21"/>
          <w:u w:val="single"/>
        </w:rPr>
        <w:t>（0.5～2）%</w:t>
      </w:r>
      <w:r>
        <w:rPr>
          <w:sz w:val="21"/>
        </w:rPr>
        <w:t xml:space="preserve">支付违约金。 </w:t>
      </w:r>
    </w:p>
    <w:p w14:paraId="7A5BA81E">
      <w:pPr>
        <w:pStyle w:val="317"/>
        <w:numPr>
          <w:ilvl w:val="0"/>
          <w:numId w:val="65"/>
        </w:numPr>
        <w:tabs>
          <w:tab w:val="left" w:pos="1109"/>
        </w:tabs>
        <w:spacing w:line="362" w:lineRule="auto"/>
        <w:ind w:left="161" w:right="1306" w:firstLine="420"/>
        <w:jc w:val="left"/>
        <w:rPr>
          <w:sz w:val="21"/>
        </w:rPr>
      </w:pPr>
      <w:r>
        <w:rPr>
          <w:spacing w:val="-1"/>
          <w:sz w:val="21"/>
        </w:rPr>
        <w:t>承包人明确表示或者以其行为表明不履行合同主要义务的违约责任：按签约合同价的</w:t>
      </w:r>
      <w:r>
        <w:rPr>
          <w:spacing w:val="9"/>
          <w:sz w:val="21"/>
          <w:u w:val="single"/>
        </w:rPr>
        <w:t xml:space="preserve"> </w:t>
      </w:r>
      <w:r>
        <w:rPr>
          <w:sz w:val="21"/>
          <w:u w:val="single"/>
        </w:rPr>
        <w:t>（5～ 10）%</w:t>
      </w:r>
      <w:r>
        <w:rPr>
          <w:sz w:val="21"/>
        </w:rPr>
        <w:t xml:space="preserve">支付违约金。 </w:t>
      </w:r>
    </w:p>
    <w:p w14:paraId="1CF69BD9">
      <w:pPr>
        <w:pStyle w:val="317"/>
        <w:numPr>
          <w:ilvl w:val="0"/>
          <w:numId w:val="65"/>
        </w:numPr>
        <w:tabs>
          <w:tab w:val="left" w:pos="1109"/>
        </w:tabs>
        <w:spacing w:before="11"/>
        <w:ind w:left="1108" w:hanging="528"/>
        <w:jc w:val="left"/>
        <w:rPr>
          <w:sz w:val="21"/>
        </w:rPr>
      </w:pPr>
      <w:r>
        <w:rPr>
          <w:spacing w:val="-1"/>
          <w:sz w:val="21"/>
        </w:rPr>
        <w:t>承包人未能按照合同约定履行其他义务的违约责任：按</w:t>
      </w:r>
      <w:r>
        <w:rPr>
          <w:sz w:val="21"/>
          <w:u w:val="single"/>
        </w:rPr>
        <w:t>（500～5000）元/次</w:t>
      </w:r>
      <w:r>
        <w:rPr>
          <w:sz w:val="21"/>
        </w:rPr>
        <w:t xml:space="preserve">支付违约金。 </w:t>
      </w:r>
    </w:p>
    <w:p w14:paraId="276037FE">
      <w:pPr>
        <w:pStyle w:val="317"/>
        <w:numPr>
          <w:ilvl w:val="0"/>
          <w:numId w:val="65"/>
        </w:numPr>
        <w:tabs>
          <w:tab w:val="left" w:pos="1214"/>
        </w:tabs>
        <w:spacing w:before="136" w:line="362" w:lineRule="auto"/>
        <w:ind w:left="161" w:right="1287" w:firstLine="420"/>
        <w:jc w:val="left"/>
        <w:rPr>
          <w:sz w:val="21"/>
        </w:rPr>
      </w:pPr>
      <w:r>
        <w:rPr>
          <w:spacing w:val="-5"/>
          <w:sz w:val="21"/>
        </w:rPr>
        <w:t xml:space="preserve">承包人未能按期开工的违约责任：按合同价 </w:t>
      </w:r>
      <w:r>
        <w:rPr>
          <w:sz w:val="21"/>
          <w:u w:val="single"/>
        </w:rPr>
        <w:t>0.2‰/天</w:t>
      </w:r>
      <w:r>
        <w:rPr>
          <w:spacing w:val="-3"/>
          <w:sz w:val="21"/>
        </w:rPr>
        <w:t>支付违约金，本项违约金累计限额为签约合同价的</w:t>
      </w:r>
      <w:r>
        <w:rPr>
          <w:spacing w:val="-1"/>
          <w:sz w:val="21"/>
          <w:u w:val="single"/>
        </w:rPr>
        <w:t xml:space="preserve"> </w:t>
      </w:r>
      <w:r>
        <w:rPr>
          <w:sz w:val="21"/>
          <w:u w:val="single"/>
        </w:rPr>
        <w:t>1 %</w:t>
      </w:r>
      <w:r>
        <w:rPr>
          <w:sz w:val="21"/>
        </w:rPr>
        <w:t xml:space="preserve">。 </w:t>
      </w:r>
    </w:p>
    <w:p w14:paraId="66DBB7A7">
      <w:pPr>
        <w:pStyle w:val="317"/>
        <w:numPr>
          <w:ilvl w:val="0"/>
          <w:numId w:val="65"/>
        </w:numPr>
        <w:tabs>
          <w:tab w:val="left" w:pos="1214"/>
        </w:tabs>
        <w:spacing w:line="362" w:lineRule="auto"/>
        <w:ind w:left="161" w:right="1169" w:firstLine="420"/>
        <w:jc w:val="left"/>
        <w:rPr>
          <w:sz w:val="21"/>
        </w:rPr>
      </w:pPr>
      <w:r>
        <w:rPr>
          <w:spacing w:val="-3"/>
          <w:sz w:val="21"/>
        </w:rPr>
        <w:t>承包人未按经审定的施工组织设计配备或更换关键施工设备的违约责任：按</w:t>
      </w:r>
      <w:r>
        <w:rPr>
          <w:spacing w:val="-3"/>
          <w:sz w:val="21"/>
          <w:u w:val="single"/>
        </w:rPr>
        <w:t xml:space="preserve">  </w:t>
      </w:r>
      <w:r>
        <w:rPr>
          <w:sz w:val="21"/>
          <w:u w:val="single"/>
        </w:rPr>
        <w:t>（5000～50000）</w:t>
      </w:r>
      <w:r>
        <w:rPr>
          <w:spacing w:val="-208"/>
          <w:sz w:val="21"/>
          <w:u w:val="single"/>
        </w:rPr>
        <w:t>元</w:t>
      </w:r>
      <w:r>
        <w:rPr>
          <w:sz w:val="21"/>
          <w:u w:val="single"/>
        </w:rPr>
        <w:t>/台·次</w:t>
      </w:r>
      <w:r>
        <w:rPr>
          <w:sz w:val="21"/>
        </w:rPr>
        <w:t xml:space="preserve">支付违约金。 </w:t>
      </w:r>
    </w:p>
    <w:p w14:paraId="41C9B14A">
      <w:pPr>
        <w:pStyle w:val="317"/>
        <w:numPr>
          <w:ilvl w:val="0"/>
          <w:numId w:val="65"/>
        </w:numPr>
        <w:tabs>
          <w:tab w:val="left" w:pos="1214"/>
        </w:tabs>
        <w:spacing w:before="11" w:line="362" w:lineRule="auto"/>
        <w:ind w:left="161" w:right="1296" w:firstLine="420"/>
        <w:jc w:val="left"/>
        <w:rPr>
          <w:sz w:val="21"/>
        </w:rPr>
      </w:pPr>
      <w:r>
        <w:rPr>
          <w:sz w:val="21"/>
        </w:rPr>
        <w:t>承包人有安全问题或有违反安全管理规章制度情况的违约责任：根据具体情节，按签约合同</w:t>
      </w:r>
      <w:r>
        <w:rPr>
          <w:spacing w:val="-16"/>
          <w:sz w:val="21"/>
        </w:rPr>
        <w:t xml:space="preserve">价的 </w:t>
      </w:r>
      <w:r>
        <w:rPr>
          <w:sz w:val="21"/>
          <w:u w:val="single"/>
        </w:rPr>
        <w:t>0.5‰～4‰/次</w:t>
      </w:r>
      <w:r>
        <w:rPr>
          <w:sz w:val="21"/>
        </w:rPr>
        <w:t>支付违约金（</w:t>
      </w:r>
      <w:r>
        <w:rPr>
          <w:spacing w:val="-5"/>
          <w:sz w:val="21"/>
        </w:rPr>
        <w:t xml:space="preserve">累计不超过签约合同价的 </w:t>
      </w:r>
      <w:r>
        <w:rPr>
          <w:sz w:val="21"/>
        </w:rPr>
        <w:t>1%，</w:t>
      </w:r>
      <w:r>
        <w:rPr>
          <w:spacing w:val="-10"/>
          <w:sz w:val="21"/>
        </w:rPr>
        <w:t xml:space="preserve">详见附件 </w:t>
      </w:r>
      <w:r>
        <w:rPr>
          <w:sz w:val="21"/>
        </w:rPr>
        <w:t>9</w:t>
      </w:r>
      <w:r>
        <w:rPr>
          <w:spacing w:val="-8"/>
          <w:sz w:val="21"/>
        </w:rPr>
        <w:t xml:space="preserve"> 安全管理协议</w:t>
      </w:r>
      <w:r>
        <w:rPr>
          <w:sz w:val="21"/>
        </w:rPr>
        <w:t xml:space="preserve">）。 </w:t>
      </w:r>
    </w:p>
    <w:p w14:paraId="7245D572">
      <w:pPr>
        <w:pStyle w:val="317"/>
        <w:numPr>
          <w:ilvl w:val="0"/>
          <w:numId w:val="65"/>
        </w:numPr>
        <w:tabs>
          <w:tab w:val="left" w:pos="1214"/>
        </w:tabs>
        <w:spacing w:line="362" w:lineRule="auto"/>
        <w:ind w:left="161" w:right="1296" w:firstLine="420"/>
        <w:jc w:val="left"/>
        <w:rPr>
          <w:sz w:val="21"/>
        </w:rPr>
      </w:pPr>
      <w:r>
        <w:rPr>
          <w:sz w:val="21"/>
        </w:rPr>
        <w:t>承包人拖欠其工人或所雇人员工资或报酬，导致其工人或所雇人员向有关部门投诉、控告、</w:t>
      </w:r>
      <w:r>
        <w:rPr>
          <w:spacing w:val="-1"/>
          <w:sz w:val="21"/>
        </w:rPr>
        <w:t>检举或以聚集等方式讨要工资或报酬的违约责任：根据具体情节，按违约金额</w:t>
      </w:r>
      <w:r>
        <w:rPr>
          <w:spacing w:val="4"/>
          <w:sz w:val="21"/>
          <w:u w:val="single"/>
        </w:rPr>
        <w:t xml:space="preserve"> </w:t>
      </w:r>
      <w:r>
        <w:rPr>
          <w:sz w:val="21"/>
          <w:u w:val="single"/>
        </w:rPr>
        <w:t>（50000～200000）元/</w:t>
      </w:r>
    </w:p>
    <w:p w14:paraId="288CF942">
      <w:pPr>
        <w:pStyle w:val="17"/>
        <w:spacing w:before="12"/>
        <w:ind w:left="161"/>
      </w:pPr>
      <w:r>
        <w:rPr>
          <w:u w:val="single"/>
        </w:rPr>
        <w:t>次</w:t>
      </w:r>
      <w:r>
        <w:t xml:space="preserve">支付违约金。 </w:t>
      </w:r>
    </w:p>
    <w:p w14:paraId="2C300025">
      <w:pPr>
        <w:pStyle w:val="317"/>
        <w:numPr>
          <w:ilvl w:val="0"/>
          <w:numId w:val="65"/>
        </w:numPr>
        <w:tabs>
          <w:tab w:val="left" w:pos="1214"/>
        </w:tabs>
        <w:spacing w:before="136" w:line="362" w:lineRule="auto"/>
        <w:ind w:left="161" w:right="1296" w:firstLine="420"/>
        <w:jc w:val="left"/>
        <w:rPr>
          <w:sz w:val="21"/>
        </w:rPr>
      </w:pPr>
      <w:r>
        <w:rPr>
          <w:sz w:val="21"/>
        </w:rPr>
        <w:t>承包人不配合发包人、监理人及发包人委托的工程造价咨询服务单位结算审核的违约责任： 根据具体情节，按</w:t>
      </w:r>
      <w:r>
        <w:rPr>
          <w:spacing w:val="104"/>
          <w:sz w:val="21"/>
          <w:u w:val="single"/>
        </w:rPr>
        <w:t xml:space="preserve"> </w:t>
      </w:r>
      <w:r>
        <w:rPr>
          <w:sz w:val="21"/>
          <w:u w:val="single"/>
        </w:rPr>
        <w:t>（10000～100000）元/次</w:t>
      </w:r>
      <w:r>
        <w:rPr>
          <w:sz w:val="21"/>
        </w:rPr>
        <w:t xml:space="preserve">支付违约金。 </w:t>
      </w:r>
    </w:p>
    <w:p w14:paraId="584C11EC">
      <w:pPr>
        <w:pStyle w:val="317"/>
        <w:numPr>
          <w:ilvl w:val="0"/>
          <w:numId w:val="65"/>
        </w:numPr>
        <w:tabs>
          <w:tab w:val="left" w:pos="1214"/>
        </w:tabs>
        <w:spacing w:line="374" w:lineRule="auto"/>
        <w:ind w:left="161" w:right="1296" w:firstLine="420"/>
        <w:jc w:val="left"/>
        <w:rPr>
          <w:sz w:val="21"/>
        </w:rPr>
      </w:pPr>
      <w:r>
        <w:rPr>
          <w:sz w:val="21"/>
        </w:rPr>
        <w:t>承包人未按合同约定移交全部和部分工程的违约责任：由承包人承担工程照管、成品保护、</w:t>
      </w:r>
      <w:r>
        <w:rPr>
          <w:spacing w:val="-2"/>
          <w:sz w:val="21"/>
        </w:rPr>
        <w:t xml:space="preserve">保管等与工程有关的各种费用，并按结算金额或违约部分结算金额的 </w:t>
      </w:r>
      <w:r>
        <w:rPr>
          <w:sz w:val="21"/>
          <w:u w:val="single"/>
        </w:rPr>
        <w:t>0.5～1‰</w:t>
      </w:r>
      <w:r>
        <w:rPr>
          <w:sz w:val="21"/>
        </w:rPr>
        <w:t xml:space="preserve">支付违约金。 </w:t>
      </w:r>
    </w:p>
    <w:p w14:paraId="4D6798E4">
      <w:pPr>
        <w:pStyle w:val="317"/>
        <w:numPr>
          <w:ilvl w:val="0"/>
          <w:numId w:val="65"/>
        </w:numPr>
        <w:tabs>
          <w:tab w:val="left" w:pos="1214"/>
        </w:tabs>
        <w:spacing w:line="255" w:lineRule="exact"/>
        <w:ind w:left="1213" w:hanging="633"/>
        <w:jc w:val="left"/>
        <w:rPr>
          <w:sz w:val="21"/>
        </w:rPr>
      </w:pPr>
      <w:r>
        <w:rPr>
          <w:spacing w:val="-4"/>
          <w:sz w:val="21"/>
        </w:rPr>
        <w:t xml:space="preserve">承包人未按合同约定购买保险的违约责任：除按 </w:t>
      </w:r>
      <w:r>
        <w:rPr>
          <w:sz w:val="21"/>
        </w:rPr>
        <w:t>18.6.2</w:t>
      </w:r>
      <w:r>
        <w:rPr>
          <w:spacing w:val="-12"/>
          <w:sz w:val="21"/>
        </w:rPr>
        <w:t xml:space="preserve"> 项约定执行外，每延迟 </w:t>
      </w:r>
      <w:r>
        <w:rPr>
          <w:sz w:val="21"/>
        </w:rPr>
        <w:t>1</w:t>
      </w:r>
      <w:r>
        <w:rPr>
          <w:spacing w:val="-22"/>
          <w:sz w:val="21"/>
        </w:rPr>
        <w:t xml:space="preserve"> 天，按 </w:t>
      </w:r>
      <w:r>
        <w:rPr>
          <w:sz w:val="21"/>
          <w:u w:val="single"/>
        </w:rPr>
        <w:t>500</w:t>
      </w:r>
    </w:p>
    <w:p w14:paraId="5161C4DE">
      <w:pPr>
        <w:pStyle w:val="17"/>
        <w:spacing w:before="134"/>
        <w:ind w:left="161"/>
      </w:pPr>
      <w:r>
        <w:rPr>
          <w:u w:val="single"/>
        </w:rPr>
        <w:t>元/天</w:t>
      </w:r>
      <w:r>
        <w:t xml:space="preserve">支付违约金。 </w:t>
      </w:r>
    </w:p>
    <w:p w14:paraId="012683C0">
      <w:pPr>
        <w:pStyle w:val="17"/>
        <w:spacing w:before="137" w:line="362" w:lineRule="auto"/>
        <w:ind w:left="161" w:right="1271" w:firstLine="420"/>
        <w:jc w:val="both"/>
      </w:pPr>
      <w:r>
        <w:t>（17）</w:t>
      </w:r>
      <w:r>
        <w:rPr>
          <w:spacing w:val="-12"/>
        </w:rPr>
        <w:t xml:space="preserve">发生第 </w:t>
      </w:r>
      <w:r>
        <w:t>16.2.1</w:t>
      </w:r>
      <w:r>
        <w:rPr>
          <w:spacing w:val="-23"/>
        </w:rPr>
        <w:t xml:space="preserve"> 项</w:t>
      </w:r>
      <w:r>
        <w:t>（11）目、16.2.1</w:t>
      </w:r>
      <w:r>
        <w:rPr>
          <w:spacing w:val="-23"/>
        </w:rPr>
        <w:t xml:space="preserve"> 项</w:t>
      </w:r>
      <w:r>
        <w:t>（12）目、16.2.1</w:t>
      </w:r>
      <w:r>
        <w:rPr>
          <w:spacing w:val="-23"/>
        </w:rPr>
        <w:t xml:space="preserve"> 项</w:t>
      </w:r>
      <w:r>
        <w:t xml:space="preserve">（13）目违约情形的违约责任： </w:t>
      </w:r>
      <w:r>
        <w:rPr>
          <w:spacing w:val="-1"/>
        </w:rPr>
        <w:t>除承担由此增加的费用和工期延误的责任，承包人应向发包人支付违约金：</w:t>
      </w:r>
      <w:r>
        <w:t xml:space="preserve"> </w:t>
      </w:r>
    </w:p>
    <w:p w14:paraId="3C0FA10E">
      <w:pPr>
        <w:pStyle w:val="317"/>
        <w:numPr>
          <w:ilvl w:val="0"/>
          <w:numId w:val="66"/>
        </w:numPr>
        <w:tabs>
          <w:tab w:val="left" w:pos="898"/>
        </w:tabs>
        <w:spacing w:before="13" w:line="362" w:lineRule="auto"/>
        <w:ind w:right="1230" w:firstLine="420"/>
        <w:jc w:val="both"/>
        <w:rPr>
          <w:sz w:val="21"/>
        </w:rPr>
      </w:pPr>
      <w:r>
        <w:rPr>
          <w:spacing w:val="-3"/>
          <w:sz w:val="21"/>
        </w:rPr>
        <w:t xml:space="preserve">项目经理违约承担方式和计算方法：对于第 </w:t>
      </w:r>
      <w:r>
        <w:rPr>
          <w:sz w:val="21"/>
        </w:rPr>
        <w:t>16.2.1</w:t>
      </w:r>
      <w:r>
        <w:rPr>
          <w:spacing w:val="-23"/>
          <w:sz w:val="21"/>
        </w:rPr>
        <w:t xml:space="preserve"> 项</w:t>
      </w:r>
      <w:r>
        <w:rPr>
          <w:sz w:val="21"/>
        </w:rPr>
        <w:t>（11）目的情形，每发现一次，根据具体</w:t>
      </w:r>
      <w:r>
        <w:rPr>
          <w:spacing w:val="-10"/>
          <w:sz w:val="21"/>
        </w:rPr>
        <w:t xml:space="preserve">情节，按 </w:t>
      </w:r>
      <w:r>
        <w:rPr>
          <w:sz w:val="21"/>
          <w:u w:val="single"/>
        </w:rPr>
        <w:t>1000～30000</w:t>
      </w:r>
      <w:r>
        <w:rPr>
          <w:spacing w:val="-24"/>
          <w:sz w:val="21"/>
          <w:u w:val="single"/>
        </w:rPr>
        <w:t xml:space="preserve"> 元</w:t>
      </w:r>
      <w:r>
        <w:rPr>
          <w:sz w:val="21"/>
          <w:u w:val="single"/>
        </w:rPr>
        <w:t>/天·次</w:t>
      </w:r>
      <w:r>
        <w:rPr>
          <w:sz w:val="21"/>
        </w:rPr>
        <w:t>计算违约金；项目经理不按承诺到岗的（3.2.3</w:t>
      </w:r>
      <w:r>
        <w:rPr>
          <w:spacing w:val="-7"/>
          <w:sz w:val="21"/>
        </w:rPr>
        <w:t xml:space="preserve"> 项约定的情形除外</w:t>
      </w:r>
      <w:r>
        <w:rPr>
          <w:sz w:val="21"/>
        </w:rPr>
        <w:t xml:space="preserve">）， </w:t>
      </w:r>
      <w:r>
        <w:rPr>
          <w:spacing w:val="-3"/>
          <w:sz w:val="21"/>
        </w:rPr>
        <w:t>按履约保证金的</w:t>
      </w:r>
      <w:r>
        <w:rPr>
          <w:sz w:val="21"/>
          <w:u w:val="single"/>
        </w:rPr>
        <w:t>（50～100）%</w:t>
      </w:r>
      <w:r>
        <w:rPr>
          <w:spacing w:val="-6"/>
          <w:sz w:val="21"/>
        </w:rPr>
        <w:t>支付违约金，并解除合同；擅自更换项目经理的，按签约合同价的</w:t>
      </w:r>
      <w:r>
        <w:rPr>
          <w:sz w:val="21"/>
          <w:u w:val="single"/>
        </w:rPr>
        <w:t>（0.5～ 3）%/人·次</w:t>
      </w:r>
      <w:r>
        <w:rPr>
          <w:spacing w:val="-4"/>
          <w:sz w:val="21"/>
        </w:rPr>
        <w:t xml:space="preserve">支付违约金，每次不低于 </w:t>
      </w:r>
      <w:r>
        <w:rPr>
          <w:sz w:val="21"/>
          <w:u w:val="single"/>
        </w:rPr>
        <w:t>20</w:t>
      </w:r>
      <w:r>
        <w:rPr>
          <w:spacing w:val="-23"/>
          <w:sz w:val="21"/>
          <w:u w:val="single"/>
        </w:rPr>
        <w:t xml:space="preserve"> 万</w:t>
      </w:r>
      <w:r>
        <w:rPr>
          <w:spacing w:val="-7"/>
          <w:sz w:val="21"/>
        </w:rPr>
        <w:t xml:space="preserve">，累计不超过 </w:t>
      </w:r>
      <w:r>
        <w:rPr>
          <w:sz w:val="21"/>
          <w:u w:val="single"/>
        </w:rPr>
        <w:t>200</w:t>
      </w:r>
      <w:r>
        <w:rPr>
          <w:spacing w:val="-23"/>
          <w:sz w:val="21"/>
          <w:u w:val="single"/>
        </w:rPr>
        <w:t xml:space="preserve"> 万</w:t>
      </w:r>
      <w:r>
        <w:rPr>
          <w:sz w:val="21"/>
        </w:rPr>
        <w:t>；项目经理被责令停止执业的，按签约</w:t>
      </w:r>
    </w:p>
    <w:p w14:paraId="1513CDE9">
      <w:pPr>
        <w:pStyle w:val="17"/>
        <w:spacing w:before="11"/>
        <w:ind w:left="161"/>
        <w:jc w:val="both"/>
      </w:pPr>
      <w:r>
        <w:t>合同价的</w:t>
      </w:r>
      <w:r>
        <w:rPr>
          <w:u w:val="single"/>
        </w:rPr>
        <w:t>（0.5～3）%/人·次</w:t>
      </w:r>
      <w:r>
        <w:t xml:space="preserve">支付违约金，每次不低于 </w:t>
      </w:r>
      <w:r>
        <w:rPr>
          <w:u w:val="single"/>
        </w:rPr>
        <w:t>20 万</w:t>
      </w:r>
      <w:r>
        <w:t xml:space="preserve">，累计不超过 </w:t>
      </w:r>
      <w:r>
        <w:rPr>
          <w:u w:val="single"/>
        </w:rPr>
        <w:t>200 万</w:t>
      </w:r>
      <w:r>
        <w:t>；项目经理被责令停止</w:t>
      </w:r>
    </w:p>
    <w:p w14:paraId="3FF276A4">
      <w:pPr>
        <w:pStyle w:val="17"/>
        <w:spacing w:before="136"/>
        <w:ind w:left="161"/>
        <w:jc w:val="both"/>
      </w:pPr>
      <w:r>
        <w:t>执业的，按签约合同价的</w:t>
      </w:r>
      <w:r>
        <w:rPr>
          <w:u w:val="single"/>
        </w:rPr>
        <w:t>（0.5～3）%/人•次</w:t>
      </w:r>
      <w:r>
        <w:t xml:space="preserve">支付违约金，每次不低于 </w:t>
      </w:r>
      <w:r>
        <w:rPr>
          <w:u w:val="single"/>
        </w:rPr>
        <w:t>20</w:t>
      </w:r>
      <w:r>
        <w:t xml:space="preserve"> 万，累计不超过 </w:t>
      </w:r>
      <w:r>
        <w:rPr>
          <w:u w:val="single"/>
        </w:rPr>
        <w:t>200</w:t>
      </w:r>
      <w:r>
        <w:t xml:space="preserve"> 万。 </w:t>
      </w:r>
    </w:p>
    <w:p w14:paraId="4AF3534A">
      <w:pPr>
        <w:jc w:val="both"/>
        <w:sectPr>
          <w:pgSz w:w="11910" w:h="16850"/>
          <w:pgMar w:top="1440" w:right="1080" w:bottom="1440" w:left="1080" w:header="0" w:footer="996" w:gutter="0"/>
          <w:cols w:space="720" w:num="1"/>
        </w:sectPr>
      </w:pPr>
    </w:p>
    <w:p w14:paraId="3C04D43F">
      <w:pPr>
        <w:pStyle w:val="317"/>
        <w:numPr>
          <w:ilvl w:val="1"/>
          <w:numId w:val="66"/>
        </w:numPr>
        <w:tabs>
          <w:tab w:val="left" w:pos="1064"/>
        </w:tabs>
        <w:spacing w:before="41" w:line="362" w:lineRule="auto"/>
        <w:ind w:right="1003" w:firstLine="420"/>
        <w:rPr>
          <w:sz w:val="21"/>
        </w:rPr>
      </w:pPr>
      <w:r>
        <w:rPr>
          <w:spacing w:val="-4"/>
          <w:sz w:val="21"/>
        </w:rPr>
        <w:t xml:space="preserve">主要技术负责人违约承担方式和计算方法：对于第 </w:t>
      </w:r>
      <w:r>
        <w:rPr>
          <w:sz w:val="21"/>
        </w:rPr>
        <w:t>16.2.1</w:t>
      </w:r>
      <w:r>
        <w:rPr>
          <w:spacing w:val="-30"/>
          <w:sz w:val="21"/>
        </w:rPr>
        <w:t xml:space="preserve"> 项</w:t>
      </w:r>
      <w:r>
        <w:rPr>
          <w:spacing w:val="-4"/>
          <w:sz w:val="21"/>
        </w:rPr>
        <w:t>（12）</w:t>
      </w:r>
      <w:r>
        <w:rPr>
          <w:spacing w:val="-5"/>
          <w:sz w:val="21"/>
        </w:rPr>
        <w:t xml:space="preserve">目的六种情形，每发现一次， </w:t>
      </w:r>
      <w:r>
        <w:rPr>
          <w:spacing w:val="-10"/>
          <w:sz w:val="21"/>
        </w:rPr>
        <w:t xml:space="preserve">根据具体情节，按 </w:t>
      </w:r>
      <w:r>
        <w:rPr>
          <w:sz w:val="21"/>
          <w:u w:val="single"/>
        </w:rPr>
        <w:t>1000～30000</w:t>
      </w:r>
      <w:r>
        <w:rPr>
          <w:spacing w:val="-23"/>
          <w:sz w:val="21"/>
          <w:u w:val="single"/>
        </w:rPr>
        <w:t xml:space="preserve"> 元</w:t>
      </w:r>
      <w:r>
        <w:rPr>
          <w:sz w:val="21"/>
          <w:u w:val="single"/>
        </w:rPr>
        <w:t>/天·次</w:t>
      </w:r>
      <w:r>
        <w:rPr>
          <w:sz w:val="21"/>
        </w:rPr>
        <w:t>计算违约金；擅自更换主要技术负责人的，按签约合同价的</w:t>
      </w:r>
    </w:p>
    <w:p w14:paraId="51404F84">
      <w:pPr>
        <w:pStyle w:val="17"/>
        <w:spacing w:line="267" w:lineRule="exact"/>
        <w:ind w:left="326"/>
      </w:pPr>
      <w:r>
        <w:rPr>
          <w:u w:val="single"/>
        </w:rPr>
        <w:t>（0.5～2）%/人·次</w:t>
      </w:r>
      <w:r>
        <w:t xml:space="preserve">支付违约金，每次不低于 </w:t>
      </w:r>
      <w:r>
        <w:rPr>
          <w:u w:val="single"/>
        </w:rPr>
        <w:t>10 万</w:t>
      </w:r>
      <w:r>
        <w:t xml:space="preserve">，累计不超过 </w:t>
      </w:r>
      <w:r>
        <w:rPr>
          <w:u w:val="single"/>
        </w:rPr>
        <w:t>100 万</w:t>
      </w:r>
      <w:r>
        <w:t xml:space="preserve">。 </w:t>
      </w:r>
    </w:p>
    <w:p w14:paraId="28BEA181">
      <w:pPr>
        <w:pStyle w:val="317"/>
        <w:numPr>
          <w:ilvl w:val="1"/>
          <w:numId w:val="66"/>
        </w:numPr>
        <w:tabs>
          <w:tab w:val="left" w:pos="1064"/>
        </w:tabs>
        <w:spacing w:before="152" w:line="362" w:lineRule="auto"/>
        <w:ind w:right="1121" w:firstLine="420"/>
        <w:rPr>
          <w:sz w:val="21"/>
        </w:rPr>
      </w:pPr>
      <w:r>
        <w:rPr>
          <w:spacing w:val="-3"/>
          <w:sz w:val="21"/>
        </w:rPr>
        <w:t xml:space="preserve">主要施工管理人员违约承担方式和计算方法：对于第 </w:t>
      </w:r>
      <w:r>
        <w:rPr>
          <w:sz w:val="21"/>
        </w:rPr>
        <w:t>16.2.1</w:t>
      </w:r>
      <w:r>
        <w:rPr>
          <w:spacing w:val="-23"/>
          <w:sz w:val="21"/>
        </w:rPr>
        <w:t xml:space="preserve"> 项</w:t>
      </w:r>
      <w:r>
        <w:rPr>
          <w:sz w:val="21"/>
        </w:rPr>
        <w:t>（13）目的五种情形，每发现一</w:t>
      </w:r>
      <w:r>
        <w:rPr>
          <w:spacing w:val="-5"/>
          <w:sz w:val="21"/>
        </w:rPr>
        <w:t xml:space="preserve">次，根据具体情节，按 </w:t>
      </w:r>
      <w:r>
        <w:rPr>
          <w:sz w:val="21"/>
          <w:u w:val="single"/>
        </w:rPr>
        <w:t>500～10000</w:t>
      </w:r>
      <w:r>
        <w:rPr>
          <w:spacing w:val="-22"/>
          <w:sz w:val="21"/>
          <w:u w:val="single"/>
        </w:rPr>
        <w:t xml:space="preserve"> 元</w:t>
      </w:r>
      <w:r>
        <w:rPr>
          <w:sz w:val="21"/>
          <w:u w:val="single"/>
        </w:rPr>
        <w:t>/天·次</w:t>
      </w:r>
      <w:r>
        <w:rPr>
          <w:sz w:val="21"/>
        </w:rPr>
        <w:t xml:space="preserve">计算违约金。 </w:t>
      </w:r>
    </w:p>
    <w:p w14:paraId="2E57905E">
      <w:pPr>
        <w:pStyle w:val="17"/>
        <w:spacing w:line="267" w:lineRule="exact"/>
        <w:ind w:left="746"/>
      </w:pPr>
      <w:r>
        <w:t>（18）</w:t>
      </w:r>
      <w:r>
        <w:rPr>
          <w:u w:val="single"/>
        </w:rPr>
        <w:t xml:space="preserve"> </w:t>
      </w:r>
      <w:r>
        <w:t xml:space="preserve">。 </w:t>
      </w:r>
    </w:p>
    <w:p w14:paraId="3A6910C5">
      <w:pPr>
        <w:pStyle w:val="17"/>
        <w:spacing w:before="136" w:line="374" w:lineRule="auto"/>
        <w:ind w:left="326" w:right="1121" w:firstLine="420"/>
      </w:pPr>
      <w:r>
        <w:t>应当由承包人向发包人支付的违约金，发包人可直接提取届时有效的履约担保相应金额，不足部分</w:t>
      </w:r>
      <w:r>
        <w:rPr>
          <w:spacing w:val="-2"/>
        </w:rPr>
        <w:t xml:space="preserve">由承包人支付；若发包人提取履约担保相应金额，则承包人应在提取后 </w:t>
      </w:r>
      <w:r>
        <w:t>7</w:t>
      </w:r>
      <w:r>
        <w:rPr>
          <w:spacing w:val="-7"/>
        </w:rPr>
        <w:t xml:space="preserve"> 日内补足或提交合同约定的履</w:t>
      </w:r>
    </w:p>
    <w:p w14:paraId="09538EDB">
      <w:pPr>
        <w:pStyle w:val="17"/>
        <w:spacing w:line="255" w:lineRule="exact"/>
        <w:ind w:left="326"/>
      </w:pPr>
      <w:r>
        <w:rPr>
          <w:spacing w:val="-4"/>
        </w:rPr>
        <w:t xml:space="preserve">约担保的金额，否则按专用合同第 </w:t>
      </w:r>
      <w:r>
        <w:t>16.2.2</w:t>
      </w:r>
      <w:r>
        <w:rPr>
          <w:spacing w:val="-16"/>
        </w:rPr>
        <w:t xml:space="preserve"> 项第</w:t>
      </w:r>
      <w:r>
        <w:t>（1）目承担违约责任，并从应付或到期应付给承包人的</w:t>
      </w:r>
    </w:p>
    <w:p w14:paraId="4452BA81">
      <w:pPr>
        <w:pStyle w:val="17"/>
        <w:spacing w:before="136"/>
        <w:ind w:left="326"/>
      </w:pPr>
      <w:r>
        <w:t xml:space="preserve">任何款项中或采用其他方法，扣除该违约金。 </w:t>
      </w:r>
    </w:p>
    <w:p w14:paraId="1D425609">
      <w:pPr>
        <w:pStyle w:val="17"/>
        <w:spacing w:before="137" w:line="367" w:lineRule="auto"/>
        <w:ind w:left="326" w:right="1129" w:firstLine="420"/>
        <w:jc w:val="both"/>
      </w:pPr>
      <w:r>
        <w:t xml:space="preserve">承包人必须及时纠正违约行为并采取积极措施，满足合同要求，自行承担与纠正违约行为有关的人身伤亡、罚款、索赔、损失补偿、诉讼费用及其他一切责任，工期不予顺延，承担由此给发包人造成的经济损失。 </w:t>
      </w:r>
    </w:p>
    <w:p w14:paraId="342B06BC">
      <w:pPr>
        <w:pStyle w:val="17"/>
        <w:spacing w:line="362" w:lineRule="auto"/>
        <w:ind w:left="326" w:right="1129" w:firstLine="420"/>
      </w:pPr>
      <w:r>
        <w:t xml:space="preserve">承包人承担承包范围的工程质量、安全、环保责任，因承包人原因引起的质量、安全、环保等事故由承包人承担相应的法律后果。 </w:t>
      </w:r>
    </w:p>
    <w:p w14:paraId="014C832E">
      <w:pPr>
        <w:pStyle w:val="317"/>
        <w:numPr>
          <w:ilvl w:val="2"/>
          <w:numId w:val="5"/>
        </w:numPr>
        <w:tabs>
          <w:tab w:val="left" w:pos="1378"/>
        </w:tabs>
        <w:spacing w:before="99"/>
        <w:ind w:left="1378" w:hanging="632"/>
        <w:jc w:val="left"/>
        <w:rPr>
          <w:sz w:val="19"/>
        </w:rPr>
      </w:pPr>
      <w:r>
        <w:rPr>
          <w:sz w:val="21"/>
        </w:rPr>
        <w:t xml:space="preserve">因承包人违约解除合同 </w:t>
      </w:r>
    </w:p>
    <w:p w14:paraId="296712BC">
      <w:pPr>
        <w:pStyle w:val="17"/>
        <w:spacing w:before="6"/>
        <w:rPr>
          <w:sz w:val="16"/>
        </w:rPr>
      </w:pPr>
    </w:p>
    <w:p w14:paraId="5FEE13BA">
      <w:pPr>
        <w:pStyle w:val="17"/>
        <w:ind w:left="746"/>
      </w:pPr>
      <w:r>
        <w:t xml:space="preserve">因承包人违约并致使合同目的不能实现的，发包人有权解除合同： </w:t>
      </w:r>
    </w:p>
    <w:p w14:paraId="30C8B53B">
      <w:pPr>
        <w:pStyle w:val="17"/>
        <w:spacing w:before="4"/>
        <w:rPr>
          <w:sz w:val="15"/>
        </w:rPr>
      </w:pPr>
    </w:p>
    <w:p w14:paraId="469D4FB5">
      <w:pPr>
        <w:pStyle w:val="317"/>
        <w:numPr>
          <w:ilvl w:val="0"/>
          <w:numId w:val="67"/>
        </w:numPr>
        <w:tabs>
          <w:tab w:val="left" w:pos="1274"/>
        </w:tabs>
        <w:ind w:hanging="528"/>
        <w:rPr>
          <w:sz w:val="21"/>
        </w:rPr>
      </w:pPr>
      <w:r>
        <w:rPr>
          <w:spacing w:val="-3"/>
          <w:sz w:val="21"/>
        </w:rPr>
        <w:t xml:space="preserve">未按合同约定延迟提供履约担保、质量保证金超过 </w:t>
      </w:r>
      <w:r>
        <w:rPr>
          <w:sz w:val="21"/>
        </w:rPr>
        <w:t>14</w:t>
      </w:r>
      <w:r>
        <w:rPr>
          <w:spacing w:val="-12"/>
          <w:sz w:val="21"/>
        </w:rPr>
        <w:t xml:space="preserve"> 天的； </w:t>
      </w:r>
    </w:p>
    <w:p w14:paraId="578DF6E9">
      <w:pPr>
        <w:pStyle w:val="17"/>
        <w:spacing w:before="5"/>
        <w:rPr>
          <w:sz w:val="15"/>
        </w:rPr>
      </w:pPr>
    </w:p>
    <w:p w14:paraId="202AED77">
      <w:pPr>
        <w:pStyle w:val="317"/>
        <w:numPr>
          <w:ilvl w:val="0"/>
          <w:numId w:val="67"/>
        </w:numPr>
        <w:tabs>
          <w:tab w:val="left" w:pos="1274"/>
        </w:tabs>
        <w:ind w:hanging="528"/>
        <w:rPr>
          <w:sz w:val="21"/>
        </w:rPr>
      </w:pPr>
      <w:r>
        <w:rPr>
          <w:spacing w:val="-3"/>
          <w:sz w:val="21"/>
        </w:rPr>
        <w:t xml:space="preserve">未按合同约定购买保险且经催告后超过 </w:t>
      </w:r>
      <w:r>
        <w:rPr>
          <w:sz w:val="21"/>
        </w:rPr>
        <w:t>56</w:t>
      </w:r>
      <w:r>
        <w:rPr>
          <w:spacing w:val="-12"/>
          <w:sz w:val="21"/>
        </w:rPr>
        <w:t xml:space="preserve"> 天的； </w:t>
      </w:r>
    </w:p>
    <w:p w14:paraId="1A24E7A2">
      <w:pPr>
        <w:pStyle w:val="17"/>
        <w:spacing w:before="4"/>
        <w:rPr>
          <w:sz w:val="15"/>
        </w:rPr>
      </w:pPr>
    </w:p>
    <w:p w14:paraId="005B6EF7">
      <w:pPr>
        <w:pStyle w:val="317"/>
        <w:numPr>
          <w:ilvl w:val="0"/>
          <w:numId w:val="67"/>
        </w:numPr>
        <w:tabs>
          <w:tab w:val="left" w:pos="1274"/>
        </w:tabs>
        <w:ind w:hanging="528"/>
        <w:rPr>
          <w:sz w:val="21"/>
        </w:rPr>
      </w:pPr>
      <w:r>
        <w:rPr>
          <w:spacing w:val="-3"/>
          <w:sz w:val="21"/>
        </w:rPr>
        <w:t xml:space="preserve">因承包人原因导致开工时间累计延误超过 </w:t>
      </w:r>
      <w:r>
        <w:rPr>
          <w:sz w:val="21"/>
        </w:rPr>
        <w:t>56</w:t>
      </w:r>
      <w:r>
        <w:rPr>
          <w:spacing w:val="-12"/>
          <w:sz w:val="21"/>
        </w:rPr>
        <w:t xml:space="preserve"> 天的； </w:t>
      </w:r>
    </w:p>
    <w:p w14:paraId="6136EA89">
      <w:pPr>
        <w:pStyle w:val="17"/>
        <w:spacing w:before="4"/>
        <w:rPr>
          <w:sz w:val="15"/>
        </w:rPr>
      </w:pPr>
    </w:p>
    <w:p w14:paraId="2CE4AF9E">
      <w:pPr>
        <w:pStyle w:val="317"/>
        <w:numPr>
          <w:ilvl w:val="0"/>
          <w:numId w:val="67"/>
        </w:numPr>
        <w:tabs>
          <w:tab w:val="left" w:pos="1274"/>
        </w:tabs>
        <w:ind w:hanging="528"/>
        <w:rPr>
          <w:sz w:val="21"/>
        </w:rPr>
      </w:pPr>
      <w:r>
        <w:rPr>
          <w:spacing w:val="-4"/>
          <w:sz w:val="21"/>
        </w:rPr>
        <w:t xml:space="preserve">因承包人原因导致工期延误超过 </w:t>
      </w:r>
      <w:r>
        <w:rPr>
          <w:sz w:val="21"/>
        </w:rPr>
        <w:t>90</w:t>
      </w:r>
      <w:r>
        <w:rPr>
          <w:spacing w:val="-12"/>
          <w:sz w:val="21"/>
        </w:rPr>
        <w:t xml:space="preserve"> 天的； </w:t>
      </w:r>
    </w:p>
    <w:p w14:paraId="19002C1F">
      <w:pPr>
        <w:pStyle w:val="17"/>
        <w:spacing w:before="6"/>
        <w:rPr>
          <w:sz w:val="16"/>
        </w:rPr>
      </w:pPr>
    </w:p>
    <w:p w14:paraId="6CEFAD91">
      <w:pPr>
        <w:pStyle w:val="317"/>
        <w:numPr>
          <w:ilvl w:val="0"/>
          <w:numId w:val="67"/>
        </w:numPr>
        <w:tabs>
          <w:tab w:val="left" w:pos="1274"/>
        </w:tabs>
        <w:spacing w:before="1"/>
        <w:ind w:hanging="528"/>
        <w:rPr>
          <w:sz w:val="21"/>
        </w:rPr>
      </w:pPr>
      <w:r>
        <w:rPr>
          <w:spacing w:val="-12"/>
          <w:sz w:val="21"/>
        </w:rPr>
        <w:t xml:space="preserve">发生第 </w:t>
      </w:r>
      <w:r>
        <w:rPr>
          <w:sz w:val="21"/>
        </w:rPr>
        <w:t>21.2</w:t>
      </w:r>
      <w:r>
        <w:rPr>
          <w:spacing w:val="-7"/>
          <w:sz w:val="21"/>
        </w:rPr>
        <w:t xml:space="preserve"> 款〔退出机制〕约定的情形的；</w:t>
      </w:r>
      <w:r>
        <w:rPr>
          <w:sz w:val="21"/>
        </w:rPr>
        <w:t xml:space="preserve"> </w:t>
      </w:r>
    </w:p>
    <w:p w14:paraId="16FAEA7C">
      <w:pPr>
        <w:pStyle w:val="17"/>
        <w:spacing w:before="3"/>
        <w:rPr>
          <w:sz w:val="15"/>
        </w:rPr>
      </w:pPr>
    </w:p>
    <w:p w14:paraId="608945A8">
      <w:pPr>
        <w:pStyle w:val="317"/>
        <w:numPr>
          <w:ilvl w:val="0"/>
          <w:numId w:val="67"/>
        </w:numPr>
        <w:tabs>
          <w:tab w:val="left" w:pos="1274"/>
        </w:tabs>
        <w:ind w:hanging="528"/>
        <w:rPr>
          <w:sz w:val="21"/>
        </w:rPr>
      </w:pPr>
      <w:r>
        <w:rPr>
          <w:spacing w:val="-1"/>
          <w:sz w:val="21"/>
        </w:rPr>
        <w:t>监理人发出整改通知后，承包人在监理人限定的期限内仍不纠正违约行为的；</w:t>
      </w:r>
      <w:r>
        <w:rPr>
          <w:sz w:val="21"/>
        </w:rPr>
        <w:t xml:space="preserve"> </w:t>
      </w:r>
    </w:p>
    <w:p w14:paraId="5E5A093A">
      <w:pPr>
        <w:pStyle w:val="17"/>
        <w:spacing w:before="4"/>
        <w:rPr>
          <w:sz w:val="15"/>
        </w:rPr>
      </w:pPr>
    </w:p>
    <w:p w14:paraId="7DD670D0">
      <w:pPr>
        <w:pStyle w:val="317"/>
        <w:numPr>
          <w:ilvl w:val="0"/>
          <w:numId w:val="67"/>
        </w:numPr>
        <w:tabs>
          <w:tab w:val="left" w:pos="1274"/>
        </w:tabs>
        <w:spacing w:before="1"/>
        <w:ind w:hanging="528"/>
        <w:rPr>
          <w:sz w:val="21"/>
        </w:rPr>
      </w:pPr>
      <w:r>
        <w:rPr>
          <w:spacing w:val="-1"/>
          <w:sz w:val="21"/>
        </w:rPr>
        <w:t>承包人进入清算或者严重资不抵债且无法履行合同的；</w:t>
      </w:r>
      <w:r>
        <w:rPr>
          <w:sz w:val="21"/>
        </w:rPr>
        <w:t xml:space="preserve"> </w:t>
      </w:r>
    </w:p>
    <w:p w14:paraId="4C441262">
      <w:pPr>
        <w:pStyle w:val="17"/>
        <w:spacing w:before="4"/>
        <w:rPr>
          <w:sz w:val="15"/>
        </w:rPr>
      </w:pPr>
    </w:p>
    <w:p w14:paraId="116DB190">
      <w:pPr>
        <w:pStyle w:val="317"/>
        <w:numPr>
          <w:ilvl w:val="0"/>
          <w:numId w:val="67"/>
        </w:numPr>
        <w:tabs>
          <w:tab w:val="left" w:pos="1274"/>
        </w:tabs>
        <w:ind w:hanging="528"/>
        <w:rPr>
          <w:sz w:val="21"/>
        </w:rPr>
      </w:pPr>
      <w:r>
        <w:rPr>
          <w:spacing w:val="-6"/>
          <w:sz w:val="21"/>
        </w:rPr>
        <w:t>违反适用法律而被相关政府部门依法吊销营业执照、责令停业、清算或宣布破产、责令关闭的</w:t>
      </w:r>
      <w:r>
        <w:rPr>
          <w:spacing w:val="-125"/>
          <w:sz w:val="21"/>
        </w:rPr>
        <w:t>；</w:t>
      </w:r>
      <w:r>
        <w:rPr>
          <w:sz w:val="21"/>
        </w:rPr>
        <w:t xml:space="preserve"> </w:t>
      </w:r>
    </w:p>
    <w:p w14:paraId="1D5178A2">
      <w:pPr>
        <w:pStyle w:val="17"/>
        <w:spacing w:before="4"/>
        <w:rPr>
          <w:sz w:val="15"/>
        </w:rPr>
      </w:pPr>
    </w:p>
    <w:p w14:paraId="16B8514A">
      <w:pPr>
        <w:pStyle w:val="317"/>
        <w:numPr>
          <w:ilvl w:val="0"/>
          <w:numId w:val="67"/>
        </w:numPr>
        <w:tabs>
          <w:tab w:val="left" w:pos="1274"/>
        </w:tabs>
        <w:spacing w:line="429" w:lineRule="auto"/>
        <w:ind w:left="326" w:right="1119" w:firstLine="420"/>
        <w:rPr>
          <w:sz w:val="21"/>
        </w:rPr>
      </w:pPr>
      <w:r>
        <w:rPr>
          <w:spacing w:val="-2"/>
          <w:sz w:val="21"/>
        </w:rPr>
        <w:t>承包人未履行合同项下的义务构成对合同的实质性违约，并且在收到发包人要求说明其违约</w:t>
      </w:r>
      <w:r>
        <w:rPr>
          <w:spacing w:val="-7"/>
          <w:sz w:val="21"/>
        </w:rPr>
        <w:t xml:space="preserve">并予以补救的通知后 </w:t>
      </w:r>
      <w:r>
        <w:rPr>
          <w:sz w:val="21"/>
        </w:rPr>
        <w:t>56</w:t>
      </w:r>
      <w:r>
        <w:rPr>
          <w:spacing w:val="-7"/>
          <w:sz w:val="21"/>
        </w:rPr>
        <w:t xml:space="preserve"> 天内仍未能补救该实质性违约的；</w:t>
      </w:r>
      <w:r>
        <w:rPr>
          <w:sz w:val="21"/>
        </w:rPr>
        <w:t xml:space="preserve"> </w:t>
      </w:r>
    </w:p>
    <w:p w14:paraId="105132E2">
      <w:pPr>
        <w:pStyle w:val="317"/>
        <w:numPr>
          <w:ilvl w:val="0"/>
          <w:numId w:val="67"/>
        </w:numPr>
        <w:tabs>
          <w:tab w:val="left" w:pos="1379"/>
        </w:tabs>
        <w:spacing w:line="251" w:lineRule="exact"/>
        <w:ind w:left="1378" w:hanging="633"/>
        <w:rPr>
          <w:sz w:val="21"/>
        </w:rPr>
      </w:pPr>
      <w:r>
        <w:rPr>
          <w:sz w:val="21"/>
        </w:rPr>
        <w:t>合</w:t>
      </w:r>
      <w:r>
        <w:rPr>
          <w:spacing w:val="-1"/>
          <w:sz w:val="21"/>
          <w:u w:val="single"/>
        </w:rPr>
        <w:t>同约定的发包人有权解除合同的其他情形</w:t>
      </w:r>
      <w:r>
        <w:rPr>
          <w:sz w:val="21"/>
        </w:rPr>
        <w:t xml:space="preserve">。 </w:t>
      </w:r>
    </w:p>
    <w:p w14:paraId="33CB35B6">
      <w:pPr>
        <w:pStyle w:val="17"/>
        <w:spacing w:before="11"/>
        <w:rPr>
          <w:sz w:val="9"/>
        </w:rPr>
      </w:pPr>
    </w:p>
    <w:p w14:paraId="34F3931E">
      <w:pPr>
        <w:pStyle w:val="317"/>
        <w:numPr>
          <w:ilvl w:val="2"/>
          <w:numId w:val="5"/>
        </w:numPr>
        <w:tabs>
          <w:tab w:val="left" w:pos="1438"/>
        </w:tabs>
        <w:spacing w:before="70"/>
        <w:ind w:left="1438" w:hanging="692"/>
        <w:jc w:val="left"/>
        <w:rPr>
          <w:sz w:val="21"/>
        </w:rPr>
      </w:pPr>
      <w:r>
        <w:rPr>
          <w:spacing w:val="-1"/>
          <w:sz w:val="21"/>
        </w:rPr>
        <w:t>因承包人违约解除合同后的处理</w:t>
      </w:r>
      <w:r>
        <w:rPr>
          <w:sz w:val="21"/>
        </w:rPr>
        <w:t xml:space="preserve"> </w:t>
      </w:r>
    </w:p>
    <w:p w14:paraId="7FFDBA74">
      <w:pPr>
        <w:pStyle w:val="17"/>
        <w:spacing w:before="4"/>
        <w:rPr>
          <w:sz w:val="15"/>
        </w:rPr>
      </w:pPr>
    </w:p>
    <w:p w14:paraId="2B91641E">
      <w:pPr>
        <w:pStyle w:val="17"/>
        <w:spacing w:before="1" w:line="415" w:lineRule="auto"/>
        <w:ind w:left="326" w:right="1107" w:firstLine="420"/>
      </w:pPr>
      <w:r>
        <w:rPr>
          <w:spacing w:val="-5"/>
        </w:rPr>
        <w:t xml:space="preserve">因承包人违约导致合同解除的，合同当事人应在合同解除后 </w:t>
      </w:r>
      <w:r>
        <w:t>56</w:t>
      </w:r>
      <w:r>
        <w:rPr>
          <w:spacing w:val="-11"/>
        </w:rPr>
        <w:t xml:space="preserve"> 天内完成估价、付款和清算，并按以下约定执行： </w:t>
      </w:r>
    </w:p>
    <w:p w14:paraId="55A93C1F">
      <w:pPr>
        <w:pStyle w:val="17"/>
        <w:spacing w:before="14"/>
        <w:ind w:left="746"/>
      </w:pPr>
      <w:r>
        <w:t>（1）合同解除后，按第 14.2 款结算审定方式确定承包人实际完成工作对应的合同价款，以及承包</w:t>
      </w:r>
    </w:p>
    <w:p w14:paraId="14B0D4B7">
      <w:pPr>
        <w:sectPr>
          <w:pgSz w:w="11910" w:h="16850"/>
          <w:pgMar w:top="1440" w:right="1080" w:bottom="1440" w:left="1080" w:header="0" w:footer="996" w:gutter="0"/>
          <w:cols w:space="720" w:num="1"/>
        </w:sectPr>
      </w:pPr>
    </w:p>
    <w:p w14:paraId="23CEC69B">
      <w:pPr>
        <w:pStyle w:val="17"/>
        <w:spacing w:before="46"/>
        <w:ind w:left="161"/>
      </w:pPr>
      <w:r>
        <w:t xml:space="preserve">人已提供的材料、工程设备、施工设备和临时工程等的价值； </w:t>
      </w:r>
    </w:p>
    <w:p w14:paraId="666754D1">
      <w:pPr>
        <w:pStyle w:val="17"/>
        <w:spacing w:before="4"/>
        <w:rPr>
          <w:sz w:val="15"/>
        </w:rPr>
      </w:pPr>
    </w:p>
    <w:p w14:paraId="78BBF2A9">
      <w:pPr>
        <w:pStyle w:val="317"/>
        <w:numPr>
          <w:ilvl w:val="0"/>
          <w:numId w:val="68"/>
        </w:numPr>
        <w:tabs>
          <w:tab w:val="left" w:pos="1109"/>
        </w:tabs>
        <w:ind w:hanging="528"/>
        <w:rPr>
          <w:sz w:val="21"/>
        </w:rPr>
      </w:pPr>
      <w:r>
        <w:rPr>
          <w:spacing w:val="-1"/>
          <w:sz w:val="21"/>
        </w:rPr>
        <w:t>合同解除后，承包人应支付违约金；</w:t>
      </w:r>
      <w:r>
        <w:rPr>
          <w:sz w:val="21"/>
        </w:rPr>
        <w:t xml:space="preserve"> </w:t>
      </w:r>
    </w:p>
    <w:p w14:paraId="148D528F">
      <w:pPr>
        <w:pStyle w:val="17"/>
        <w:spacing w:before="4"/>
        <w:rPr>
          <w:sz w:val="15"/>
        </w:rPr>
      </w:pPr>
    </w:p>
    <w:p w14:paraId="3D13BF20">
      <w:pPr>
        <w:pStyle w:val="317"/>
        <w:numPr>
          <w:ilvl w:val="0"/>
          <w:numId w:val="68"/>
        </w:numPr>
        <w:tabs>
          <w:tab w:val="left" w:pos="1109"/>
        </w:tabs>
        <w:ind w:hanging="528"/>
        <w:rPr>
          <w:sz w:val="21"/>
        </w:rPr>
      </w:pPr>
      <w:r>
        <w:rPr>
          <w:spacing w:val="-1"/>
          <w:sz w:val="21"/>
        </w:rPr>
        <w:t>合同解除后，赔偿因解除合同给发包人造成的损失；</w:t>
      </w:r>
      <w:r>
        <w:rPr>
          <w:sz w:val="21"/>
        </w:rPr>
        <w:t xml:space="preserve"> </w:t>
      </w:r>
    </w:p>
    <w:p w14:paraId="71F87130">
      <w:pPr>
        <w:pStyle w:val="17"/>
        <w:spacing w:before="6"/>
        <w:rPr>
          <w:sz w:val="16"/>
        </w:rPr>
      </w:pPr>
    </w:p>
    <w:p w14:paraId="54B309D9">
      <w:pPr>
        <w:pStyle w:val="317"/>
        <w:numPr>
          <w:ilvl w:val="0"/>
          <w:numId w:val="68"/>
        </w:numPr>
        <w:tabs>
          <w:tab w:val="left" w:pos="1109"/>
        </w:tabs>
        <w:spacing w:before="1"/>
        <w:ind w:hanging="528"/>
        <w:rPr>
          <w:sz w:val="21"/>
        </w:rPr>
      </w:pPr>
      <w:r>
        <w:rPr>
          <w:spacing w:val="-2"/>
          <w:sz w:val="21"/>
        </w:rPr>
        <w:t>合同解除后，承包人应按照发包人要求和监理人的指示完成现场的清理和撤离。</w:t>
      </w:r>
      <w:r>
        <w:rPr>
          <w:sz w:val="21"/>
        </w:rPr>
        <w:t xml:space="preserve"> </w:t>
      </w:r>
    </w:p>
    <w:p w14:paraId="5856C060">
      <w:pPr>
        <w:pStyle w:val="17"/>
        <w:spacing w:before="4"/>
        <w:rPr>
          <w:sz w:val="15"/>
        </w:rPr>
      </w:pPr>
    </w:p>
    <w:p w14:paraId="3D9693C5">
      <w:pPr>
        <w:pStyle w:val="17"/>
        <w:ind w:left="581"/>
      </w:pPr>
      <w:r>
        <w:t>（5）</w:t>
      </w:r>
      <w:r>
        <w:rPr>
          <w:u w:val="single"/>
        </w:rPr>
        <w:t xml:space="preserve"> </w:t>
      </w:r>
      <w:r>
        <w:t xml:space="preserve">。 </w:t>
      </w:r>
    </w:p>
    <w:p w14:paraId="0FE85A04">
      <w:pPr>
        <w:pStyle w:val="17"/>
        <w:spacing w:before="10"/>
        <w:rPr>
          <w:sz w:val="9"/>
        </w:rPr>
      </w:pPr>
    </w:p>
    <w:p w14:paraId="32C1CE4F">
      <w:pPr>
        <w:pStyle w:val="17"/>
        <w:spacing w:before="71" w:line="415" w:lineRule="auto"/>
        <w:ind w:left="161" w:right="1289" w:firstLine="420"/>
        <w:jc w:val="right"/>
      </w:pPr>
      <w:r>
        <w:t>因承包人违约导致解除合同的，发包人有权暂停对承包人的付款，查清各项付款和已扣款项。发包人和承包人未能就合同解除后的清算和款项支付达成一致的，按照第 20 条〔争议解决〕的约定处理。 合同解除后，发包人可派员进驻施工现场，另行组织人员或委托其他承包人继续完成合同工程；因</w:t>
      </w:r>
    </w:p>
    <w:p w14:paraId="36928E92">
      <w:pPr>
        <w:pStyle w:val="17"/>
        <w:spacing w:before="14" w:line="415" w:lineRule="auto"/>
        <w:ind w:left="161" w:right="1295"/>
        <w:jc w:val="both"/>
      </w:pPr>
      <w:r>
        <w:t xml:space="preserve">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 </w:t>
      </w:r>
    </w:p>
    <w:p w14:paraId="7D8288C8">
      <w:pPr>
        <w:pStyle w:val="3"/>
        <w:numPr>
          <w:ilvl w:val="0"/>
          <w:numId w:val="5"/>
        </w:numPr>
        <w:tabs>
          <w:tab w:val="left" w:pos="522"/>
        </w:tabs>
        <w:spacing w:before="83"/>
        <w:ind w:left="521" w:hanging="361"/>
        <w:jc w:val="left"/>
      </w:pPr>
      <w:r>
        <w:rPr>
          <w:spacing w:val="7"/>
        </w:rPr>
        <w:t>不可抗力</w:t>
      </w:r>
      <w:r>
        <w:rPr>
          <w:spacing w:val="7"/>
          <w:w w:val="167"/>
        </w:rPr>
        <w:t xml:space="preserve"> </w:t>
      </w:r>
    </w:p>
    <w:p w14:paraId="75DBDB46">
      <w:pPr>
        <w:pStyle w:val="17"/>
        <w:spacing w:before="4"/>
        <w:rPr>
          <w:rFonts w:ascii="微软雅黑"/>
          <w:b/>
          <w:sz w:val="13"/>
        </w:rPr>
      </w:pPr>
    </w:p>
    <w:p w14:paraId="6F604E3C">
      <w:pPr>
        <w:pStyle w:val="317"/>
        <w:numPr>
          <w:ilvl w:val="1"/>
          <w:numId w:val="5"/>
        </w:numPr>
        <w:tabs>
          <w:tab w:val="left" w:pos="1048"/>
        </w:tabs>
        <w:ind w:left="1047" w:hanging="467"/>
        <w:rPr>
          <w:rFonts w:ascii="微软雅黑" w:eastAsia="微软雅黑"/>
          <w:b/>
          <w:sz w:val="21"/>
        </w:rPr>
      </w:pPr>
      <w:r>
        <w:rPr>
          <w:rFonts w:hint="eastAsia" w:ascii="微软雅黑" w:eastAsia="微软雅黑"/>
          <w:b/>
          <w:spacing w:val="5"/>
          <w:sz w:val="21"/>
        </w:rPr>
        <w:t>不可抗力的确认</w:t>
      </w:r>
      <w:r>
        <w:rPr>
          <w:rFonts w:hint="eastAsia" w:ascii="微软雅黑" w:eastAsia="微软雅黑"/>
          <w:b/>
          <w:spacing w:val="5"/>
          <w:w w:val="167"/>
          <w:sz w:val="21"/>
        </w:rPr>
        <w:t xml:space="preserve"> </w:t>
      </w:r>
    </w:p>
    <w:p w14:paraId="3EF7AA29">
      <w:pPr>
        <w:pStyle w:val="17"/>
        <w:spacing w:before="161"/>
        <w:ind w:left="581"/>
      </w:pPr>
      <w:r>
        <w:t xml:space="preserve">除通用合同条款约定的不可抗力事件之外，视为不可抗力的其他情形： </w:t>
      </w:r>
    </w:p>
    <w:p w14:paraId="2EFB237C">
      <w:pPr>
        <w:pStyle w:val="17"/>
        <w:spacing w:before="4"/>
        <w:rPr>
          <w:sz w:val="15"/>
        </w:rPr>
      </w:pPr>
    </w:p>
    <w:p w14:paraId="16DD476F">
      <w:pPr>
        <w:pStyle w:val="317"/>
        <w:numPr>
          <w:ilvl w:val="0"/>
          <w:numId w:val="69"/>
        </w:numPr>
        <w:tabs>
          <w:tab w:val="left" w:pos="1109"/>
        </w:tabs>
        <w:spacing w:line="415" w:lineRule="auto"/>
        <w:ind w:right="1401" w:firstLine="420"/>
        <w:rPr>
          <w:sz w:val="21"/>
        </w:rPr>
      </w:pPr>
      <w:r>
        <w:rPr>
          <w:sz w:val="21"/>
        </w:rPr>
        <w:t xml:space="preserve">洪水、火山爆发、山崩、山体滑坡、泥石流、龙卷风、隧道内不可预测的突发性地质灾害等自然灾害； </w:t>
      </w:r>
    </w:p>
    <w:p w14:paraId="2F3AC1CF">
      <w:pPr>
        <w:pStyle w:val="317"/>
        <w:numPr>
          <w:ilvl w:val="0"/>
          <w:numId w:val="69"/>
        </w:numPr>
        <w:tabs>
          <w:tab w:val="left" w:pos="1109"/>
        </w:tabs>
        <w:spacing w:line="415" w:lineRule="auto"/>
        <w:ind w:right="1401" w:firstLine="420"/>
        <w:rPr>
          <w:sz w:val="21"/>
        </w:rPr>
      </w:pPr>
      <w:r>
        <w:rPr>
          <w:sz w:val="21"/>
        </w:rPr>
        <w:t>骚乱、戒严、封锁、禁运、恐怖行为、等社会行为，但承包人或其分包人派遣与雇佣的人员</w:t>
      </w:r>
      <w:r>
        <w:rPr>
          <w:spacing w:val="-1"/>
          <w:sz w:val="21"/>
        </w:rPr>
        <w:t>由于合同工程施工原因引起的除外；</w:t>
      </w:r>
      <w:r>
        <w:rPr>
          <w:sz w:val="21"/>
        </w:rPr>
        <w:t xml:space="preserve"> </w:t>
      </w:r>
    </w:p>
    <w:p w14:paraId="2109F4BA">
      <w:pPr>
        <w:pStyle w:val="317"/>
        <w:numPr>
          <w:ilvl w:val="0"/>
          <w:numId w:val="69"/>
        </w:numPr>
        <w:tabs>
          <w:tab w:val="left" w:pos="1109"/>
        </w:tabs>
        <w:spacing w:before="15" w:line="415" w:lineRule="auto"/>
        <w:ind w:right="1401" w:firstLine="420"/>
        <w:rPr>
          <w:sz w:val="21"/>
        </w:rPr>
      </w:pPr>
      <w:r>
        <w:rPr>
          <w:sz w:val="21"/>
        </w:rPr>
        <w:t xml:space="preserve">不能合理预见的重大交通阻滞、停运、交通事故，非双方责任引起的火灾、爆炸、船舶撞击等情形； </w:t>
      </w:r>
    </w:p>
    <w:p w14:paraId="1624CB0C">
      <w:pPr>
        <w:pStyle w:val="317"/>
        <w:numPr>
          <w:ilvl w:val="0"/>
          <w:numId w:val="69"/>
        </w:numPr>
        <w:tabs>
          <w:tab w:val="left" w:pos="1109"/>
        </w:tabs>
        <w:ind w:left="1108" w:hanging="528"/>
        <w:rPr>
          <w:sz w:val="21"/>
        </w:rPr>
      </w:pPr>
      <w:r>
        <w:rPr>
          <w:spacing w:val="-1"/>
          <w:sz w:val="21"/>
        </w:rPr>
        <w:t>化学或放射性污染或核辐射；</w:t>
      </w:r>
      <w:r>
        <w:rPr>
          <w:sz w:val="21"/>
        </w:rPr>
        <w:t xml:space="preserve"> </w:t>
      </w:r>
    </w:p>
    <w:p w14:paraId="055020FE">
      <w:pPr>
        <w:pStyle w:val="17"/>
        <w:spacing w:before="3"/>
        <w:rPr>
          <w:sz w:val="15"/>
        </w:rPr>
      </w:pPr>
    </w:p>
    <w:p w14:paraId="5A480160">
      <w:pPr>
        <w:pStyle w:val="317"/>
        <w:numPr>
          <w:ilvl w:val="0"/>
          <w:numId w:val="69"/>
        </w:numPr>
        <w:tabs>
          <w:tab w:val="left" w:pos="1109"/>
        </w:tabs>
        <w:ind w:left="1108" w:hanging="528"/>
        <w:rPr>
          <w:sz w:val="21"/>
        </w:rPr>
      </w:pPr>
      <w:r>
        <w:rPr>
          <w:spacing w:val="-1"/>
          <w:sz w:val="21"/>
        </w:rPr>
        <w:t>环保治理等政府行为导致项目停工的。</w:t>
      </w:r>
      <w:r>
        <w:rPr>
          <w:sz w:val="21"/>
        </w:rPr>
        <w:t xml:space="preserve"> </w:t>
      </w:r>
    </w:p>
    <w:p w14:paraId="3A2847D5">
      <w:pPr>
        <w:pStyle w:val="17"/>
        <w:spacing w:before="5"/>
        <w:rPr>
          <w:sz w:val="15"/>
        </w:rPr>
      </w:pPr>
    </w:p>
    <w:p w14:paraId="165629B9">
      <w:pPr>
        <w:pStyle w:val="17"/>
        <w:ind w:left="581"/>
      </w:pPr>
      <w:r>
        <w:t>（6）</w:t>
      </w:r>
      <w:r>
        <w:rPr>
          <w:u w:val="single"/>
        </w:rPr>
        <w:t xml:space="preserve"> </w:t>
      </w:r>
      <w:r>
        <w:t xml:space="preserve">。 </w:t>
      </w:r>
    </w:p>
    <w:p w14:paraId="5D2418A2">
      <w:pPr>
        <w:pStyle w:val="17"/>
        <w:spacing w:before="12"/>
        <w:rPr>
          <w:sz w:val="10"/>
        </w:rPr>
      </w:pPr>
    </w:p>
    <w:p w14:paraId="7DFBF906">
      <w:pPr>
        <w:pStyle w:val="3"/>
        <w:numPr>
          <w:ilvl w:val="1"/>
          <w:numId w:val="70"/>
        </w:numPr>
        <w:tabs>
          <w:tab w:val="left" w:pos="1048"/>
        </w:tabs>
        <w:spacing w:before="4"/>
        <w:ind w:hanging="467"/>
        <w:jc w:val="left"/>
      </w:pPr>
      <w:r>
        <w:rPr>
          <w:spacing w:val="3"/>
        </w:rPr>
        <w:t>不可抗力后果的承担</w:t>
      </w:r>
      <w:r>
        <w:rPr>
          <w:spacing w:val="3"/>
          <w:w w:val="167"/>
        </w:rPr>
        <w:t xml:space="preserve"> </w:t>
      </w:r>
    </w:p>
    <w:p w14:paraId="33250BE7">
      <w:pPr>
        <w:pStyle w:val="317"/>
        <w:numPr>
          <w:ilvl w:val="2"/>
          <w:numId w:val="70"/>
        </w:numPr>
        <w:tabs>
          <w:tab w:val="left" w:pos="1213"/>
        </w:tabs>
        <w:spacing w:before="145" w:line="415" w:lineRule="auto"/>
        <w:ind w:right="1400" w:firstLine="420"/>
        <w:rPr>
          <w:sz w:val="21"/>
        </w:rPr>
      </w:pPr>
      <w:r>
        <w:rPr>
          <w:sz w:val="21"/>
        </w:rPr>
        <w:t>不可抗力引起的后果及造成的损失由合同当事人按照法律规定及合同约定各自承担。不可</w:t>
      </w:r>
      <w:r>
        <w:rPr>
          <w:spacing w:val="-1"/>
          <w:sz w:val="21"/>
        </w:rPr>
        <w:t>抗力发生前已完成的工程应当按照合同约定进行计量支付。</w:t>
      </w:r>
      <w:r>
        <w:rPr>
          <w:sz w:val="21"/>
        </w:rPr>
        <w:t xml:space="preserve"> </w:t>
      </w:r>
    </w:p>
    <w:p w14:paraId="453D4271">
      <w:pPr>
        <w:pStyle w:val="317"/>
        <w:numPr>
          <w:ilvl w:val="2"/>
          <w:numId w:val="70"/>
        </w:numPr>
        <w:tabs>
          <w:tab w:val="left" w:pos="1213"/>
        </w:tabs>
        <w:spacing w:before="1" w:line="415" w:lineRule="auto"/>
        <w:ind w:right="1400" w:firstLine="420"/>
        <w:rPr>
          <w:sz w:val="21"/>
        </w:rPr>
      </w:pPr>
      <w:r>
        <w:rPr>
          <w:sz w:val="21"/>
        </w:rPr>
        <w:t xml:space="preserve">不可抗力导致的人员伤亡、财产损失、费用增加和（或）工期延误等后果，由合同当事人按以下原则承担： </w:t>
      </w:r>
    </w:p>
    <w:p w14:paraId="45D45C85">
      <w:pPr>
        <w:spacing w:line="415" w:lineRule="auto"/>
        <w:rPr>
          <w:sz w:val="21"/>
        </w:rPr>
        <w:sectPr>
          <w:pgSz w:w="11910" w:h="16850"/>
          <w:pgMar w:top="1440" w:right="1080" w:bottom="1440" w:left="1080" w:header="0" w:footer="996" w:gutter="0"/>
          <w:cols w:space="720" w:num="1"/>
        </w:sectPr>
      </w:pPr>
    </w:p>
    <w:p w14:paraId="1FEA2DCB">
      <w:pPr>
        <w:pStyle w:val="317"/>
        <w:numPr>
          <w:ilvl w:val="3"/>
          <w:numId w:val="70"/>
        </w:numPr>
        <w:tabs>
          <w:tab w:val="left" w:pos="1274"/>
        </w:tabs>
        <w:spacing w:before="46" w:line="415" w:lineRule="auto"/>
        <w:ind w:right="1241" w:firstLine="420"/>
        <w:rPr>
          <w:sz w:val="21"/>
        </w:rPr>
      </w:pPr>
      <w:r>
        <w:rPr>
          <w:spacing w:val="-1"/>
          <w:sz w:val="21"/>
        </w:rPr>
        <w:t>永久工程、已运至施工现场的施工材料和工程设备的损坏，以及因工程损坏造成的第三方人</w:t>
      </w:r>
      <w:r>
        <w:rPr>
          <w:spacing w:val="-2"/>
          <w:sz w:val="21"/>
        </w:rPr>
        <w:t>员伤亡和财产损失由发包人承担；</w:t>
      </w:r>
      <w:r>
        <w:rPr>
          <w:sz w:val="21"/>
        </w:rPr>
        <w:t xml:space="preserve"> </w:t>
      </w:r>
    </w:p>
    <w:p w14:paraId="529D5941">
      <w:pPr>
        <w:pStyle w:val="317"/>
        <w:numPr>
          <w:ilvl w:val="3"/>
          <w:numId w:val="70"/>
        </w:numPr>
        <w:tabs>
          <w:tab w:val="left" w:pos="1274"/>
        </w:tabs>
        <w:spacing w:line="269" w:lineRule="exact"/>
        <w:ind w:left="1273" w:hanging="528"/>
        <w:rPr>
          <w:sz w:val="21"/>
        </w:rPr>
      </w:pPr>
      <w:r>
        <w:rPr>
          <w:spacing w:val="-1"/>
          <w:sz w:val="21"/>
        </w:rPr>
        <w:t>承包人施工设备的损坏由承包人承担；</w:t>
      </w:r>
      <w:r>
        <w:rPr>
          <w:sz w:val="21"/>
        </w:rPr>
        <w:t xml:space="preserve"> </w:t>
      </w:r>
    </w:p>
    <w:p w14:paraId="085C24FE">
      <w:pPr>
        <w:pStyle w:val="17"/>
        <w:spacing w:before="6"/>
        <w:rPr>
          <w:sz w:val="16"/>
        </w:rPr>
      </w:pPr>
    </w:p>
    <w:p w14:paraId="583CC240">
      <w:pPr>
        <w:pStyle w:val="317"/>
        <w:numPr>
          <w:ilvl w:val="3"/>
          <w:numId w:val="70"/>
        </w:numPr>
        <w:tabs>
          <w:tab w:val="left" w:pos="1274"/>
        </w:tabs>
        <w:spacing w:before="1"/>
        <w:ind w:left="1273" w:hanging="528"/>
        <w:rPr>
          <w:sz w:val="21"/>
        </w:rPr>
      </w:pPr>
      <w:r>
        <w:rPr>
          <w:spacing w:val="-1"/>
          <w:sz w:val="21"/>
        </w:rPr>
        <w:t>发包人和承包人承担各自人员伤亡和财产的损失；</w:t>
      </w:r>
      <w:r>
        <w:rPr>
          <w:sz w:val="21"/>
        </w:rPr>
        <w:t xml:space="preserve"> </w:t>
      </w:r>
    </w:p>
    <w:p w14:paraId="6B57433F">
      <w:pPr>
        <w:pStyle w:val="17"/>
        <w:spacing w:before="4"/>
        <w:rPr>
          <w:sz w:val="15"/>
        </w:rPr>
      </w:pPr>
    </w:p>
    <w:p w14:paraId="571F68E1">
      <w:pPr>
        <w:pStyle w:val="317"/>
        <w:numPr>
          <w:ilvl w:val="3"/>
          <w:numId w:val="70"/>
        </w:numPr>
        <w:tabs>
          <w:tab w:val="left" w:pos="1274"/>
        </w:tabs>
        <w:spacing w:line="415" w:lineRule="auto"/>
        <w:ind w:right="1119" w:firstLine="420"/>
        <w:rPr>
          <w:sz w:val="21"/>
        </w:rPr>
      </w:pPr>
      <w:r>
        <w:rPr>
          <w:spacing w:val="-3"/>
          <w:sz w:val="21"/>
        </w:rPr>
        <w:t>因不可抗力影响承包人履行合同约定的义务，已经引起或将引起工期延误的，应当顺延工期</w:t>
      </w:r>
      <w:r>
        <w:rPr>
          <w:spacing w:val="-4"/>
          <w:sz w:val="21"/>
        </w:rPr>
        <w:t>，由此导致承包人停工的费用损失由发包人和承包人合理共担；</w:t>
      </w:r>
      <w:r>
        <w:rPr>
          <w:sz w:val="21"/>
        </w:rPr>
        <w:t xml:space="preserve"> </w:t>
      </w:r>
    </w:p>
    <w:p w14:paraId="2DB60387">
      <w:pPr>
        <w:pStyle w:val="317"/>
        <w:numPr>
          <w:ilvl w:val="3"/>
          <w:numId w:val="70"/>
        </w:numPr>
        <w:tabs>
          <w:tab w:val="left" w:pos="1274"/>
        </w:tabs>
        <w:ind w:left="1273" w:hanging="528"/>
        <w:rPr>
          <w:sz w:val="21"/>
        </w:rPr>
      </w:pPr>
      <w:r>
        <w:rPr>
          <w:spacing w:val="-7"/>
          <w:sz w:val="21"/>
        </w:rPr>
        <w:t>因不可抗力引起或将引起工期延误，发包人要求赶工的，由此增加的赶工费用由发包人承担；</w:t>
      </w:r>
      <w:r>
        <w:rPr>
          <w:sz w:val="21"/>
        </w:rPr>
        <w:t xml:space="preserve"> </w:t>
      </w:r>
    </w:p>
    <w:p w14:paraId="609F15AB">
      <w:pPr>
        <w:pStyle w:val="17"/>
        <w:spacing w:before="4"/>
        <w:rPr>
          <w:sz w:val="15"/>
        </w:rPr>
      </w:pPr>
    </w:p>
    <w:p w14:paraId="61A3B558">
      <w:pPr>
        <w:pStyle w:val="317"/>
        <w:numPr>
          <w:ilvl w:val="3"/>
          <w:numId w:val="70"/>
        </w:numPr>
        <w:tabs>
          <w:tab w:val="left" w:pos="1274"/>
        </w:tabs>
        <w:ind w:left="1273" w:hanging="528"/>
        <w:rPr>
          <w:sz w:val="21"/>
        </w:rPr>
      </w:pPr>
      <w:r>
        <w:rPr>
          <w:spacing w:val="-1"/>
          <w:sz w:val="21"/>
        </w:rPr>
        <w:t>承包人在停工期间按照发包人要求照管、清理和修复工程的费用由发包人承担；</w:t>
      </w:r>
      <w:r>
        <w:rPr>
          <w:sz w:val="21"/>
        </w:rPr>
        <w:t xml:space="preserve"> </w:t>
      </w:r>
    </w:p>
    <w:p w14:paraId="56E2B099">
      <w:pPr>
        <w:pStyle w:val="17"/>
        <w:spacing w:before="6"/>
        <w:rPr>
          <w:sz w:val="16"/>
        </w:rPr>
      </w:pPr>
    </w:p>
    <w:p w14:paraId="6583A3F6">
      <w:pPr>
        <w:pStyle w:val="317"/>
        <w:numPr>
          <w:ilvl w:val="3"/>
          <w:numId w:val="70"/>
        </w:numPr>
        <w:tabs>
          <w:tab w:val="left" w:pos="1274"/>
        </w:tabs>
        <w:spacing w:line="415" w:lineRule="auto"/>
        <w:ind w:right="1238" w:firstLine="420"/>
        <w:rPr>
          <w:sz w:val="21"/>
        </w:rPr>
      </w:pPr>
      <w:r>
        <w:rPr>
          <w:spacing w:val="-1"/>
          <w:sz w:val="21"/>
        </w:rPr>
        <w:t>不可抗力事件发生后，合同当事人均应采取措施尽量避免和减少损失的扩大，任何一方当事</w:t>
      </w:r>
      <w:r>
        <w:rPr>
          <w:spacing w:val="-2"/>
          <w:sz w:val="21"/>
        </w:rPr>
        <w:t>人没有采取有效措施导致损失扩大的，应对扩大的损失承担责任。</w:t>
      </w:r>
      <w:r>
        <w:rPr>
          <w:sz w:val="21"/>
        </w:rPr>
        <w:t xml:space="preserve"> </w:t>
      </w:r>
    </w:p>
    <w:p w14:paraId="4E68A02B">
      <w:pPr>
        <w:pStyle w:val="17"/>
        <w:ind w:left="746"/>
      </w:pPr>
      <w:r>
        <w:t>（8）</w:t>
      </w:r>
      <w:r>
        <w:rPr>
          <w:u w:val="single"/>
        </w:rPr>
        <w:t xml:space="preserve"> </w:t>
      </w:r>
      <w:r>
        <w:t xml:space="preserve">。 </w:t>
      </w:r>
    </w:p>
    <w:p w14:paraId="53DDD32C">
      <w:pPr>
        <w:pStyle w:val="17"/>
        <w:spacing w:before="11"/>
        <w:rPr>
          <w:sz w:val="9"/>
        </w:rPr>
      </w:pPr>
    </w:p>
    <w:p w14:paraId="3110DC99">
      <w:pPr>
        <w:pStyle w:val="3"/>
        <w:numPr>
          <w:ilvl w:val="1"/>
          <w:numId w:val="70"/>
        </w:numPr>
        <w:tabs>
          <w:tab w:val="left" w:pos="1213"/>
        </w:tabs>
        <w:spacing w:before="3"/>
        <w:ind w:left="1212" w:hanging="467"/>
        <w:jc w:val="left"/>
      </w:pPr>
      <w:r>
        <w:rPr>
          <w:spacing w:val="3"/>
        </w:rPr>
        <w:t>因不可抗力解除合同</w:t>
      </w:r>
      <w:r>
        <w:rPr>
          <w:spacing w:val="3"/>
          <w:w w:val="167"/>
        </w:rPr>
        <w:t xml:space="preserve"> </w:t>
      </w:r>
    </w:p>
    <w:p w14:paraId="4D92F9FE">
      <w:pPr>
        <w:pStyle w:val="17"/>
        <w:spacing w:before="146"/>
        <w:ind w:left="746"/>
      </w:pPr>
      <w:r>
        <w:t xml:space="preserve">合同解除后，发包人应在商定或确定发包人应支付款项后 </w:t>
      </w:r>
      <w:r>
        <w:rPr>
          <w:u w:val="single"/>
        </w:rPr>
        <w:t>28</w:t>
      </w:r>
      <w:r>
        <w:t xml:space="preserve"> 天内完成款项的支付。 </w:t>
      </w:r>
    </w:p>
    <w:p w14:paraId="394E1578">
      <w:pPr>
        <w:pStyle w:val="17"/>
        <w:spacing w:before="9"/>
        <w:rPr>
          <w:sz w:val="22"/>
        </w:rPr>
      </w:pPr>
    </w:p>
    <w:p w14:paraId="5063BA61">
      <w:pPr>
        <w:pStyle w:val="3"/>
        <w:numPr>
          <w:ilvl w:val="0"/>
          <w:numId w:val="5"/>
        </w:numPr>
        <w:tabs>
          <w:tab w:val="left" w:pos="687"/>
        </w:tabs>
        <w:spacing w:before="3"/>
        <w:ind w:left="686" w:hanging="361"/>
        <w:jc w:val="left"/>
      </w:pPr>
      <w:r>
        <w:rPr>
          <w:spacing w:val="15"/>
        </w:rPr>
        <w:t>保险</w:t>
      </w:r>
      <w:r>
        <w:rPr>
          <w:w w:val="167"/>
        </w:rPr>
        <w:t xml:space="preserve"> </w:t>
      </w:r>
    </w:p>
    <w:p w14:paraId="5B6D0C50">
      <w:pPr>
        <w:pStyle w:val="17"/>
        <w:spacing w:before="4"/>
        <w:rPr>
          <w:rFonts w:ascii="微软雅黑"/>
          <w:b/>
          <w:sz w:val="13"/>
        </w:rPr>
      </w:pPr>
    </w:p>
    <w:p w14:paraId="06AEB771">
      <w:pPr>
        <w:pStyle w:val="317"/>
        <w:numPr>
          <w:ilvl w:val="1"/>
          <w:numId w:val="5"/>
        </w:numPr>
        <w:tabs>
          <w:tab w:val="left" w:pos="1213"/>
        </w:tabs>
        <w:ind w:left="1212" w:hanging="467"/>
        <w:rPr>
          <w:rFonts w:ascii="微软雅黑" w:eastAsia="微软雅黑"/>
          <w:b/>
          <w:sz w:val="21"/>
        </w:rPr>
      </w:pPr>
      <w:r>
        <w:rPr>
          <w:rFonts w:hint="eastAsia" w:ascii="微软雅黑" w:eastAsia="微软雅黑"/>
          <w:b/>
          <w:spacing w:val="11"/>
          <w:sz w:val="21"/>
        </w:rPr>
        <w:t>工程保险</w:t>
      </w:r>
      <w:r>
        <w:rPr>
          <w:rFonts w:hint="eastAsia" w:ascii="微软雅黑" w:eastAsia="微软雅黑"/>
          <w:b/>
          <w:w w:val="167"/>
          <w:sz w:val="21"/>
        </w:rPr>
        <w:t xml:space="preserve"> </w:t>
      </w:r>
    </w:p>
    <w:p w14:paraId="038305B4">
      <w:pPr>
        <w:pStyle w:val="17"/>
        <w:spacing w:before="146"/>
        <w:ind w:left="746"/>
      </w:pPr>
      <w:r>
        <w:t>关于工程保险的特别约定：发包人应投保</w:t>
      </w:r>
      <w:r>
        <w:rPr>
          <w:u w:val="single"/>
        </w:rPr>
        <w:t>建筑工程一切险或安装工程一切险</w:t>
      </w:r>
      <w:r>
        <w:t>；发包人委托承包人投</w:t>
      </w:r>
    </w:p>
    <w:p w14:paraId="77CD04A7">
      <w:pPr>
        <w:pStyle w:val="17"/>
        <w:spacing w:before="10"/>
        <w:rPr>
          <w:sz w:val="9"/>
        </w:rPr>
      </w:pPr>
    </w:p>
    <w:p w14:paraId="300FBCAB">
      <w:pPr>
        <w:spacing w:before="71" w:line="355" w:lineRule="auto"/>
        <w:ind w:left="746" w:right="5029" w:hanging="421"/>
        <w:rPr>
          <w:rFonts w:ascii="微软雅黑" w:eastAsia="微软雅黑"/>
          <w:b/>
          <w:sz w:val="21"/>
        </w:rPr>
      </w:pPr>
      <w:r>
        <w:rPr>
          <w:sz w:val="21"/>
        </w:rPr>
        <w:t>保的，因投保产生的保险费和其他相关费用由发包人承担。</w:t>
      </w:r>
      <w:r>
        <w:rPr>
          <w:rFonts w:hint="eastAsia" w:ascii="微软雅黑" w:eastAsia="微软雅黑"/>
          <w:b/>
          <w:w w:val="81"/>
          <w:sz w:val="21"/>
        </w:rPr>
        <w:t>18</w:t>
      </w:r>
      <w:r>
        <w:rPr>
          <w:rFonts w:hint="eastAsia" w:ascii="微软雅黑" w:eastAsia="微软雅黑"/>
          <w:b/>
          <w:w w:val="175"/>
          <w:sz w:val="21"/>
        </w:rPr>
        <w:t>.</w:t>
      </w:r>
      <w:r>
        <w:rPr>
          <w:rFonts w:hint="eastAsia" w:ascii="微软雅黑" w:eastAsia="微软雅黑"/>
          <w:b/>
          <w:w w:val="81"/>
          <w:sz w:val="21"/>
        </w:rPr>
        <w:t>3</w:t>
      </w:r>
      <w:r>
        <w:rPr>
          <w:rFonts w:hint="eastAsia" w:ascii="微软雅黑" w:eastAsia="微软雅黑"/>
          <w:b/>
          <w:w w:val="167"/>
          <w:sz w:val="21"/>
        </w:rPr>
        <w:t xml:space="preserve"> </w:t>
      </w:r>
      <w:r>
        <w:rPr>
          <w:rFonts w:hint="eastAsia" w:ascii="微软雅黑" w:eastAsia="微软雅黑"/>
          <w:b/>
          <w:sz w:val="21"/>
        </w:rPr>
        <w:t>其他保险</w:t>
      </w:r>
      <w:r>
        <w:rPr>
          <w:rFonts w:hint="eastAsia" w:ascii="微软雅黑" w:eastAsia="微软雅黑"/>
          <w:b/>
          <w:w w:val="167"/>
          <w:sz w:val="21"/>
        </w:rPr>
        <w:t xml:space="preserve"> </w:t>
      </w:r>
    </w:p>
    <w:p w14:paraId="2BD57FF0">
      <w:pPr>
        <w:pStyle w:val="17"/>
        <w:spacing w:line="229" w:lineRule="exact"/>
        <w:ind w:left="746"/>
      </w:pPr>
      <w:r>
        <w:t>关于其他保险的约定：</w:t>
      </w:r>
      <w:r>
        <w:rPr>
          <w:spacing w:val="104"/>
          <w:u w:val="single"/>
        </w:rPr>
        <w:t xml:space="preserve"> </w:t>
      </w:r>
      <w:r>
        <w:rPr>
          <w:u w:val="single"/>
        </w:rPr>
        <w:t xml:space="preserve">/  </w:t>
      </w:r>
      <w:r>
        <w:t xml:space="preserve">。 </w:t>
      </w:r>
    </w:p>
    <w:p w14:paraId="42388A0C">
      <w:pPr>
        <w:pStyle w:val="17"/>
        <w:spacing w:before="12"/>
        <w:rPr>
          <w:sz w:val="10"/>
        </w:rPr>
      </w:pPr>
    </w:p>
    <w:p w14:paraId="2ED7DE4E">
      <w:pPr>
        <w:pStyle w:val="17"/>
        <w:spacing w:before="71"/>
        <w:ind w:left="746"/>
      </w:pPr>
      <w:r>
        <w:rPr>
          <w:spacing w:val="-1"/>
        </w:rPr>
        <w:t>承包人是否应为其施工设备等办理财产保险：</w:t>
      </w:r>
      <w:r>
        <w:rPr>
          <w:spacing w:val="104"/>
          <w:u w:val="single"/>
        </w:rPr>
        <w:t xml:space="preserve"> </w:t>
      </w:r>
      <w:r>
        <w:rPr>
          <w:u w:val="single"/>
        </w:rPr>
        <w:t xml:space="preserve">/  </w:t>
      </w:r>
      <w:r>
        <w:t xml:space="preserve">。 </w:t>
      </w:r>
    </w:p>
    <w:p w14:paraId="26A0EEC5">
      <w:pPr>
        <w:pStyle w:val="17"/>
        <w:spacing w:before="10"/>
        <w:rPr>
          <w:sz w:val="9"/>
        </w:rPr>
      </w:pPr>
    </w:p>
    <w:p w14:paraId="6B86B300">
      <w:pPr>
        <w:pStyle w:val="17"/>
        <w:spacing w:before="71"/>
        <w:ind w:left="746"/>
      </w:pPr>
      <w:r>
        <w:t>安全生产责任险：</w:t>
      </w:r>
      <w:r>
        <w:rPr>
          <w:u w:val="single"/>
        </w:rPr>
        <w:t>承包人应按《重庆市人民政府办公厅关于在高危行业领域强制推行安全生产责任</w:t>
      </w:r>
    </w:p>
    <w:p w14:paraId="4F4D8952">
      <w:pPr>
        <w:pStyle w:val="17"/>
        <w:spacing w:before="11"/>
        <w:rPr>
          <w:sz w:val="9"/>
        </w:rPr>
      </w:pPr>
    </w:p>
    <w:p w14:paraId="319BF193">
      <w:pPr>
        <w:pStyle w:val="17"/>
        <w:spacing w:before="70"/>
        <w:ind w:left="326"/>
      </w:pPr>
      <w:r>
        <w:rPr>
          <w:u w:val="single"/>
        </w:rPr>
        <w:t>保险的实施意见》（渝府办法〔2017〕182 号）的要求办理安全生产责任保险</w:t>
      </w:r>
      <w:r>
        <w:t xml:space="preserve">。 </w:t>
      </w:r>
    </w:p>
    <w:p w14:paraId="6A9FE6C0">
      <w:pPr>
        <w:pStyle w:val="17"/>
        <w:spacing w:before="10"/>
        <w:rPr>
          <w:sz w:val="9"/>
        </w:rPr>
      </w:pPr>
    </w:p>
    <w:p w14:paraId="2AF8A9DC">
      <w:pPr>
        <w:pStyle w:val="3"/>
        <w:numPr>
          <w:ilvl w:val="1"/>
          <w:numId w:val="71"/>
        </w:numPr>
        <w:tabs>
          <w:tab w:val="left" w:pos="1213"/>
        </w:tabs>
        <w:spacing w:before="4"/>
        <w:ind w:hanging="467"/>
      </w:pPr>
      <w:r>
        <w:rPr>
          <w:spacing w:val="11"/>
        </w:rPr>
        <w:t>通知义务</w:t>
      </w:r>
      <w:r>
        <w:rPr>
          <w:w w:val="167"/>
        </w:rPr>
        <w:t xml:space="preserve"> </w:t>
      </w:r>
    </w:p>
    <w:p w14:paraId="68092FC8">
      <w:pPr>
        <w:pStyle w:val="17"/>
        <w:spacing w:before="145"/>
        <w:ind w:left="746"/>
      </w:pPr>
      <w:r>
        <w:t>关于变更保险合同时的通知义务的约定：</w:t>
      </w:r>
      <w:r>
        <w:rPr>
          <w:u w:val="single"/>
        </w:rPr>
        <w:t>按通用合同条款执行</w:t>
      </w:r>
      <w:r>
        <w:t xml:space="preserve">。 </w:t>
      </w:r>
    </w:p>
    <w:p w14:paraId="13987D80">
      <w:pPr>
        <w:pStyle w:val="17"/>
        <w:rPr>
          <w:sz w:val="11"/>
        </w:rPr>
      </w:pPr>
    </w:p>
    <w:p w14:paraId="6083AAAE">
      <w:pPr>
        <w:pStyle w:val="3"/>
        <w:numPr>
          <w:ilvl w:val="1"/>
          <w:numId w:val="71"/>
        </w:numPr>
        <w:tabs>
          <w:tab w:val="left" w:pos="1213"/>
        </w:tabs>
        <w:spacing w:before="3"/>
        <w:ind w:hanging="467"/>
      </w:pPr>
      <w:r>
        <w:rPr>
          <w:spacing w:val="15"/>
        </w:rPr>
        <w:t>其他</w:t>
      </w:r>
      <w:r>
        <w:rPr>
          <w:w w:val="167"/>
        </w:rPr>
        <w:t xml:space="preserve"> </w:t>
      </w:r>
    </w:p>
    <w:p w14:paraId="1C390DC8">
      <w:pPr>
        <w:pStyle w:val="317"/>
        <w:numPr>
          <w:ilvl w:val="2"/>
          <w:numId w:val="71"/>
        </w:numPr>
        <w:tabs>
          <w:tab w:val="left" w:pos="1378"/>
        </w:tabs>
        <w:spacing w:before="146" w:line="415" w:lineRule="auto"/>
        <w:ind w:right="1235" w:firstLine="420"/>
        <w:rPr>
          <w:sz w:val="21"/>
        </w:rPr>
      </w:pPr>
      <w:r>
        <w:rPr>
          <w:sz w:val="21"/>
        </w:rPr>
        <w:t>工程开工日前，承包人向发包人提交各项生效的保险证据和保险单副本。未按本项约定提</w:t>
      </w:r>
      <w:r>
        <w:rPr>
          <w:spacing w:val="-7"/>
          <w:sz w:val="21"/>
        </w:rPr>
        <w:t xml:space="preserve">交的，每延后 </w:t>
      </w:r>
      <w:r>
        <w:rPr>
          <w:sz w:val="21"/>
        </w:rPr>
        <w:t>1</w:t>
      </w:r>
      <w:r>
        <w:rPr>
          <w:spacing w:val="-13"/>
          <w:sz w:val="21"/>
        </w:rPr>
        <w:t xml:space="preserve"> 天，承包人按 </w:t>
      </w:r>
      <w:r>
        <w:rPr>
          <w:sz w:val="21"/>
        </w:rPr>
        <w:t>500</w:t>
      </w:r>
      <w:r>
        <w:rPr>
          <w:spacing w:val="-23"/>
          <w:sz w:val="21"/>
        </w:rPr>
        <w:t xml:space="preserve"> 元</w:t>
      </w:r>
      <w:r>
        <w:rPr>
          <w:sz w:val="21"/>
        </w:rPr>
        <w:t xml:space="preserve">/天支付违约金。 </w:t>
      </w:r>
    </w:p>
    <w:p w14:paraId="56A7EAA8">
      <w:pPr>
        <w:pStyle w:val="317"/>
        <w:numPr>
          <w:ilvl w:val="2"/>
          <w:numId w:val="71"/>
        </w:numPr>
        <w:tabs>
          <w:tab w:val="left" w:pos="1378"/>
        </w:tabs>
        <w:ind w:left="1378" w:hanging="632"/>
        <w:rPr>
          <w:sz w:val="21"/>
        </w:rPr>
      </w:pPr>
      <w:r>
        <w:rPr>
          <w:spacing w:val="-1"/>
          <w:sz w:val="21"/>
        </w:rPr>
        <w:t>承包人保险赔偿金不足以补偿发包人损失时，差额由承包人负责补足。</w:t>
      </w:r>
      <w:r>
        <w:rPr>
          <w:sz w:val="21"/>
        </w:rPr>
        <w:t xml:space="preserve"> </w:t>
      </w:r>
    </w:p>
    <w:p w14:paraId="331E0A2B">
      <w:pPr>
        <w:rPr>
          <w:sz w:val="21"/>
        </w:rPr>
        <w:sectPr>
          <w:pgSz w:w="11910" w:h="16850"/>
          <w:pgMar w:top="1440" w:right="1080" w:bottom="1440" w:left="1080" w:header="0" w:footer="996" w:gutter="0"/>
          <w:cols w:space="720" w:num="1"/>
        </w:sectPr>
      </w:pPr>
    </w:p>
    <w:p w14:paraId="2F5785EB">
      <w:pPr>
        <w:pStyle w:val="3"/>
        <w:numPr>
          <w:ilvl w:val="0"/>
          <w:numId w:val="5"/>
        </w:numPr>
        <w:tabs>
          <w:tab w:val="left" w:pos="522"/>
        </w:tabs>
        <w:spacing w:line="367" w:lineRule="exact"/>
        <w:ind w:left="521" w:hanging="361"/>
        <w:jc w:val="left"/>
      </w:pPr>
      <w:r>
        <w:rPr>
          <w:spacing w:val="14"/>
        </w:rPr>
        <w:t>索赔</w:t>
      </w:r>
      <w:r>
        <w:rPr>
          <w:w w:val="167"/>
        </w:rPr>
        <w:t xml:space="preserve"> </w:t>
      </w:r>
    </w:p>
    <w:p w14:paraId="5857F7B8">
      <w:pPr>
        <w:pStyle w:val="17"/>
        <w:spacing w:before="3"/>
        <w:rPr>
          <w:rFonts w:ascii="微软雅黑"/>
          <w:b/>
          <w:sz w:val="13"/>
        </w:rPr>
      </w:pPr>
    </w:p>
    <w:p w14:paraId="3E0CC00A">
      <w:pPr>
        <w:pStyle w:val="317"/>
        <w:numPr>
          <w:ilvl w:val="1"/>
          <w:numId w:val="5"/>
        </w:numPr>
        <w:tabs>
          <w:tab w:val="left" w:pos="1048"/>
        </w:tabs>
        <w:ind w:left="1047" w:hanging="467"/>
        <w:rPr>
          <w:rFonts w:ascii="微软雅黑" w:eastAsia="微软雅黑"/>
          <w:b/>
          <w:sz w:val="21"/>
        </w:rPr>
      </w:pPr>
      <w:r>
        <w:rPr>
          <w:rFonts w:hint="eastAsia" w:ascii="微软雅黑" w:eastAsia="微软雅黑"/>
          <w:b/>
          <w:spacing w:val="6"/>
          <w:sz w:val="21"/>
        </w:rPr>
        <w:t>承包人的索赔</w:t>
      </w:r>
      <w:r>
        <w:rPr>
          <w:rFonts w:hint="eastAsia" w:ascii="微软雅黑" w:eastAsia="微软雅黑"/>
          <w:b/>
          <w:spacing w:val="6"/>
          <w:w w:val="167"/>
          <w:sz w:val="21"/>
        </w:rPr>
        <w:t xml:space="preserve"> </w:t>
      </w:r>
    </w:p>
    <w:p w14:paraId="570C3572">
      <w:pPr>
        <w:pStyle w:val="17"/>
        <w:spacing w:before="146" w:line="415" w:lineRule="auto"/>
        <w:ind w:left="161" w:right="1313" w:firstLine="420"/>
      </w:pPr>
      <w:r>
        <w:t xml:space="preserve">根据合同约定，承包人认为有权得到追加付款和（或）延长工期的，应按以下程序向发包人提出索赔： </w:t>
      </w:r>
    </w:p>
    <w:p w14:paraId="7FD979C2">
      <w:pPr>
        <w:pStyle w:val="317"/>
        <w:numPr>
          <w:ilvl w:val="0"/>
          <w:numId w:val="72"/>
        </w:numPr>
        <w:tabs>
          <w:tab w:val="left" w:pos="1109"/>
        </w:tabs>
        <w:spacing w:line="415" w:lineRule="auto"/>
        <w:ind w:right="1403" w:firstLine="420"/>
        <w:rPr>
          <w:sz w:val="21"/>
        </w:rPr>
      </w:pPr>
      <w:r>
        <w:rPr>
          <w:spacing w:val="-1"/>
          <w:sz w:val="21"/>
        </w:rPr>
        <w:t>承包人应在索赔事件发生后</w:t>
      </w:r>
      <w:r>
        <w:rPr>
          <w:sz w:val="21"/>
        </w:rPr>
        <w:t>28天内，向监理人递交索赔意向通知书，并说明发生索赔事件的事由；承包人未在前述28天内发出索赔意向通知书的，丧失要求追加付款和（或）</w:t>
      </w:r>
      <w:r>
        <w:rPr>
          <w:spacing w:val="-1"/>
          <w:sz w:val="21"/>
        </w:rPr>
        <w:t>延长工期的权利；</w:t>
      </w:r>
      <w:r>
        <w:rPr>
          <w:sz w:val="21"/>
        </w:rPr>
        <w:t xml:space="preserve"> </w:t>
      </w:r>
    </w:p>
    <w:p w14:paraId="3F94E24F">
      <w:pPr>
        <w:pStyle w:val="317"/>
        <w:numPr>
          <w:ilvl w:val="0"/>
          <w:numId w:val="72"/>
        </w:numPr>
        <w:tabs>
          <w:tab w:val="left" w:pos="1109"/>
        </w:tabs>
        <w:spacing w:before="15" w:line="415" w:lineRule="auto"/>
        <w:ind w:right="1405" w:firstLine="420"/>
        <w:rPr>
          <w:sz w:val="21"/>
        </w:rPr>
      </w:pPr>
      <w:r>
        <w:rPr>
          <w:spacing w:val="-1"/>
          <w:sz w:val="21"/>
        </w:rPr>
        <w:t>承包人应在发出索赔意向通知书后</w:t>
      </w:r>
      <w:r>
        <w:rPr>
          <w:sz w:val="21"/>
        </w:rPr>
        <w:t>28天内，向监理人正式递交索赔报告；索赔报告应详细说明索赔理由以及要求追加的付款金额和（或）</w:t>
      </w:r>
      <w:r>
        <w:rPr>
          <w:spacing w:val="-1"/>
          <w:sz w:val="21"/>
        </w:rPr>
        <w:t>延长的工期，并附必要的记录和证明材料；</w:t>
      </w:r>
      <w:r>
        <w:rPr>
          <w:sz w:val="21"/>
        </w:rPr>
        <w:t xml:space="preserve"> </w:t>
      </w:r>
    </w:p>
    <w:p w14:paraId="67F10EC2">
      <w:pPr>
        <w:pStyle w:val="317"/>
        <w:numPr>
          <w:ilvl w:val="0"/>
          <w:numId w:val="72"/>
        </w:numPr>
        <w:tabs>
          <w:tab w:val="left" w:pos="1109"/>
        </w:tabs>
        <w:spacing w:line="415" w:lineRule="auto"/>
        <w:ind w:right="1404" w:firstLine="420"/>
        <w:rPr>
          <w:sz w:val="21"/>
        </w:rPr>
      </w:pPr>
      <w:r>
        <w:rPr>
          <w:spacing w:val="-1"/>
          <w:sz w:val="21"/>
        </w:rPr>
        <w:t>索赔事件具有持续影响的，承包人应按监理人要求的合理时间间隔继续递交延续索赔通知， 说明持续影响的实际情况和记录，列出累计的追加付款金额和（或）</w:t>
      </w:r>
      <w:r>
        <w:rPr>
          <w:spacing w:val="-2"/>
          <w:sz w:val="21"/>
        </w:rPr>
        <w:t>工期延长天数；</w:t>
      </w:r>
      <w:r>
        <w:rPr>
          <w:sz w:val="21"/>
        </w:rPr>
        <w:t xml:space="preserve"> </w:t>
      </w:r>
    </w:p>
    <w:p w14:paraId="52EEB2F3">
      <w:pPr>
        <w:pStyle w:val="317"/>
        <w:numPr>
          <w:ilvl w:val="0"/>
          <w:numId w:val="72"/>
        </w:numPr>
        <w:tabs>
          <w:tab w:val="left" w:pos="1109"/>
        </w:tabs>
        <w:spacing w:line="429" w:lineRule="auto"/>
        <w:ind w:right="1403" w:firstLine="420"/>
        <w:rPr>
          <w:sz w:val="21"/>
        </w:rPr>
      </w:pPr>
      <w:r>
        <w:rPr>
          <w:spacing w:val="-1"/>
          <w:sz w:val="21"/>
        </w:rPr>
        <w:t>在索赔事件影响结束后</w:t>
      </w:r>
      <w:r>
        <w:rPr>
          <w:sz w:val="21"/>
        </w:rPr>
        <w:t>28天内，承包人应向监理人递交最终索赔报告，说明最终要求索赔的追加付款金额和（或）</w:t>
      </w:r>
      <w:r>
        <w:rPr>
          <w:spacing w:val="-1"/>
          <w:sz w:val="21"/>
        </w:rPr>
        <w:t>延长的工期，并附必要的记录和证明材料。</w:t>
      </w:r>
      <w:r>
        <w:rPr>
          <w:sz w:val="21"/>
        </w:rPr>
        <w:t xml:space="preserve"> </w:t>
      </w:r>
    </w:p>
    <w:p w14:paraId="61996EC5">
      <w:pPr>
        <w:pStyle w:val="17"/>
        <w:spacing w:line="252" w:lineRule="exact"/>
        <w:ind w:left="581"/>
      </w:pPr>
      <w:r>
        <w:t>（5）</w:t>
      </w:r>
      <w:r>
        <w:rPr>
          <w:u w:val="single"/>
        </w:rPr>
        <w:t xml:space="preserve"> </w:t>
      </w:r>
      <w:r>
        <w:t xml:space="preserve">。 </w:t>
      </w:r>
    </w:p>
    <w:p w14:paraId="020DCB72">
      <w:pPr>
        <w:pStyle w:val="17"/>
        <w:spacing w:before="10"/>
        <w:rPr>
          <w:sz w:val="9"/>
        </w:rPr>
      </w:pPr>
    </w:p>
    <w:p w14:paraId="1523EF8D">
      <w:pPr>
        <w:pStyle w:val="317"/>
        <w:numPr>
          <w:ilvl w:val="1"/>
          <w:numId w:val="5"/>
        </w:numPr>
        <w:tabs>
          <w:tab w:val="left" w:pos="1048"/>
        </w:tabs>
        <w:spacing w:before="3" w:line="331" w:lineRule="auto"/>
        <w:ind w:left="581" w:right="7719" w:firstLine="0"/>
        <w:rPr>
          <w:sz w:val="21"/>
        </w:rPr>
      </w:pPr>
      <w:r>
        <w:rPr>
          <w:rFonts w:hint="eastAsia" w:ascii="微软雅黑" w:eastAsia="微软雅黑"/>
          <w:b/>
          <w:spacing w:val="3"/>
          <w:sz w:val="21"/>
        </w:rPr>
        <w:t xml:space="preserve">对承包人索赔的处理 </w:t>
      </w:r>
      <w:r>
        <w:rPr>
          <w:spacing w:val="2"/>
          <w:sz w:val="21"/>
        </w:rPr>
        <w:t>对承包人索赔的处理如下：</w:t>
      </w:r>
      <w:r>
        <w:rPr>
          <w:sz w:val="21"/>
        </w:rPr>
        <w:t xml:space="preserve"> </w:t>
      </w:r>
    </w:p>
    <w:p w14:paraId="4F58E2E3">
      <w:pPr>
        <w:pStyle w:val="317"/>
        <w:numPr>
          <w:ilvl w:val="0"/>
          <w:numId w:val="73"/>
        </w:numPr>
        <w:tabs>
          <w:tab w:val="left" w:pos="1109"/>
        </w:tabs>
        <w:spacing w:before="92"/>
        <w:ind w:hanging="528"/>
        <w:rPr>
          <w:sz w:val="21"/>
        </w:rPr>
      </w:pPr>
      <w:r>
        <w:rPr>
          <w:spacing w:val="-1"/>
          <w:sz w:val="21"/>
          <w:u w:val="single"/>
        </w:rPr>
        <w:t>监理人应在收到索赔报告后</w:t>
      </w:r>
      <w:r>
        <w:rPr>
          <w:sz w:val="21"/>
          <w:u w:val="single"/>
        </w:rPr>
        <w:t>14天内完成审查并报送发包人。监理人对索赔报告存在异议的，</w:t>
      </w:r>
    </w:p>
    <w:p w14:paraId="5E6A6BB9">
      <w:pPr>
        <w:pStyle w:val="17"/>
        <w:rPr>
          <w:sz w:val="11"/>
        </w:rPr>
      </w:pPr>
    </w:p>
    <w:p w14:paraId="5B929148">
      <w:pPr>
        <w:pStyle w:val="17"/>
        <w:spacing w:before="71"/>
        <w:ind w:left="161"/>
      </w:pPr>
      <w:r>
        <w:rPr>
          <w:u w:val="single"/>
        </w:rPr>
        <w:t>有权要求承包人提交全部原始记录副本</w:t>
      </w:r>
      <w:r>
        <w:t xml:space="preserve">； </w:t>
      </w:r>
    </w:p>
    <w:p w14:paraId="35FDE641">
      <w:pPr>
        <w:pStyle w:val="17"/>
        <w:spacing w:before="10"/>
        <w:rPr>
          <w:sz w:val="9"/>
        </w:rPr>
      </w:pPr>
    </w:p>
    <w:p w14:paraId="2AF7702A">
      <w:pPr>
        <w:pStyle w:val="317"/>
        <w:numPr>
          <w:ilvl w:val="0"/>
          <w:numId w:val="73"/>
        </w:numPr>
        <w:tabs>
          <w:tab w:val="left" w:pos="1109"/>
        </w:tabs>
        <w:spacing w:before="71"/>
        <w:ind w:hanging="528"/>
        <w:rPr>
          <w:sz w:val="21"/>
        </w:rPr>
      </w:pPr>
      <w:r>
        <w:rPr>
          <w:spacing w:val="-2"/>
          <w:sz w:val="21"/>
          <w:u w:val="single"/>
        </w:rPr>
        <w:t>发包人应在监理人收到索赔报告或有关索赔的进一步证明材料后的</w:t>
      </w:r>
      <w:r>
        <w:rPr>
          <w:sz w:val="21"/>
          <w:u w:val="single"/>
        </w:rPr>
        <w:t>28天内，由监理人向承包</w:t>
      </w:r>
    </w:p>
    <w:p w14:paraId="664D7323">
      <w:pPr>
        <w:pStyle w:val="17"/>
        <w:spacing w:before="10"/>
        <w:rPr>
          <w:sz w:val="9"/>
        </w:rPr>
      </w:pPr>
    </w:p>
    <w:p w14:paraId="760F7DE3">
      <w:pPr>
        <w:pStyle w:val="17"/>
        <w:spacing w:before="71"/>
        <w:ind w:left="161"/>
      </w:pPr>
      <w:r>
        <w:rPr>
          <w:spacing w:val="-5"/>
          <w:u w:val="single"/>
        </w:rPr>
        <w:t>人出具经发包人签认的索赔处理结果。发包人逾期未答复的，承包人应以书面形式催告发包人，经承包</w:t>
      </w:r>
    </w:p>
    <w:p w14:paraId="2CB2C3C3">
      <w:pPr>
        <w:pStyle w:val="17"/>
        <w:spacing w:before="10"/>
        <w:rPr>
          <w:sz w:val="9"/>
        </w:rPr>
      </w:pPr>
    </w:p>
    <w:p w14:paraId="110E5DFA">
      <w:pPr>
        <w:pStyle w:val="17"/>
        <w:spacing w:before="71"/>
        <w:ind w:left="161"/>
      </w:pPr>
      <w:r>
        <w:rPr>
          <w:spacing w:val="-6"/>
          <w:u w:val="single"/>
        </w:rPr>
        <w:t>人三次</w:t>
      </w:r>
      <w:r>
        <w:rPr>
          <w:u w:val="single"/>
        </w:rPr>
        <w:t>（每次间隔不少于3天</w:t>
      </w:r>
      <w:r>
        <w:rPr>
          <w:spacing w:val="-15"/>
          <w:u w:val="single"/>
        </w:rPr>
        <w:t>）</w:t>
      </w:r>
      <w:r>
        <w:rPr>
          <w:spacing w:val="-5"/>
          <w:u w:val="single"/>
        </w:rPr>
        <w:t>书面催告后，发包人仍未按期限答复的，则视为认可承包人的索赔要求</w:t>
      </w:r>
      <w:r>
        <w:rPr>
          <w:spacing w:val="-120"/>
        </w:rPr>
        <w:t>；</w:t>
      </w:r>
      <w:r>
        <w:t xml:space="preserve"> </w:t>
      </w:r>
    </w:p>
    <w:p w14:paraId="42351738">
      <w:pPr>
        <w:pStyle w:val="17"/>
        <w:spacing w:before="11"/>
        <w:rPr>
          <w:sz w:val="9"/>
        </w:rPr>
      </w:pPr>
    </w:p>
    <w:p w14:paraId="793CE5B3">
      <w:pPr>
        <w:pStyle w:val="317"/>
        <w:numPr>
          <w:ilvl w:val="0"/>
          <w:numId w:val="73"/>
        </w:numPr>
        <w:tabs>
          <w:tab w:val="left" w:pos="1109"/>
        </w:tabs>
        <w:spacing w:before="70"/>
        <w:ind w:hanging="528"/>
        <w:rPr>
          <w:sz w:val="21"/>
        </w:rPr>
      </w:pPr>
      <w:r>
        <w:rPr>
          <w:sz w:val="21"/>
          <w:u w:val="single"/>
        </w:rPr>
        <w:t>承包人接受索赔处理结果的，索赔款项在当期进度款中进行支付；承包人不接受索赔处理结</w:t>
      </w:r>
    </w:p>
    <w:p w14:paraId="12600083">
      <w:pPr>
        <w:pStyle w:val="17"/>
        <w:rPr>
          <w:sz w:val="11"/>
        </w:rPr>
      </w:pPr>
    </w:p>
    <w:p w14:paraId="7F559068">
      <w:pPr>
        <w:pStyle w:val="17"/>
        <w:spacing w:before="70"/>
        <w:ind w:left="161"/>
      </w:pPr>
      <w:r>
        <w:rPr>
          <w:u w:val="single"/>
        </w:rPr>
        <w:t>果的，按照第20条〔争议解决〕约定处理</w:t>
      </w:r>
      <w:r>
        <w:t xml:space="preserve">； </w:t>
      </w:r>
    </w:p>
    <w:p w14:paraId="54F09D1B">
      <w:pPr>
        <w:pStyle w:val="17"/>
        <w:spacing w:before="11"/>
        <w:rPr>
          <w:sz w:val="9"/>
        </w:rPr>
      </w:pPr>
    </w:p>
    <w:p w14:paraId="0FB0801C">
      <w:pPr>
        <w:pStyle w:val="317"/>
        <w:numPr>
          <w:ilvl w:val="0"/>
          <w:numId w:val="73"/>
        </w:numPr>
        <w:tabs>
          <w:tab w:val="left" w:pos="1109"/>
        </w:tabs>
        <w:spacing w:before="71"/>
        <w:ind w:hanging="528"/>
        <w:rPr>
          <w:sz w:val="21"/>
        </w:rPr>
      </w:pPr>
      <w:r>
        <w:rPr>
          <w:spacing w:val="-1"/>
          <w:sz w:val="21"/>
          <w:u w:val="single"/>
        </w:rPr>
        <w:t>工期延误的关键线路按照经监理人、发包人审批同意的施工组织设计计算</w:t>
      </w:r>
      <w:r>
        <w:rPr>
          <w:sz w:val="21"/>
        </w:rPr>
        <w:t xml:space="preserve">。 </w:t>
      </w:r>
    </w:p>
    <w:p w14:paraId="4179CCFE">
      <w:pPr>
        <w:pStyle w:val="17"/>
        <w:spacing w:before="10"/>
        <w:rPr>
          <w:sz w:val="9"/>
        </w:rPr>
      </w:pPr>
    </w:p>
    <w:p w14:paraId="59A46DD0">
      <w:pPr>
        <w:pStyle w:val="3"/>
        <w:numPr>
          <w:ilvl w:val="1"/>
          <w:numId w:val="5"/>
        </w:numPr>
        <w:tabs>
          <w:tab w:val="left" w:pos="1108"/>
        </w:tabs>
        <w:spacing w:before="3"/>
        <w:ind w:left="1107" w:hanging="527"/>
      </w:pPr>
      <w:r>
        <w:t>发包人的索赔</w:t>
      </w:r>
      <w:r>
        <w:rPr>
          <w:w w:val="167"/>
        </w:rPr>
        <w:t xml:space="preserve"> </w:t>
      </w:r>
    </w:p>
    <w:p w14:paraId="320EF461">
      <w:pPr>
        <w:pStyle w:val="17"/>
        <w:spacing w:before="146" w:line="415" w:lineRule="auto"/>
        <w:ind w:left="161" w:right="1308" w:firstLine="420"/>
      </w:pPr>
      <w:r>
        <w:t xml:space="preserve">根据合同约定，发包人认为有权得到赔付金额和（或）延长缺陷责任期的，监理人应向承包人发出通知并附有详细的证明。 </w:t>
      </w:r>
    </w:p>
    <w:p w14:paraId="06AE67EA">
      <w:pPr>
        <w:pStyle w:val="17"/>
        <w:spacing w:before="14" w:line="415" w:lineRule="auto"/>
        <w:ind w:left="161" w:right="1371" w:firstLine="420"/>
      </w:pPr>
      <w:r>
        <w:rPr>
          <w:spacing w:val="-1"/>
        </w:rPr>
        <w:t>发包人应在索赔事件发生后</w:t>
      </w:r>
      <w:r>
        <w:t>28</w:t>
      </w:r>
      <w:r>
        <w:rPr>
          <w:spacing w:val="-1"/>
        </w:rPr>
        <w:t>天内通过监理人向承包人提出索赔意向通知书，发包人未在前述</w:t>
      </w:r>
      <w:r>
        <w:t xml:space="preserve">28 </w:t>
      </w:r>
      <w:r>
        <w:rPr>
          <w:spacing w:val="-3"/>
        </w:rPr>
        <w:t>天内发出索赔意向通知书的，丧失要求赔付金额和</w:t>
      </w:r>
      <w:r>
        <w:t>（或</w:t>
      </w:r>
      <w:r>
        <w:rPr>
          <w:spacing w:val="-16"/>
        </w:rPr>
        <w:t>）</w:t>
      </w:r>
      <w:r>
        <w:rPr>
          <w:spacing w:val="-4"/>
        </w:rPr>
        <w:t>延长缺陷责任期的权利。发包人应在发出索赔意向通知书后28</w:t>
      </w:r>
      <w:r>
        <w:rPr>
          <w:spacing w:val="-9"/>
        </w:rPr>
        <w:t>天内，通过监理人向承包人正式递交索赔报告；索赔事件具有持续影响的，发包人应在索赔事件影响结束后28天内，通过监理人向承包人正式递交最终索赔报告。</w:t>
      </w:r>
      <w:r>
        <w:t xml:space="preserve"> </w:t>
      </w:r>
    </w:p>
    <w:p w14:paraId="12D12D58">
      <w:pPr>
        <w:spacing w:line="415" w:lineRule="auto"/>
        <w:sectPr>
          <w:pgSz w:w="11910" w:h="16850"/>
          <w:pgMar w:top="1440" w:right="1080" w:bottom="1440" w:left="1080" w:header="0" w:footer="996" w:gutter="0"/>
          <w:cols w:space="720" w:num="1"/>
        </w:sectPr>
      </w:pPr>
    </w:p>
    <w:p w14:paraId="7A8BDF8D">
      <w:pPr>
        <w:pStyle w:val="3"/>
        <w:numPr>
          <w:ilvl w:val="1"/>
          <w:numId w:val="5"/>
        </w:numPr>
        <w:tabs>
          <w:tab w:val="left" w:pos="1213"/>
        </w:tabs>
        <w:spacing w:line="367" w:lineRule="exact"/>
        <w:ind w:left="1212" w:hanging="467"/>
      </w:pPr>
      <w:r>
        <w:rPr>
          <w:spacing w:val="3"/>
        </w:rPr>
        <w:t>对发包人索赔的处理</w:t>
      </w:r>
      <w:r>
        <w:rPr>
          <w:spacing w:val="3"/>
          <w:w w:val="167"/>
        </w:rPr>
        <w:t xml:space="preserve"> </w:t>
      </w:r>
    </w:p>
    <w:p w14:paraId="513F34A2">
      <w:pPr>
        <w:pStyle w:val="17"/>
        <w:spacing w:before="145"/>
        <w:ind w:left="746"/>
      </w:pPr>
      <w:r>
        <w:t xml:space="preserve">对发包人索赔的处理如下： </w:t>
      </w:r>
    </w:p>
    <w:p w14:paraId="33249AC3">
      <w:pPr>
        <w:pStyle w:val="17"/>
        <w:spacing w:before="4"/>
        <w:rPr>
          <w:sz w:val="15"/>
        </w:rPr>
      </w:pPr>
    </w:p>
    <w:p w14:paraId="0A5FD225">
      <w:pPr>
        <w:pStyle w:val="317"/>
        <w:numPr>
          <w:ilvl w:val="0"/>
          <w:numId w:val="74"/>
        </w:numPr>
        <w:tabs>
          <w:tab w:val="left" w:pos="1274"/>
        </w:tabs>
        <w:ind w:hanging="528"/>
        <w:rPr>
          <w:sz w:val="21"/>
        </w:rPr>
      </w:pPr>
      <w:r>
        <w:rPr>
          <w:spacing w:val="-2"/>
          <w:sz w:val="21"/>
        </w:rPr>
        <w:t>承包人收到发包人提交的索赔报告后，应及时审查索赔报告的内容、查验发包人证明材料；</w:t>
      </w:r>
      <w:r>
        <w:rPr>
          <w:sz w:val="21"/>
        </w:rPr>
        <w:t xml:space="preserve"> </w:t>
      </w:r>
    </w:p>
    <w:p w14:paraId="0348C8D8">
      <w:pPr>
        <w:pStyle w:val="17"/>
        <w:spacing w:before="6"/>
        <w:rPr>
          <w:sz w:val="16"/>
        </w:rPr>
      </w:pPr>
    </w:p>
    <w:p w14:paraId="0B61C8AD">
      <w:pPr>
        <w:pStyle w:val="317"/>
        <w:numPr>
          <w:ilvl w:val="0"/>
          <w:numId w:val="74"/>
        </w:numPr>
        <w:tabs>
          <w:tab w:val="left" w:pos="1274"/>
        </w:tabs>
        <w:spacing w:line="415" w:lineRule="auto"/>
        <w:ind w:left="326" w:right="1224" w:firstLine="420"/>
        <w:jc w:val="both"/>
        <w:rPr>
          <w:sz w:val="21"/>
        </w:rPr>
      </w:pPr>
      <w:r>
        <w:rPr>
          <w:spacing w:val="-1"/>
          <w:sz w:val="21"/>
        </w:rPr>
        <w:t>承包人应在收到索赔报告或有关索赔的进一步证明材料后</w:t>
      </w:r>
      <w:r>
        <w:rPr>
          <w:sz w:val="21"/>
        </w:rPr>
        <w:t>28天内，将索赔处理结果答复发包</w:t>
      </w:r>
      <w:r>
        <w:rPr>
          <w:spacing w:val="-9"/>
          <w:sz w:val="21"/>
        </w:rPr>
        <w:t>人。如果承包人未在上述期限内作出答复的，监理人应以书面形式催告承包人，经监理人三次书面催告后，承包人仍未按期限答复的，则视为对发包人索赔要求的认可；</w:t>
      </w:r>
      <w:r>
        <w:rPr>
          <w:sz w:val="21"/>
        </w:rPr>
        <w:t xml:space="preserve"> </w:t>
      </w:r>
    </w:p>
    <w:p w14:paraId="2903AFE4">
      <w:pPr>
        <w:pStyle w:val="317"/>
        <w:numPr>
          <w:ilvl w:val="0"/>
          <w:numId w:val="74"/>
        </w:numPr>
        <w:tabs>
          <w:tab w:val="left" w:pos="1274"/>
        </w:tabs>
        <w:spacing w:line="415" w:lineRule="auto"/>
        <w:ind w:left="326" w:right="1235" w:firstLine="420"/>
        <w:rPr>
          <w:sz w:val="21"/>
        </w:rPr>
      </w:pPr>
      <w:r>
        <w:rPr>
          <w:sz w:val="21"/>
        </w:rPr>
        <w:t>承包人接受索赔处理结果的，发包人可从应支付给承包人的合同价款中扣除赔付的金额或延</w:t>
      </w:r>
      <w:r>
        <w:rPr>
          <w:spacing w:val="-1"/>
          <w:sz w:val="21"/>
        </w:rPr>
        <w:t>长缺陷责任期；发包人不接受索赔处理结果的，按第</w:t>
      </w:r>
      <w:r>
        <w:rPr>
          <w:sz w:val="21"/>
        </w:rPr>
        <w:t xml:space="preserve">20条〔争议解决〕约定处理。 </w:t>
      </w:r>
    </w:p>
    <w:p w14:paraId="3984B106">
      <w:pPr>
        <w:pStyle w:val="3"/>
        <w:numPr>
          <w:ilvl w:val="1"/>
          <w:numId w:val="5"/>
        </w:numPr>
        <w:tabs>
          <w:tab w:val="left" w:pos="1213"/>
        </w:tabs>
        <w:spacing w:line="334" w:lineRule="exact"/>
        <w:ind w:left="1212" w:hanging="467"/>
      </w:pPr>
      <w:r>
        <w:rPr>
          <w:spacing w:val="5"/>
        </w:rPr>
        <w:t>提出索赔的期限</w:t>
      </w:r>
      <w:r>
        <w:rPr>
          <w:spacing w:val="5"/>
          <w:w w:val="167"/>
        </w:rPr>
        <w:t xml:space="preserve"> </w:t>
      </w:r>
    </w:p>
    <w:p w14:paraId="5A2CD968">
      <w:pPr>
        <w:pStyle w:val="17"/>
        <w:spacing w:before="146" w:line="415" w:lineRule="auto"/>
        <w:ind w:left="326" w:right="1240" w:firstLine="420"/>
      </w:pPr>
      <w:r>
        <w:t xml:space="preserve">任一索赔事件发生后28天内，承包人/发包人未向对方发出索赔意向通知书的，视为其已放弃索赔权，无权再就该索赔事项提出任何索赔。 </w:t>
      </w:r>
    </w:p>
    <w:p w14:paraId="264D9206">
      <w:pPr>
        <w:pStyle w:val="3"/>
        <w:numPr>
          <w:ilvl w:val="0"/>
          <w:numId w:val="5"/>
        </w:numPr>
        <w:tabs>
          <w:tab w:val="left" w:pos="687"/>
        </w:tabs>
        <w:spacing w:before="83"/>
        <w:ind w:left="686" w:hanging="361"/>
        <w:jc w:val="left"/>
      </w:pPr>
      <w:r>
        <w:rPr>
          <w:spacing w:val="7"/>
        </w:rPr>
        <w:t>争议解决</w:t>
      </w:r>
      <w:r>
        <w:rPr>
          <w:spacing w:val="7"/>
          <w:w w:val="167"/>
        </w:rPr>
        <w:t xml:space="preserve"> </w:t>
      </w:r>
    </w:p>
    <w:p w14:paraId="5A4288D4">
      <w:pPr>
        <w:pStyle w:val="17"/>
        <w:spacing w:before="4"/>
        <w:rPr>
          <w:rFonts w:ascii="微软雅黑"/>
          <w:b/>
          <w:sz w:val="13"/>
        </w:rPr>
      </w:pPr>
    </w:p>
    <w:p w14:paraId="0C595439">
      <w:pPr>
        <w:pStyle w:val="317"/>
        <w:numPr>
          <w:ilvl w:val="1"/>
          <w:numId w:val="75"/>
        </w:numPr>
        <w:tabs>
          <w:tab w:val="left" w:pos="1213"/>
        </w:tabs>
        <w:ind w:hanging="467"/>
        <w:rPr>
          <w:rFonts w:ascii="微软雅黑" w:eastAsia="微软雅黑"/>
          <w:b/>
          <w:sz w:val="21"/>
        </w:rPr>
      </w:pPr>
      <w:r>
        <w:rPr>
          <w:rFonts w:hint="eastAsia" w:ascii="微软雅黑" w:eastAsia="微软雅黑"/>
          <w:b/>
          <w:spacing w:val="11"/>
          <w:sz w:val="21"/>
        </w:rPr>
        <w:t>争议评审</w:t>
      </w:r>
      <w:r>
        <w:rPr>
          <w:rFonts w:hint="eastAsia" w:ascii="微软雅黑" w:eastAsia="微软雅黑"/>
          <w:b/>
          <w:w w:val="167"/>
          <w:sz w:val="21"/>
        </w:rPr>
        <w:t xml:space="preserve"> </w:t>
      </w:r>
    </w:p>
    <w:p w14:paraId="40CE60B3">
      <w:pPr>
        <w:pStyle w:val="17"/>
        <w:spacing w:before="145"/>
        <w:ind w:left="746"/>
      </w:pPr>
      <w:r>
        <w:t>合同当事人是否同意将工程争议提交争议评审小组决定：</w:t>
      </w:r>
      <w:r>
        <w:rPr>
          <w:u w:val="single"/>
        </w:rPr>
        <w:t xml:space="preserve"> </w:t>
      </w:r>
      <w:r>
        <w:t xml:space="preserve">。 </w:t>
      </w:r>
    </w:p>
    <w:p w14:paraId="4C558B25">
      <w:pPr>
        <w:pStyle w:val="17"/>
        <w:rPr>
          <w:sz w:val="11"/>
        </w:rPr>
      </w:pPr>
    </w:p>
    <w:p w14:paraId="26EB1E12">
      <w:pPr>
        <w:pStyle w:val="3"/>
        <w:numPr>
          <w:ilvl w:val="1"/>
          <w:numId w:val="75"/>
        </w:numPr>
        <w:tabs>
          <w:tab w:val="left" w:pos="1213"/>
        </w:tabs>
        <w:spacing w:before="4"/>
        <w:ind w:hanging="467"/>
      </w:pPr>
      <w:r>
        <w:rPr>
          <w:spacing w:val="8"/>
        </w:rPr>
        <w:t>仲裁或诉讼</w:t>
      </w:r>
      <w:r>
        <w:rPr>
          <w:spacing w:val="8"/>
          <w:w w:val="167"/>
        </w:rPr>
        <w:t xml:space="preserve"> </w:t>
      </w:r>
    </w:p>
    <w:p w14:paraId="143F9527">
      <w:pPr>
        <w:pStyle w:val="17"/>
        <w:spacing w:before="145"/>
        <w:ind w:left="746"/>
      </w:pPr>
      <w:r>
        <w:t>因合同及合同有关事项发生的争议，按下列第</w:t>
      </w:r>
      <w:r>
        <w:rPr>
          <w:u w:val="single"/>
        </w:rPr>
        <w:t xml:space="preserve"> </w:t>
      </w:r>
      <w:r>
        <w:t xml:space="preserve">种方式解决： </w:t>
      </w:r>
    </w:p>
    <w:p w14:paraId="3DCC111F">
      <w:pPr>
        <w:pStyle w:val="17"/>
        <w:spacing w:before="11"/>
        <w:rPr>
          <w:sz w:val="9"/>
        </w:rPr>
      </w:pPr>
    </w:p>
    <w:p w14:paraId="476903F0">
      <w:pPr>
        <w:pStyle w:val="17"/>
        <w:spacing w:before="70"/>
        <w:ind w:left="746"/>
      </w:pPr>
      <w:r>
        <w:t>（1） 向</w:t>
      </w:r>
      <w:r>
        <w:rPr>
          <w:u w:val="single"/>
        </w:rPr>
        <w:t xml:space="preserve"> </w:t>
      </w:r>
      <w:r>
        <w:t xml:space="preserve">仲 裁 委 员 会 申 请 仲 裁 ； </w:t>
      </w:r>
    </w:p>
    <w:p w14:paraId="324789B5">
      <w:pPr>
        <w:pStyle w:val="17"/>
        <w:spacing w:before="10"/>
        <w:rPr>
          <w:sz w:val="9"/>
        </w:rPr>
      </w:pPr>
    </w:p>
    <w:p w14:paraId="2D3905D1">
      <w:pPr>
        <w:pStyle w:val="17"/>
        <w:spacing w:before="71"/>
        <w:ind w:left="746"/>
      </w:pPr>
      <w:r>
        <w:t>（2） 向</w:t>
      </w:r>
      <w:r>
        <w:rPr>
          <w:u w:val="single"/>
        </w:rPr>
        <w:t xml:space="preserve"> </w:t>
      </w:r>
      <w:r>
        <w:t xml:space="preserve">人 民 法 院 起 诉 。 </w:t>
      </w:r>
    </w:p>
    <w:p w14:paraId="54212C48">
      <w:pPr>
        <w:pStyle w:val="17"/>
        <w:spacing w:before="7"/>
      </w:pPr>
    </w:p>
    <w:p w14:paraId="766D15C8">
      <w:pPr>
        <w:pStyle w:val="3"/>
        <w:numPr>
          <w:ilvl w:val="0"/>
          <w:numId w:val="5"/>
        </w:numPr>
        <w:tabs>
          <w:tab w:val="left" w:pos="687"/>
        </w:tabs>
        <w:spacing w:before="3"/>
        <w:ind w:left="686" w:hanging="361"/>
        <w:jc w:val="left"/>
      </w:pPr>
      <w:r>
        <w:rPr>
          <w:spacing w:val="7"/>
        </w:rPr>
        <w:t>补充条款</w:t>
      </w:r>
      <w:r>
        <w:rPr>
          <w:spacing w:val="7"/>
          <w:w w:val="167"/>
        </w:rPr>
        <w:t xml:space="preserve"> </w:t>
      </w:r>
    </w:p>
    <w:p w14:paraId="7261DD39">
      <w:pPr>
        <w:pStyle w:val="17"/>
        <w:spacing w:before="4"/>
        <w:rPr>
          <w:rFonts w:ascii="微软雅黑"/>
          <w:b/>
          <w:sz w:val="13"/>
        </w:rPr>
      </w:pPr>
    </w:p>
    <w:p w14:paraId="77548402">
      <w:pPr>
        <w:pStyle w:val="317"/>
        <w:numPr>
          <w:ilvl w:val="1"/>
          <w:numId w:val="5"/>
        </w:numPr>
        <w:tabs>
          <w:tab w:val="left" w:pos="1213"/>
        </w:tabs>
        <w:spacing w:before="1"/>
        <w:ind w:left="1212" w:hanging="467"/>
        <w:rPr>
          <w:rFonts w:ascii="微软雅黑" w:eastAsia="微软雅黑"/>
          <w:b/>
          <w:sz w:val="21"/>
        </w:rPr>
      </w:pPr>
      <w:r>
        <w:rPr>
          <w:rFonts w:hint="eastAsia" w:ascii="微软雅黑" w:eastAsia="微软雅黑"/>
          <w:b/>
          <w:spacing w:val="11"/>
          <w:sz w:val="21"/>
        </w:rPr>
        <w:t>退出机制</w:t>
      </w:r>
      <w:r>
        <w:rPr>
          <w:rFonts w:hint="eastAsia" w:ascii="微软雅黑" w:eastAsia="微软雅黑"/>
          <w:b/>
          <w:w w:val="167"/>
          <w:sz w:val="21"/>
        </w:rPr>
        <w:t xml:space="preserve"> </w:t>
      </w:r>
    </w:p>
    <w:p w14:paraId="46D8AA41">
      <w:pPr>
        <w:pStyle w:val="317"/>
        <w:numPr>
          <w:ilvl w:val="2"/>
          <w:numId w:val="5"/>
        </w:numPr>
        <w:tabs>
          <w:tab w:val="left" w:pos="1438"/>
        </w:tabs>
        <w:spacing w:before="160" w:line="415" w:lineRule="auto"/>
        <w:ind w:left="326" w:right="1287" w:firstLine="420"/>
        <w:jc w:val="left"/>
        <w:rPr>
          <w:sz w:val="21"/>
        </w:rPr>
      </w:pPr>
      <w:r>
        <w:rPr>
          <w:spacing w:val="-1"/>
          <w:sz w:val="21"/>
        </w:rPr>
        <w:t xml:space="preserve">有下列情形之一的，发包人有权解除合同，亦有权兑付履约担保，并对承包人做清退出场处理： </w:t>
      </w:r>
    </w:p>
    <w:p w14:paraId="194DBE52">
      <w:pPr>
        <w:pStyle w:val="317"/>
        <w:numPr>
          <w:ilvl w:val="0"/>
          <w:numId w:val="76"/>
        </w:numPr>
        <w:tabs>
          <w:tab w:val="left" w:pos="1274"/>
        </w:tabs>
        <w:ind w:hanging="528"/>
        <w:rPr>
          <w:sz w:val="21"/>
        </w:rPr>
      </w:pPr>
      <w:r>
        <w:rPr>
          <w:spacing w:val="-1"/>
          <w:sz w:val="21"/>
        </w:rPr>
        <w:t>因承包人原因造成较大及以上等级生产安全事故或工程质量事故的；</w:t>
      </w:r>
      <w:r>
        <w:rPr>
          <w:sz w:val="21"/>
        </w:rPr>
        <w:t xml:space="preserve"> </w:t>
      </w:r>
    </w:p>
    <w:p w14:paraId="36F5A71A">
      <w:pPr>
        <w:pStyle w:val="17"/>
        <w:spacing w:before="4"/>
        <w:rPr>
          <w:sz w:val="15"/>
        </w:rPr>
      </w:pPr>
    </w:p>
    <w:p w14:paraId="78127AED">
      <w:pPr>
        <w:pStyle w:val="317"/>
        <w:numPr>
          <w:ilvl w:val="0"/>
          <w:numId w:val="76"/>
        </w:numPr>
        <w:tabs>
          <w:tab w:val="left" w:pos="1274"/>
        </w:tabs>
        <w:ind w:hanging="528"/>
        <w:rPr>
          <w:sz w:val="21"/>
        </w:rPr>
      </w:pPr>
      <w:r>
        <w:rPr>
          <w:spacing w:val="-1"/>
          <w:sz w:val="21"/>
        </w:rPr>
        <w:t>因承包人债权债务纠纷或其他纠纷导致工程无法正常施工的。</w:t>
      </w:r>
      <w:r>
        <w:rPr>
          <w:sz w:val="21"/>
        </w:rPr>
        <w:t xml:space="preserve"> </w:t>
      </w:r>
    </w:p>
    <w:p w14:paraId="38273026">
      <w:pPr>
        <w:pStyle w:val="17"/>
        <w:spacing w:before="4"/>
        <w:rPr>
          <w:sz w:val="15"/>
        </w:rPr>
      </w:pPr>
    </w:p>
    <w:p w14:paraId="55914D8D">
      <w:pPr>
        <w:pStyle w:val="17"/>
        <w:ind w:left="746"/>
      </w:pPr>
      <w:r>
        <w:t>（3）</w:t>
      </w:r>
      <w:r>
        <w:rPr>
          <w:u w:val="single"/>
        </w:rPr>
        <w:t xml:space="preserve"> </w:t>
      </w:r>
      <w:r>
        <w:rPr>
          <w:rFonts w:hint="eastAsia"/>
          <w:u w:val="single"/>
          <w:lang w:val="en-US"/>
        </w:rPr>
        <w:t xml:space="preserve">    </w:t>
      </w:r>
      <w:r>
        <w:t xml:space="preserve">。 </w:t>
      </w:r>
    </w:p>
    <w:p w14:paraId="180F700E">
      <w:pPr>
        <w:pStyle w:val="17"/>
        <w:spacing w:before="12"/>
        <w:rPr>
          <w:sz w:val="10"/>
        </w:rPr>
      </w:pPr>
    </w:p>
    <w:p w14:paraId="716C1846">
      <w:pPr>
        <w:pStyle w:val="317"/>
        <w:numPr>
          <w:ilvl w:val="2"/>
          <w:numId w:val="5"/>
        </w:numPr>
        <w:tabs>
          <w:tab w:val="left" w:pos="1438"/>
        </w:tabs>
        <w:spacing w:before="71"/>
        <w:ind w:left="1438" w:hanging="692"/>
        <w:jc w:val="left"/>
        <w:rPr>
          <w:sz w:val="21"/>
        </w:rPr>
      </w:pPr>
      <w:r>
        <w:rPr>
          <w:spacing w:val="-3"/>
          <w:sz w:val="21"/>
        </w:rPr>
        <w:t xml:space="preserve">有下列情形之一的，承包人有权解除合同，并按 </w:t>
      </w:r>
      <w:r>
        <w:rPr>
          <w:sz w:val="21"/>
        </w:rPr>
        <w:t>16.1.4</w:t>
      </w:r>
      <w:r>
        <w:rPr>
          <w:spacing w:val="-9"/>
          <w:sz w:val="21"/>
        </w:rPr>
        <w:t xml:space="preserve"> 约定执行： </w:t>
      </w:r>
    </w:p>
    <w:p w14:paraId="14DE10A7">
      <w:pPr>
        <w:pStyle w:val="17"/>
        <w:spacing w:before="4"/>
        <w:rPr>
          <w:sz w:val="15"/>
        </w:rPr>
      </w:pPr>
    </w:p>
    <w:p w14:paraId="5CC1A3A2">
      <w:pPr>
        <w:pStyle w:val="17"/>
        <w:ind w:left="746"/>
      </w:pPr>
      <w:r>
        <w:t xml:space="preserve">（1）因发包人征地、拆迁、补偿、审批手续等原因致使本工程延期开工超过 90 天的。 </w:t>
      </w:r>
    </w:p>
    <w:p w14:paraId="0D0B8B35">
      <w:pPr>
        <w:pStyle w:val="17"/>
        <w:spacing w:before="4"/>
        <w:rPr>
          <w:sz w:val="15"/>
        </w:rPr>
      </w:pPr>
    </w:p>
    <w:p w14:paraId="52B37770">
      <w:pPr>
        <w:pStyle w:val="17"/>
        <w:ind w:left="746"/>
      </w:pPr>
      <w:r>
        <w:t>（2）</w:t>
      </w:r>
      <w:r>
        <w:rPr>
          <w:u w:val="single"/>
        </w:rPr>
        <w:t xml:space="preserve"> </w:t>
      </w:r>
      <w:r>
        <w:t xml:space="preserve">。 </w:t>
      </w:r>
    </w:p>
    <w:p w14:paraId="73A6DE14">
      <w:pPr>
        <w:pStyle w:val="17"/>
        <w:spacing w:before="11"/>
        <w:rPr>
          <w:sz w:val="9"/>
        </w:rPr>
      </w:pPr>
    </w:p>
    <w:p w14:paraId="577FD1C7">
      <w:pPr>
        <w:pStyle w:val="3"/>
        <w:numPr>
          <w:ilvl w:val="1"/>
          <w:numId w:val="5"/>
        </w:numPr>
        <w:tabs>
          <w:tab w:val="left" w:pos="1273"/>
        </w:tabs>
        <w:spacing w:before="3"/>
        <w:ind w:left="1273" w:hanging="527"/>
      </w:pPr>
      <w:r>
        <w:t>智慧工地</w:t>
      </w:r>
      <w:r>
        <w:rPr>
          <w:w w:val="167"/>
        </w:rPr>
        <w:t xml:space="preserve"> </w:t>
      </w:r>
    </w:p>
    <w:p w14:paraId="446B7DF3">
      <w:pPr>
        <w:sectPr>
          <w:pgSz w:w="11910" w:h="16850"/>
          <w:pgMar w:top="1440" w:right="1080" w:bottom="1440" w:left="1080" w:header="0" w:footer="996" w:gutter="0"/>
          <w:cols w:space="720" w:num="1"/>
        </w:sectPr>
      </w:pPr>
    </w:p>
    <w:p w14:paraId="22724286">
      <w:pPr>
        <w:pStyle w:val="17"/>
        <w:spacing w:before="46" w:line="415" w:lineRule="auto"/>
        <w:ind w:left="161" w:right="1276" w:firstLine="420"/>
      </w:pPr>
      <w:r>
        <w:rPr>
          <w:spacing w:val="-10"/>
        </w:rPr>
        <w:t>工地建设可参照重庆市城乡建设委员会《关于印发“智慧工地”建设工作方案的通知</w:t>
      </w:r>
      <w:r>
        <w:rPr>
          <w:spacing w:val="-121"/>
        </w:rPr>
        <w:t>》</w:t>
      </w:r>
      <w:r>
        <w:t>（</w:t>
      </w:r>
      <w:r>
        <w:rPr>
          <w:spacing w:val="-28"/>
        </w:rPr>
        <w:t>渝建〔</w:t>
      </w:r>
      <w:r>
        <w:t>2017〕414</w:t>
      </w:r>
      <w:r>
        <w:rPr>
          <w:spacing w:val="-23"/>
        </w:rPr>
        <w:t xml:space="preserve"> 号</w:t>
      </w:r>
      <w:r>
        <w:t xml:space="preserve">）的相关要求建设。 </w:t>
      </w:r>
    </w:p>
    <w:p w14:paraId="63381F7D">
      <w:pPr>
        <w:pStyle w:val="3"/>
        <w:spacing w:line="319" w:lineRule="exact"/>
        <w:ind w:left="581" w:firstLine="0"/>
      </w:pPr>
      <w:r>
        <w:rPr>
          <w:spacing w:val="15"/>
          <w:w w:val="81"/>
        </w:rPr>
        <w:t>2</w:t>
      </w:r>
      <w:r>
        <w:rPr>
          <w:spacing w:val="14"/>
          <w:w w:val="81"/>
        </w:rPr>
        <w:t>1</w:t>
      </w:r>
      <w:r>
        <w:rPr>
          <w:spacing w:val="14"/>
          <w:w w:val="175"/>
        </w:rPr>
        <w:t>.</w:t>
      </w:r>
      <w:r>
        <w:rPr>
          <w:w w:val="81"/>
        </w:rPr>
        <w:t>3</w:t>
      </w:r>
      <w:r>
        <w:rPr>
          <w:spacing w:val="-29"/>
          <w:w w:val="167"/>
        </w:rPr>
        <w:t xml:space="preserve"> </w:t>
      </w:r>
      <w:r>
        <w:rPr>
          <w:spacing w:val="14"/>
          <w:w w:val="167"/>
          <w:u w:val="single"/>
        </w:rPr>
        <w:t xml:space="preserve"> </w:t>
      </w:r>
      <w:r>
        <w:rPr>
          <w:spacing w:val="-31"/>
          <w:w w:val="167"/>
          <w:u w:val="single"/>
        </w:rPr>
        <w:t xml:space="preserve"> </w:t>
      </w:r>
      <w:r>
        <w:rPr>
          <w:spacing w:val="14"/>
          <w:w w:val="167"/>
          <w:u w:val="single"/>
        </w:rPr>
        <w:t xml:space="preserve"> </w:t>
      </w:r>
      <w:r>
        <w:rPr>
          <w:spacing w:val="-15"/>
          <w:w w:val="167"/>
          <w:u w:val="single"/>
        </w:rPr>
        <w:t xml:space="preserve"> </w:t>
      </w:r>
      <w:r>
        <w:rPr>
          <w:spacing w:val="14"/>
          <w:w w:val="167"/>
          <w:u w:val="single"/>
        </w:rPr>
        <w:t xml:space="preserve"> </w:t>
      </w:r>
      <w:r>
        <w:rPr>
          <w:spacing w:val="-15"/>
          <w:w w:val="167"/>
          <w:u w:val="single"/>
        </w:rPr>
        <w:t xml:space="preserve"> </w:t>
      </w:r>
      <w:r>
        <w:rPr>
          <w:spacing w:val="16"/>
          <w:w w:val="167"/>
          <w:u w:val="single"/>
        </w:rPr>
        <w:t xml:space="preserve"> </w:t>
      </w:r>
      <w:r>
        <w:rPr>
          <w:w w:val="167"/>
        </w:rPr>
        <w:t xml:space="preserve"> </w:t>
      </w:r>
    </w:p>
    <w:p w14:paraId="5DE4900A">
      <w:pPr>
        <w:pStyle w:val="17"/>
        <w:spacing w:before="1"/>
        <w:rPr>
          <w:rFonts w:ascii="微软雅黑"/>
          <w:b/>
          <w:sz w:val="13"/>
        </w:rPr>
      </w:pPr>
    </w:p>
    <w:p w14:paraId="2ADBF878">
      <w:pPr>
        <w:pStyle w:val="317"/>
        <w:numPr>
          <w:ilvl w:val="0"/>
          <w:numId w:val="5"/>
        </w:numPr>
        <w:tabs>
          <w:tab w:val="left" w:pos="522"/>
        </w:tabs>
        <w:spacing w:before="4"/>
        <w:ind w:left="521" w:hanging="361"/>
        <w:jc w:val="left"/>
        <w:rPr>
          <w:rFonts w:ascii="微软雅黑" w:eastAsia="微软雅黑"/>
          <w:b/>
          <w:sz w:val="21"/>
        </w:rPr>
      </w:pPr>
      <w:r>
        <w:rPr>
          <w:rFonts w:hint="eastAsia" w:ascii="微软雅黑" w:eastAsia="微软雅黑"/>
          <w:b/>
          <w:spacing w:val="7"/>
          <w:sz w:val="21"/>
        </w:rPr>
        <w:t>合同附件</w:t>
      </w:r>
      <w:r>
        <w:rPr>
          <w:rFonts w:hint="eastAsia" w:ascii="微软雅黑" w:eastAsia="微软雅黑"/>
          <w:b/>
          <w:spacing w:val="7"/>
          <w:w w:val="167"/>
          <w:sz w:val="21"/>
        </w:rPr>
        <w:t xml:space="preserve"> </w:t>
      </w:r>
    </w:p>
    <w:p w14:paraId="2D7F473D">
      <w:pPr>
        <w:pStyle w:val="17"/>
        <w:spacing w:before="15"/>
        <w:rPr>
          <w:rFonts w:ascii="微软雅黑"/>
          <w:b/>
          <w:sz w:val="16"/>
        </w:rPr>
      </w:pPr>
    </w:p>
    <w:p w14:paraId="228B1440">
      <w:pPr>
        <w:pStyle w:val="17"/>
        <w:spacing w:line="415" w:lineRule="auto"/>
        <w:ind w:left="581" w:right="6457"/>
      </w:pPr>
      <w:r>
        <w:t xml:space="preserve">以下十个附件是本合同的有效组成部分： 附件 1：工程质量保修书 </w:t>
      </w:r>
    </w:p>
    <w:p w14:paraId="0D1726C0">
      <w:pPr>
        <w:pStyle w:val="17"/>
        <w:spacing w:line="269" w:lineRule="exact"/>
        <w:ind w:left="581"/>
      </w:pPr>
      <w:r>
        <w:t xml:space="preserve">附件 2：主要建设工程文件目录 </w:t>
      </w:r>
    </w:p>
    <w:p w14:paraId="76C13EDD">
      <w:pPr>
        <w:pStyle w:val="17"/>
        <w:spacing w:before="4"/>
        <w:rPr>
          <w:sz w:val="15"/>
        </w:rPr>
      </w:pPr>
    </w:p>
    <w:p w14:paraId="64DE62BC">
      <w:pPr>
        <w:pStyle w:val="17"/>
        <w:spacing w:line="415" w:lineRule="auto"/>
        <w:ind w:left="581" w:right="6923"/>
      </w:pPr>
      <w:r>
        <w:t xml:space="preserve">附件 3：承包人项目管理机构组成表附件 4：履约担保（如有） </w:t>
      </w:r>
    </w:p>
    <w:p w14:paraId="23B1D811">
      <w:pPr>
        <w:pStyle w:val="17"/>
        <w:spacing w:before="16" w:line="415" w:lineRule="auto"/>
        <w:ind w:left="581" w:right="7552"/>
      </w:pPr>
      <w:r>
        <w:rPr>
          <w:spacing w:val="-16"/>
        </w:rPr>
        <w:t xml:space="preserve">附件 </w:t>
      </w:r>
      <w:r>
        <w:t xml:space="preserve">5：预付款担保（如有） </w:t>
      </w:r>
      <w:r>
        <w:rPr>
          <w:spacing w:val="22"/>
        </w:rPr>
        <w:t xml:space="preserve">附件 </w:t>
      </w:r>
      <w:r>
        <w:t xml:space="preserve">6：支付担保（如有） </w:t>
      </w:r>
      <w:r>
        <w:rPr>
          <w:spacing w:val="22"/>
        </w:rPr>
        <w:t xml:space="preserve">附件 </w:t>
      </w:r>
      <w:r>
        <w:t>7：专业工程暂估价表</w:t>
      </w:r>
      <w:r>
        <w:rPr>
          <w:spacing w:val="-16"/>
        </w:rPr>
        <w:t xml:space="preserve">附件 </w:t>
      </w:r>
      <w:r>
        <w:t xml:space="preserve">8：廉洁从业协议 </w:t>
      </w:r>
    </w:p>
    <w:p w14:paraId="10087971">
      <w:pPr>
        <w:pStyle w:val="17"/>
        <w:spacing w:line="269" w:lineRule="exact"/>
        <w:ind w:left="581"/>
      </w:pPr>
      <w:r>
        <w:rPr>
          <w:spacing w:val="-16"/>
        </w:rPr>
        <w:t xml:space="preserve">附件 </w:t>
      </w:r>
      <w:r>
        <w:t xml:space="preserve">9：安全管理协议 </w:t>
      </w:r>
    </w:p>
    <w:p w14:paraId="50FBA5AA">
      <w:pPr>
        <w:pStyle w:val="17"/>
        <w:spacing w:before="6"/>
        <w:rPr>
          <w:sz w:val="16"/>
        </w:rPr>
      </w:pPr>
    </w:p>
    <w:p w14:paraId="3672B075">
      <w:pPr>
        <w:pStyle w:val="17"/>
        <w:ind w:left="581"/>
      </w:pPr>
      <w:r>
        <w:t xml:space="preserve">附件 10：保障农民工工资支付协议 </w:t>
      </w:r>
    </w:p>
    <w:p w14:paraId="6A7AED8C">
      <w:pPr>
        <w:pStyle w:val="17"/>
        <w:rPr>
          <w:sz w:val="20"/>
        </w:rPr>
      </w:pPr>
    </w:p>
    <w:p w14:paraId="0555347E">
      <w:pPr>
        <w:pStyle w:val="17"/>
        <w:rPr>
          <w:sz w:val="20"/>
        </w:rPr>
      </w:pPr>
    </w:p>
    <w:p w14:paraId="11A0CC66">
      <w:pPr>
        <w:pStyle w:val="17"/>
        <w:rPr>
          <w:sz w:val="20"/>
        </w:rPr>
      </w:pPr>
    </w:p>
    <w:p w14:paraId="7F90D129">
      <w:pPr>
        <w:pStyle w:val="17"/>
        <w:rPr>
          <w:sz w:val="20"/>
        </w:rPr>
      </w:pPr>
    </w:p>
    <w:p w14:paraId="2CA289EE">
      <w:pPr>
        <w:pStyle w:val="17"/>
        <w:rPr>
          <w:sz w:val="20"/>
        </w:rPr>
      </w:pPr>
    </w:p>
    <w:p w14:paraId="256707C5">
      <w:pPr>
        <w:pStyle w:val="17"/>
        <w:rPr>
          <w:sz w:val="20"/>
        </w:rPr>
      </w:pPr>
    </w:p>
    <w:p w14:paraId="7C3A943A">
      <w:pPr>
        <w:pStyle w:val="17"/>
        <w:rPr>
          <w:sz w:val="20"/>
        </w:rPr>
      </w:pPr>
    </w:p>
    <w:p w14:paraId="42741B53">
      <w:pPr>
        <w:pStyle w:val="17"/>
        <w:rPr>
          <w:sz w:val="20"/>
        </w:rPr>
      </w:pPr>
    </w:p>
    <w:p w14:paraId="30B868F8">
      <w:pPr>
        <w:pStyle w:val="17"/>
        <w:rPr>
          <w:sz w:val="20"/>
        </w:rPr>
      </w:pPr>
    </w:p>
    <w:p w14:paraId="6879A980">
      <w:pPr>
        <w:pStyle w:val="17"/>
        <w:rPr>
          <w:sz w:val="20"/>
        </w:rPr>
      </w:pPr>
    </w:p>
    <w:p w14:paraId="0FDE046F">
      <w:pPr>
        <w:pStyle w:val="17"/>
        <w:rPr>
          <w:sz w:val="20"/>
        </w:rPr>
      </w:pPr>
    </w:p>
    <w:p w14:paraId="1A360EF7">
      <w:pPr>
        <w:pStyle w:val="17"/>
        <w:rPr>
          <w:sz w:val="20"/>
        </w:rPr>
      </w:pPr>
    </w:p>
    <w:p w14:paraId="3F6AF351">
      <w:pPr>
        <w:pStyle w:val="17"/>
        <w:rPr>
          <w:sz w:val="20"/>
        </w:rPr>
      </w:pPr>
    </w:p>
    <w:p w14:paraId="032B0375">
      <w:pPr>
        <w:pStyle w:val="17"/>
        <w:rPr>
          <w:sz w:val="20"/>
        </w:rPr>
      </w:pPr>
    </w:p>
    <w:p w14:paraId="55958FAD">
      <w:pPr>
        <w:pStyle w:val="17"/>
        <w:rPr>
          <w:sz w:val="20"/>
        </w:rPr>
      </w:pPr>
    </w:p>
    <w:p w14:paraId="788CC30A">
      <w:pPr>
        <w:pStyle w:val="17"/>
        <w:rPr>
          <w:sz w:val="20"/>
        </w:rPr>
      </w:pPr>
    </w:p>
    <w:p w14:paraId="4AD6C103">
      <w:pPr>
        <w:pStyle w:val="17"/>
        <w:rPr>
          <w:sz w:val="20"/>
        </w:rPr>
      </w:pPr>
    </w:p>
    <w:p w14:paraId="74C2FE14">
      <w:pPr>
        <w:pStyle w:val="17"/>
        <w:rPr>
          <w:sz w:val="20"/>
        </w:rPr>
      </w:pPr>
    </w:p>
    <w:p w14:paraId="49D5F84E">
      <w:pPr>
        <w:pStyle w:val="17"/>
        <w:rPr>
          <w:sz w:val="20"/>
        </w:rPr>
      </w:pPr>
    </w:p>
    <w:p w14:paraId="45849F73">
      <w:pPr>
        <w:pStyle w:val="17"/>
        <w:rPr>
          <w:sz w:val="20"/>
        </w:rPr>
      </w:pPr>
    </w:p>
    <w:p w14:paraId="6700B45F">
      <w:pPr>
        <w:pStyle w:val="17"/>
        <w:rPr>
          <w:sz w:val="20"/>
        </w:rPr>
      </w:pPr>
    </w:p>
    <w:p w14:paraId="57DA86B5">
      <w:pPr>
        <w:pStyle w:val="17"/>
        <w:rPr>
          <w:sz w:val="20"/>
        </w:rPr>
      </w:pPr>
    </w:p>
    <w:p w14:paraId="61226D34">
      <w:pPr>
        <w:pStyle w:val="17"/>
        <w:rPr>
          <w:sz w:val="20"/>
        </w:rPr>
      </w:pPr>
    </w:p>
    <w:p w14:paraId="1D1BAA38">
      <w:pPr>
        <w:pStyle w:val="17"/>
        <w:spacing w:before="2"/>
        <w:rPr>
          <w:sz w:val="25"/>
        </w:rPr>
      </w:pPr>
    </w:p>
    <w:p w14:paraId="0ED50CD0">
      <w:pPr>
        <w:spacing w:before="75"/>
        <w:ind w:left="161"/>
        <w:rPr>
          <w:sz w:val="18"/>
        </w:rPr>
        <w:sectPr>
          <w:pgSz w:w="11910" w:h="16850"/>
          <w:pgMar w:top="1440" w:right="1080" w:bottom="1440" w:left="1080" w:header="0" w:footer="996" w:gutter="0"/>
          <w:cols w:space="720" w:num="1"/>
        </w:sectPr>
      </w:pPr>
    </w:p>
    <w:p w14:paraId="02A6281D">
      <w:pPr>
        <w:pStyle w:val="17"/>
        <w:spacing w:before="71"/>
      </w:pPr>
      <w:r>
        <w:t xml:space="preserve">附件 1： </w:t>
      </w:r>
    </w:p>
    <w:p w14:paraId="1EE1202E">
      <w:pPr>
        <w:pStyle w:val="17"/>
        <w:spacing w:before="7"/>
      </w:pPr>
    </w:p>
    <w:p w14:paraId="74A799CB">
      <w:pPr>
        <w:pStyle w:val="17"/>
        <w:spacing w:before="70"/>
        <w:ind w:right="709"/>
        <w:jc w:val="center"/>
      </w:pPr>
      <w:r>
        <w:t xml:space="preserve">工程质量保修书 </w:t>
      </w:r>
    </w:p>
    <w:p w14:paraId="7E90D5BB">
      <w:pPr>
        <w:pStyle w:val="17"/>
        <w:spacing w:before="10"/>
        <w:rPr>
          <w:sz w:val="14"/>
        </w:rPr>
      </w:pPr>
    </w:p>
    <w:p w14:paraId="6CB93226">
      <w:pPr>
        <w:tabs>
          <w:tab w:val="left" w:pos="2568"/>
          <w:tab w:val="left" w:pos="4851"/>
        </w:tabs>
        <w:ind w:right="3322"/>
        <w:jc w:val="both"/>
        <w:rPr>
          <w:rFonts w:ascii="微软雅黑" w:eastAsia="微软雅黑"/>
          <w:b/>
          <w:sz w:val="21"/>
        </w:rPr>
      </w:pPr>
      <w:r>
        <w:rPr>
          <w:lang w:val="en-US" w:bidi="ar-SA"/>
        </w:rPr>
        <w:drawing>
          <wp:anchor distT="0" distB="0" distL="0" distR="0" simplePos="0" relativeHeight="251710464" behindDoc="1" locked="0" layoutInCell="1" allowOverlap="1">
            <wp:simplePos x="0" y="0"/>
            <wp:positionH relativeFrom="page">
              <wp:posOffset>2193290</wp:posOffset>
            </wp:positionH>
            <wp:positionV relativeFrom="paragraph">
              <wp:posOffset>61595</wp:posOffset>
            </wp:positionV>
            <wp:extent cx="667385" cy="133350"/>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11488" behindDoc="1" locked="0" layoutInCell="1" allowOverlap="1">
            <wp:simplePos x="0" y="0"/>
            <wp:positionH relativeFrom="page">
              <wp:posOffset>3909695</wp:posOffset>
            </wp:positionH>
            <wp:positionV relativeFrom="paragraph">
              <wp:posOffset>61595</wp:posOffset>
            </wp:positionV>
            <wp:extent cx="400685" cy="13335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sz w:val="21"/>
        </w:rPr>
        <w:t>发</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rFonts w:hint="eastAsia"/>
          <w:color w:val="000000"/>
          <w:sz w:val="21"/>
          <w:u w:val="single"/>
        </w:rPr>
        <w:t>重庆经开区开发建设有限公司</w:t>
      </w:r>
      <w:r>
        <w:rPr>
          <w:spacing w:val="-31"/>
          <w:sz w:val="21"/>
          <w:u w:val="single"/>
        </w:rPr>
        <w:t xml:space="preserve"> </w:t>
      </w:r>
      <w:r>
        <w:rPr>
          <w:sz w:val="21"/>
          <w:u w:val="single"/>
        </w:rPr>
        <w:t xml:space="preserve">   </w:t>
      </w:r>
      <w:r>
        <w:rPr>
          <w:rFonts w:hint="eastAsia" w:ascii="微软雅黑" w:eastAsia="微软雅黑"/>
          <w:b/>
          <w:w w:val="167"/>
          <w:sz w:val="21"/>
        </w:rPr>
        <w:t xml:space="preserve"> </w:t>
      </w:r>
    </w:p>
    <w:p w14:paraId="14EC8930">
      <w:pPr>
        <w:tabs>
          <w:tab w:val="left" w:pos="3315"/>
          <w:tab w:val="left" w:pos="5598"/>
        </w:tabs>
        <w:spacing w:before="34"/>
        <w:rPr>
          <w:rFonts w:ascii="微软雅黑" w:eastAsia="微软雅黑"/>
          <w:b/>
          <w:sz w:val="21"/>
        </w:rPr>
      </w:pPr>
      <w:r>
        <w:rPr>
          <w:lang w:val="en-US" w:bidi="ar-SA"/>
        </w:rPr>
        <w:drawing>
          <wp:anchor distT="0" distB="0" distL="0" distR="0" simplePos="0" relativeHeight="251712512" behindDoc="1" locked="0" layoutInCell="1" allowOverlap="1">
            <wp:simplePos x="0" y="0"/>
            <wp:positionH relativeFrom="page">
              <wp:posOffset>2193290</wp:posOffset>
            </wp:positionH>
            <wp:positionV relativeFrom="paragraph">
              <wp:posOffset>83185</wp:posOffset>
            </wp:positionV>
            <wp:extent cx="667385" cy="133350"/>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13536" behindDoc="1" locked="0" layoutInCell="1" allowOverlap="1">
            <wp:simplePos x="0" y="0"/>
            <wp:positionH relativeFrom="page">
              <wp:posOffset>3909695</wp:posOffset>
            </wp:positionH>
            <wp:positionV relativeFrom="paragraph">
              <wp:posOffset>83185</wp:posOffset>
            </wp:positionV>
            <wp:extent cx="400685" cy="133350"/>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sz w:val="21"/>
        </w:rPr>
        <w:t>承</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u w:val="single"/>
        </w:rPr>
        <w:t xml:space="preserve">                         </w:t>
      </w:r>
      <w:r>
        <w:rPr>
          <w:rFonts w:hint="eastAsia"/>
          <w:sz w:val="21"/>
          <w:u w:val="single"/>
          <w:lang w:val="en-US"/>
        </w:rPr>
        <w:t xml:space="preserve">  </w:t>
      </w:r>
      <w:r>
        <w:rPr>
          <w:sz w:val="21"/>
          <w:u w:val="single"/>
        </w:rPr>
        <w:t xml:space="preserve"> </w:t>
      </w:r>
      <w:r>
        <w:rPr>
          <w:spacing w:val="1"/>
          <w:sz w:val="21"/>
          <w:u w:val="single"/>
        </w:rPr>
        <w:t xml:space="preserve"> </w:t>
      </w:r>
      <w:r>
        <w:rPr>
          <w:rFonts w:hint="eastAsia" w:ascii="微软雅黑" w:eastAsia="微软雅黑"/>
          <w:b/>
          <w:w w:val="167"/>
          <w:sz w:val="21"/>
        </w:rPr>
        <w:t xml:space="preserve"> </w:t>
      </w:r>
    </w:p>
    <w:p w14:paraId="6CCA7010">
      <w:pPr>
        <w:pStyle w:val="17"/>
        <w:spacing w:before="9"/>
        <w:rPr>
          <w:rFonts w:ascii="微软雅黑"/>
          <w:b/>
          <w:sz w:val="6"/>
        </w:rPr>
      </w:pPr>
    </w:p>
    <w:p w14:paraId="0FA63DE2">
      <w:pPr>
        <w:pStyle w:val="17"/>
        <w:spacing w:before="70"/>
        <w:ind w:left="746"/>
      </w:pPr>
      <w:r>
        <w:t xml:space="preserve">发包人和承包人根据《中华人民共和国建筑法》和《建设工程质量管理条例》，经协商一致就 </w:t>
      </w:r>
    </w:p>
    <w:p w14:paraId="36CBE822">
      <w:pPr>
        <w:pStyle w:val="17"/>
        <w:spacing w:before="4"/>
        <w:rPr>
          <w:sz w:val="15"/>
        </w:rPr>
      </w:pPr>
    </w:p>
    <w:p w14:paraId="028EBEBF">
      <w:pPr>
        <w:pStyle w:val="17"/>
        <w:spacing w:before="1"/>
        <w:ind w:left="326"/>
      </w:pPr>
      <w:r>
        <w:rPr>
          <w:u w:val="single"/>
        </w:rPr>
        <w:t xml:space="preserve">  </w:t>
      </w:r>
      <w:r>
        <w:rPr>
          <w:rFonts w:hint="eastAsia"/>
          <w:u w:val="single"/>
        </w:rPr>
        <w:t>开成路、横六路道路交安提升及绿化补栽工程</w:t>
      </w:r>
      <w:r>
        <w:rPr>
          <w:u w:val="single"/>
        </w:rPr>
        <w:t xml:space="preserve">     </w:t>
      </w:r>
      <w:r>
        <w:t xml:space="preserve">（工程全称）签订工程质量保修书。 </w:t>
      </w:r>
    </w:p>
    <w:p w14:paraId="1746F87A">
      <w:pPr>
        <w:pStyle w:val="17"/>
        <w:spacing w:before="10"/>
        <w:rPr>
          <w:sz w:val="9"/>
        </w:rPr>
      </w:pPr>
    </w:p>
    <w:p w14:paraId="537DFC68">
      <w:pPr>
        <w:pStyle w:val="17"/>
        <w:spacing w:before="71"/>
        <w:ind w:left="746"/>
      </w:pPr>
      <w:r>
        <w:t xml:space="preserve">一、工程质量保修范围和内容 </w:t>
      </w:r>
    </w:p>
    <w:p w14:paraId="4109BF98">
      <w:pPr>
        <w:pStyle w:val="17"/>
        <w:spacing w:before="4"/>
        <w:rPr>
          <w:sz w:val="15"/>
        </w:rPr>
      </w:pPr>
    </w:p>
    <w:p w14:paraId="61F27B87">
      <w:pPr>
        <w:pStyle w:val="17"/>
        <w:ind w:left="746"/>
      </w:pPr>
      <w:r>
        <w:t xml:space="preserve">承包人在质量保修期内，按照有关法律规定和合同约定，承担工程质量保修责任。 </w:t>
      </w:r>
    </w:p>
    <w:p w14:paraId="07803EAE">
      <w:pPr>
        <w:pStyle w:val="17"/>
        <w:spacing w:before="6"/>
        <w:rPr>
          <w:sz w:val="16"/>
        </w:rPr>
      </w:pPr>
    </w:p>
    <w:p w14:paraId="523573AB">
      <w:pPr>
        <w:pStyle w:val="17"/>
        <w:spacing w:line="415" w:lineRule="auto"/>
        <w:ind w:left="326" w:right="1114" w:firstLine="420"/>
        <w:jc w:val="both"/>
      </w:pPr>
      <w: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 </w:t>
      </w:r>
    </w:p>
    <w:p w14:paraId="0F4DE21E">
      <w:pPr>
        <w:pStyle w:val="17"/>
        <w:spacing w:line="269" w:lineRule="exact"/>
        <w:ind w:left="746"/>
      </w:pPr>
      <w:r>
        <w:t xml:space="preserve">承包人承包范围内容均属质量保修范围内容；其中： </w:t>
      </w:r>
    </w:p>
    <w:p w14:paraId="5D1F4BAF">
      <w:pPr>
        <w:pStyle w:val="17"/>
        <w:spacing w:before="4"/>
        <w:rPr>
          <w:sz w:val="15"/>
        </w:rPr>
      </w:pPr>
    </w:p>
    <w:p w14:paraId="5FD96468">
      <w:pPr>
        <w:pStyle w:val="317"/>
        <w:numPr>
          <w:ilvl w:val="0"/>
          <w:numId w:val="77"/>
        </w:numPr>
        <w:tabs>
          <w:tab w:val="left" w:pos="958"/>
        </w:tabs>
        <w:ind w:hanging="212"/>
        <w:rPr>
          <w:sz w:val="21"/>
        </w:rPr>
      </w:pPr>
      <w:r>
        <w:rPr>
          <w:spacing w:val="-1"/>
          <w:sz w:val="21"/>
        </w:rPr>
        <w:t>属于设计原因造成的质量问题，承包人负责维修，不留隐患，费用由发包人承担；</w:t>
      </w:r>
      <w:r>
        <w:rPr>
          <w:sz w:val="21"/>
        </w:rPr>
        <w:t xml:space="preserve"> </w:t>
      </w:r>
    </w:p>
    <w:p w14:paraId="2590954A">
      <w:pPr>
        <w:pStyle w:val="17"/>
        <w:spacing w:before="7"/>
        <w:rPr>
          <w:sz w:val="16"/>
        </w:rPr>
      </w:pPr>
    </w:p>
    <w:p w14:paraId="004894E8">
      <w:pPr>
        <w:pStyle w:val="317"/>
        <w:numPr>
          <w:ilvl w:val="0"/>
          <w:numId w:val="77"/>
        </w:numPr>
        <w:tabs>
          <w:tab w:val="left" w:pos="958"/>
        </w:tabs>
        <w:ind w:hanging="212"/>
        <w:rPr>
          <w:sz w:val="21"/>
        </w:rPr>
      </w:pPr>
      <w:r>
        <w:rPr>
          <w:spacing w:val="-1"/>
          <w:sz w:val="21"/>
        </w:rPr>
        <w:t>属于施工造成的质量问题，承包人负责维修，不留隐患；</w:t>
      </w:r>
      <w:r>
        <w:rPr>
          <w:sz w:val="21"/>
        </w:rPr>
        <w:t xml:space="preserve"> </w:t>
      </w:r>
    </w:p>
    <w:p w14:paraId="720338A7">
      <w:pPr>
        <w:pStyle w:val="17"/>
        <w:spacing w:before="4"/>
        <w:rPr>
          <w:sz w:val="15"/>
        </w:rPr>
      </w:pPr>
    </w:p>
    <w:p w14:paraId="07393942">
      <w:pPr>
        <w:pStyle w:val="317"/>
        <w:numPr>
          <w:ilvl w:val="0"/>
          <w:numId w:val="77"/>
        </w:numPr>
        <w:tabs>
          <w:tab w:val="left" w:pos="958"/>
        </w:tabs>
        <w:spacing w:line="415" w:lineRule="auto"/>
        <w:ind w:left="746" w:right="3557" w:firstLine="0"/>
        <w:rPr>
          <w:sz w:val="21"/>
        </w:rPr>
      </w:pPr>
      <w:r>
        <w:rPr>
          <w:spacing w:val="-1"/>
          <w:sz w:val="21"/>
        </w:rPr>
        <w:t>属于业主使用不当造成的质量问题，配合抢修，费用由发包人承担。</w:t>
      </w:r>
      <w:r>
        <w:rPr>
          <w:sz w:val="21"/>
        </w:rPr>
        <w:t xml:space="preserve">二、质量保修期 </w:t>
      </w:r>
    </w:p>
    <w:p w14:paraId="36D6A5C5">
      <w:pPr>
        <w:pStyle w:val="17"/>
        <w:spacing w:line="269" w:lineRule="exact"/>
        <w:ind w:left="746"/>
      </w:pPr>
      <w:r>
        <w:t xml:space="preserve">根据《建设工程质量管理条例》及有关规定，本工程质量保修期约定如下： </w:t>
      </w:r>
    </w:p>
    <w:p w14:paraId="33C06B6C">
      <w:pPr>
        <w:pStyle w:val="17"/>
        <w:spacing w:before="4"/>
        <w:rPr>
          <w:sz w:val="15"/>
        </w:rPr>
      </w:pPr>
    </w:p>
    <w:p w14:paraId="23625881">
      <w:pPr>
        <w:pStyle w:val="317"/>
        <w:numPr>
          <w:ilvl w:val="0"/>
          <w:numId w:val="78"/>
        </w:numPr>
        <w:tabs>
          <w:tab w:val="left" w:pos="958"/>
        </w:tabs>
        <w:spacing w:line="429" w:lineRule="auto"/>
        <w:ind w:right="1129" w:firstLine="420"/>
        <w:jc w:val="left"/>
        <w:rPr>
          <w:sz w:val="21"/>
        </w:rPr>
      </w:pPr>
      <w:r>
        <w:rPr>
          <w:sz w:val="21"/>
        </w:rPr>
        <w:t xml:space="preserve">基础设施工程、房屋建筑的地基基础工程和主体结构工程，为设计文件规定的该工程的合理使用年限； </w:t>
      </w:r>
    </w:p>
    <w:p w14:paraId="28DC0632">
      <w:pPr>
        <w:spacing w:line="429" w:lineRule="auto"/>
        <w:rPr>
          <w:sz w:val="21"/>
        </w:rPr>
        <w:sectPr>
          <w:pgSz w:w="11910" w:h="16850"/>
          <w:pgMar w:top="1440" w:right="1080" w:bottom="1440" w:left="1080" w:header="0" w:footer="996" w:gutter="0"/>
          <w:cols w:space="720" w:num="1"/>
        </w:sectPr>
      </w:pPr>
    </w:p>
    <w:p w14:paraId="368B2731">
      <w:pPr>
        <w:pStyle w:val="317"/>
        <w:numPr>
          <w:ilvl w:val="0"/>
          <w:numId w:val="78"/>
        </w:numPr>
        <w:tabs>
          <w:tab w:val="left" w:pos="793"/>
        </w:tabs>
        <w:spacing w:before="46"/>
        <w:ind w:left="793" w:hanging="212"/>
        <w:jc w:val="left"/>
        <w:rPr>
          <w:sz w:val="21"/>
        </w:rPr>
      </w:pPr>
      <w:r>
        <w:rPr>
          <w:spacing w:val="-3"/>
          <w:sz w:val="21"/>
        </w:rPr>
        <w:t xml:space="preserve">屋面防水工程、有防水要求的卫生间、房间和外墙面的防渗漏，为 </w:t>
      </w:r>
      <w:r>
        <w:rPr>
          <w:sz w:val="21"/>
        </w:rPr>
        <w:t>5</w:t>
      </w:r>
      <w:r>
        <w:rPr>
          <w:spacing w:val="-16"/>
          <w:sz w:val="21"/>
        </w:rPr>
        <w:t xml:space="preserve"> 年； </w:t>
      </w:r>
    </w:p>
    <w:p w14:paraId="584CDD43">
      <w:pPr>
        <w:pStyle w:val="17"/>
        <w:spacing w:before="4"/>
        <w:rPr>
          <w:sz w:val="15"/>
        </w:rPr>
      </w:pPr>
    </w:p>
    <w:p w14:paraId="4C29B979">
      <w:pPr>
        <w:pStyle w:val="317"/>
        <w:numPr>
          <w:ilvl w:val="0"/>
          <w:numId w:val="78"/>
        </w:numPr>
        <w:tabs>
          <w:tab w:val="left" w:pos="793"/>
        </w:tabs>
        <w:ind w:left="793" w:hanging="212"/>
        <w:jc w:val="left"/>
        <w:rPr>
          <w:sz w:val="21"/>
        </w:rPr>
      </w:pPr>
      <w:r>
        <w:rPr>
          <w:spacing w:val="-5"/>
          <w:sz w:val="21"/>
        </w:rPr>
        <w:t xml:space="preserve">供热与供冷系统，为 </w:t>
      </w:r>
      <w:r>
        <w:rPr>
          <w:sz w:val="21"/>
        </w:rPr>
        <w:t>2</w:t>
      </w:r>
      <w:r>
        <w:rPr>
          <w:spacing w:val="-7"/>
          <w:sz w:val="21"/>
        </w:rPr>
        <w:t xml:space="preserve"> 个采暖期、供冷期； </w:t>
      </w:r>
    </w:p>
    <w:p w14:paraId="700EB953">
      <w:pPr>
        <w:pStyle w:val="17"/>
        <w:spacing w:before="4"/>
        <w:rPr>
          <w:sz w:val="15"/>
        </w:rPr>
      </w:pPr>
    </w:p>
    <w:p w14:paraId="502DE3DD">
      <w:pPr>
        <w:pStyle w:val="317"/>
        <w:numPr>
          <w:ilvl w:val="0"/>
          <w:numId w:val="78"/>
        </w:numPr>
        <w:tabs>
          <w:tab w:val="left" w:pos="793"/>
        </w:tabs>
        <w:ind w:left="793" w:hanging="212"/>
        <w:jc w:val="left"/>
        <w:rPr>
          <w:sz w:val="21"/>
        </w:rPr>
      </w:pPr>
      <w:r>
        <w:rPr>
          <w:spacing w:val="-3"/>
          <w:sz w:val="21"/>
        </w:rPr>
        <w:t xml:space="preserve">电气管线、给排水管道、设备安装和装修工程，为 </w:t>
      </w:r>
      <w:r>
        <w:rPr>
          <w:sz w:val="21"/>
        </w:rPr>
        <w:t>2</w:t>
      </w:r>
      <w:r>
        <w:rPr>
          <w:spacing w:val="-16"/>
          <w:sz w:val="21"/>
        </w:rPr>
        <w:t xml:space="preserve"> 年； </w:t>
      </w:r>
    </w:p>
    <w:p w14:paraId="217FE9C4">
      <w:pPr>
        <w:pStyle w:val="17"/>
        <w:spacing w:before="9"/>
        <w:rPr>
          <w:sz w:val="15"/>
        </w:rPr>
      </w:pPr>
    </w:p>
    <w:p w14:paraId="2728BBFE">
      <w:pPr>
        <w:pStyle w:val="317"/>
        <w:numPr>
          <w:ilvl w:val="0"/>
          <w:numId w:val="78"/>
        </w:numPr>
        <w:tabs>
          <w:tab w:val="left" w:pos="793"/>
        </w:tabs>
        <w:spacing w:line="405" w:lineRule="auto"/>
        <w:ind w:left="581" w:right="3979" w:firstLine="0"/>
        <w:jc w:val="left"/>
        <w:rPr>
          <w:sz w:val="21"/>
        </w:rPr>
      </w:pPr>
      <w:r>
        <w:rPr>
          <w:w w:val="95"/>
          <w:sz w:val="21"/>
        </w:rPr>
        <w:t>其他项目保修期限：2</w:t>
      </w:r>
      <w:r>
        <w:rPr>
          <w:spacing w:val="1"/>
          <w:w w:val="95"/>
          <w:sz w:val="21"/>
        </w:rPr>
        <w:t xml:space="preserve"> 年；</w:t>
      </w:r>
      <w:r>
        <w:rPr>
          <w:w w:val="95"/>
        </w:rPr>
        <w:t>[</w:t>
      </w:r>
      <w:r>
        <w:rPr>
          <w:rFonts w:hint="eastAsia" w:ascii="仿宋" w:eastAsia="仿宋"/>
          <w:spacing w:val="-1"/>
          <w:w w:val="95"/>
        </w:rPr>
        <w:t>提示：如有不同，根据具体情况修改</w:t>
      </w:r>
      <w:r>
        <w:rPr>
          <w:w w:val="95"/>
        </w:rPr>
        <w:t xml:space="preserve">] </w:t>
      </w:r>
      <w:r>
        <w:rPr>
          <w:spacing w:val="-1"/>
          <w:sz w:val="21"/>
        </w:rPr>
        <w:t>建设工程的保修期，自工程竣工验收合格之日起计算。</w:t>
      </w:r>
      <w:r>
        <w:rPr>
          <w:sz w:val="21"/>
        </w:rPr>
        <w:t xml:space="preserve"> </w:t>
      </w:r>
    </w:p>
    <w:p w14:paraId="243C7DE6">
      <w:pPr>
        <w:pStyle w:val="17"/>
        <w:spacing w:before="10"/>
        <w:ind w:left="581"/>
      </w:pPr>
      <w:r>
        <w:t xml:space="preserve">三、质量保修责任 </w:t>
      </w:r>
    </w:p>
    <w:p w14:paraId="759762B8">
      <w:pPr>
        <w:pStyle w:val="17"/>
        <w:spacing w:before="4"/>
        <w:rPr>
          <w:sz w:val="15"/>
        </w:rPr>
      </w:pPr>
    </w:p>
    <w:p w14:paraId="059DF127">
      <w:pPr>
        <w:pStyle w:val="317"/>
        <w:numPr>
          <w:ilvl w:val="0"/>
          <w:numId w:val="79"/>
        </w:numPr>
        <w:tabs>
          <w:tab w:val="left" w:pos="793"/>
        </w:tabs>
        <w:spacing w:before="1" w:line="415" w:lineRule="auto"/>
        <w:ind w:right="1286" w:firstLine="420"/>
        <w:rPr>
          <w:sz w:val="21"/>
        </w:rPr>
      </w:pPr>
      <w:r>
        <w:rPr>
          <w:spacing w:val="-2"/>
          <w:sz w:val="21"/>
        </w:rPr>
        <w:t xml:space="preserve">属于保修范围、内容的项目，承包人应当在接到保修通知之日起 </w:t>
      </w:r>
      <w:r>
        <w:rPr>
          <w:sz w:val="21"/>
        </w:rPr>
        <w:t>7</w:t>
      </w:r>
      <w:r>
        <w:rPr>
          <w:spacing w:val="-7"/>
          <w:sz w:val="21"/>
        </w:rPr>
        <w:t xml:space="preserve"> 天内派人保修。承包人不在约定期限内派人保修的，发包人可以委托他人修理。</w:t>
      </w:r>
      <w:r>
        <w:rPr>
          <w:sz w:val="21"/>
        </w:rPr>
        <w:t xml:space="preserve"> </w:t>
      </w:r>
    </w:p>
    <w:p w14:paraId="1DCF6A65">
      <w:pPr>
        <w:pStyle w:val="317"/>
        <w:numPr>
          <w:ilvl w:val="0"/>
          <w:numId w:val="79"/>
        </w:numPr>
        <w:tabs>
          <w:tab w:val="left" w:pos="793"/>
        </w:tabs>
        <w:spacing w:before="14"/>
        <w:ind w:left="793" w:hanging="212"/>
        <w:rPr>
          <w:sz w:val="21"/>
        </w:rPr>
      </w:pPr>
      <w:r>
        <w:rPr>
          <w:spacing w:val="-1"/>
          <w:sz w:val="21"/>
        </w:rPr>
        <w:t>发生紧急事故需抢修的，承包人在接到事故通知后，应当立即到达事故现场抢修。</w:t>
      </w:r>
      <w:r>
        <w:rPr>
          <w:sz w:val="21"/>
        </w:rPr>
        <w:t xml:space="preserve"> </w:t>
      </w:r>
    </w:p>
    <w:p w14:paraId="3FCD0B2D">
      <w:pPr>
        <w:pStyle w:val="17"/>
        <w:spacing w:before="4"/>
        <w:rPr>
          <w:sz w:val="15"/>
        </w:rPr>
      </w:pPr>
    </w:p>
    <w:p w14:paraId="52F7CE15">
      <w:pPr>
        <w:pStyle w:val="317"/>
        <w:numPr>
          <w:ilvl w:val="0"/>
          <w:numId w:val="79"/>
        </w:numPr>
        <w:tabs>
          <w:tab w:val="left" w:pos="793"/>
        </w:tabs>
        <w:spacing w:line="415" w:lineRule="auto"/>
        <w:ind w:right="1279" w:firstLine="420"/>
        <w:jc w:val="both"/>
        <w:rPr>
          <w:sz w:val="21"/>
        </w:rPr>
      </w:pPr>
      <w:r>
        <w:rPr>
          <w:spacing w:val="-1"/>
          <w:sz w:val="21"/>
        </w:rPr>
        <w:t xml:space="preserve">对于涉及结构安全的质量问题，应当按照《房屋建筑工程质量保修办法》的规定，立即向当地建设行政主管部门报告，采取安全防范措施；由原设计单位或者具有相应资质等级的设计单位提出保修方案，承包人实施保修。 </w:t>
      </w:r>
    </w:p>
    <w:p w14:paraId="082F5B9B">
      <w:pPr>
        <w:pStyle w:val="317"/>
        <w:numPr>
          <w:ilvl w:val="0"/>
          <w:numId w:val="79"/>
        </w:numPr>
        <w:tabs>
          <w:tab w:val="left" w:pos="793"/>
        </w:tabs>
        <w:spacing w:before="1" w:line="429" w:lineRule="auto"/>
        <w:ind w:left="581" w:right="6457" w:firstLine="0"/>
        <w:rPr>
          <w:sz w:val="21"/>
        </w:rPr>
      </w:pPr>
      <w:r>
        <w:rPr>
          <w:spacing w:val="-1"/>
          <w:sz w:val="21"/>
        </w:rPr>
        <w:t>质量保修完成后，由发包人组织验收。</w:t>
      </w:r>
      <w:r>
        <w:rPr>
          <w:sz w:val="21"/>
        </w:rPr>
        <w:t xml:space="preserve">四、保修费用 </w:t>
      </w:r>
    </w:p>
    <w:p w14:paraId="1A6FA90E">
      <w:pPr>
        <w:pStyle w:val="17"/>
        <w:spacing w:line="251" w:lineRule="exact"/>
        <w:ind w:left="581"/>
      </w:pPr>
      <w:r>
        <w:t xml:space="preserve">保修费用由质量缺陷的责任方承担。 </w:t>
      </w:r>
    </w:p>
    <w:p w14:paraId="59108B6E">
      <w:pPr>
        <w:pStyle w:val="17"/>
        <w:spacing w:before="4"/>
        <w:rPr>
          <w:sz w:val="15"/>
        </w:rPr>
      </w:pPr>
    </w:p>
    <w:p w14:paraId="41FF6FED">
      <w:pPr>
        <w:pStyle w:val="17"/>
        <w:spacing w:line="415" w:lineRule="auto"/>
        <w:ind w:left="581" w:right="6666"/>
      </w:pPr>
      <w:r>
        <w:t>五、双方约定的其他工程质量保修事项</w:t>
      </w:r>
      <w:r>
        <w:rPr>
          <w:u w:val="single"/>
        </w:rPr>
        <w:t>按国家相关法律和规定执行</w:t>
      </w:r>
      <w:r>
        <w:t xml:space="preserve">。 </w:t>
      </w:r>
    </w:p>
    <w:p w14:paraId="60B2B776">
      <w:pPr>
        <w:pStyle w:val="17"/>
        <w:spacing w:line="429" w:lineRule="auto"/>
        <w:ind w:left="161" w:right="1294" w:firstLine="420"/>
      </w:pPr>
      <w:r>
        <w:t xml:space="preserve">本工程质量保修书由发包人、承包人在工程竣工验收前共同签署，作为施工合同附件，其有效期限至保修期满。 </w:t>
      </w:r>
    </w:p>
    <w:p w14:paraId="546520DE">
      <w:pPr>
        <w:pStyle w:val="17"/>
        <w:spacing w:line="251" w:lineRule="exact"/>
        <w:ind w:left="581"/>
      </w:pPr>
      <w:r>
        <w:t xml:space="preserve">六、本文件生效 </w:t>
      </w:r>
    </w:p>
    <w:p w14:paraId="5F62B92D">
      <w:pPr>
        <w:pStyle w:val="17"/>
        <w:spacing w:before="4"/>
        <w:rPr>
          <w:sz w:val="15"/>
        </w:rPr>
      </w:pPr>
    </w:p>
    <w:p w14:paraId="51F62CF9">
      <w:pPr>
        <w:pStyle w:val="17"/>
        <w:ind w:left="581"/>
      </w:pPr>
      <w:r>
        <w:t xml:space="preserve">本工程质量保修书经发包人与承包人盖章后生效。 </w:t>
      </w:r>
    </w:p>
    <w:p w14:paraId="0FAB7ED6">
      <w:pPr>
        <w:pStyle w:val="17"/>
        <w:rPr>
          <w:sz w:val="20"/>
        </w:rPr>
      </w:pPr>
    </w:p>
    <w:p w14:paraId="6F649DCF">
      <w:pPr>
        <w:pStyle w:val="17"/>
        <w:spacing w:before="7"/>
        <w:rPr>
          <w:sz w:val="15"/>
        </w:rPr>
      </w:pPr>
    </w:p>
    <w:p w14:paraId="401C558F">
      <w:pPr>
        <w:pStyle w:val="17"/>
        <w:spacing w:before="71"/>
        <w:ind w:left="581"/>
      </w:pPr>
      <w:r>
        <w:t>发 包 人 ：</w:t>
      </w:r>
      <w:r>
        <w:rPr>
          <w:rFonts w:hint="eastAsia"/>
          <w:lang w:val="en-US"/>
        </w:rPr>
        <w:t xml:space="preserve"> </w:t>
      </w:r>
      <w:r>
        <w:rPr>
          <w:rFonts w:hint="eastAsia"/>
          <w:color w:val="000000"/>
          <w:u w:val="single"/>
        </w:rPr>
        <w:t>重庆经开区开发建设有限公司</w:t>
      </w:r>
      <w:r>
        <w:rPr>
          <w:spacing w:val="-31"/>
          <w:u w:val="single"/>
        </w:rPr>
        <w:t xml:space="preserve"> </w:t>
      </w:r>
      <w:r>
        <w:rPr>
          <w:u w:val="single"/>
        </w:rPr>
        <w:t xml:space="preserve">  </w:t>
      </w:r>
      <w:r>
        <w:t xml:space="preserve">（ 盖 单 位 公 章 ） </w:t>
      </w:r>
    </w:p>
    <w:p w14:paraId="13BA15B2">
      <w:pPr>
        <w:pStyle w:val="17"/>
        <w:spacing w:before="8"/>
        <w:rPr>
          <w:sz w:val="23"/>
        </w:rPr>
      </w:pPr>
    </w:p>
    <w:p w14:paraId="1C704ED4">
      <w:pPr>
        <w:pStyle w:val="17"/>
        <w:spacing w:before="70"/>
        <w:ind w:left="581"/>
      </w:pPr>
      <w:r>
        <w:t>法定代表人或其委托代理人：</w:t>
      </w:r>
      <w:r>
        <w:rPr>
          <w:rFonts w:hint="eastAsia"/>
          <w:u w:val="single"/>
          <w:lang w:val="en-US"/>
        </w:rPr>
        <w:t xml:space="preserve">                </w:t>
      </w:r>
      <w:r>
        <w:rPr>
          <w:u w:val="single"/>
        </w:rPr>
        <w:t xml:space="preserve"> </w:t>
      </w:r>
      <w:r>
        <w:t xml:space="preserve">（签字） </w:t>
      </w:r>
    </w:p>
    <w:p w14:paraId="22E5D700">
      <w:pPr>
        <w:pStyle w:val="17"/>
        <w:rPr>
          <w:sz w:val="20"/>
        </w:rPr>
      </w:pPr>
    </w:p>
    <w:p w14:paraId="20E7BD27">
      <w:pPr>
        <w:pStyle w:val="17"/>
        <w:spacing w:before="8"/>
        <w:rPr>
          <w:sz w:val="23"/>
        </w:rPr>
      </w:pPr>
    </w:p>
    <w:p w14:paraId="4A23A813">
      <w:pPr>
        <w:pStyle w:val="17"/>
        <w:spacing w:before="71"/>
        <w:ind w:left="581"/>
      </w:pPr>
      <w:r>
        <w:t>承 包 人 ：</w:t>
      </w:r>
      <w:r>
        <w:rPr>
          <w:u w:val="single"/>
        </w:rPr>
        <w:t xml:space="preserve">                              </w:t>
      </w:r>
      <w:r>
        <w:t xml:space="preserve">（ 盖 单 位 公 章 ） </w:t>
      </w:r>
    </w:p>
    <w:p w14:paraId="34F16615">
      <w:pPr>
        <w:pStyle w:val="17"/>
        <w:spacing w:before="10"/>
        <w:rPr>
          <w:sz w:val="9"/>
        </w:rPr>
      </w:pPr>
    </w:p>
    <w:p w14:paraId="40778B1A">
      <w:pPr>
        <w:pStyle w:val="17"/>
        <w:spacing w:before="9"/>
        <w:rPr>
          <w:sz w:val="15"/>
        </w:rPr>
      </w:pPr>
      <w:r>
        <w:t xml:space="preserve"> </w:t>
      </w:r>
    </w:p>
    <w:p w14:paraId="5C3B8A83">
      <w:pPr>
        <w:pStyle w:val="17"/>
        <w:spacing w:before="71"/>
        <w:ind w:firstLine="630" w:firstLineChars="300"/>
      </w:pPr>
      <w:r>
        <w:t>法定代表人或其委托代理人：</w:t>
      </w:r>
      <w:r>
        <w:rPr>
          <w:rFonts w:hint="eastAsia"/>
          <w:u w:val="single"/>
          <w:lang w:val="en-US"/>
        </w:rPr>
        <w:t xml:space="preserve">                 </w:t>
      </w:r>
      <w:r>
        <w:t xml:space="preserve">（签字） </w:t>
      </w:r>
    </w:p>
    <w:p w14:paraId="1EC203BC">
      <w:pPr>
        <w:pStyle w:val="17"/>
        <w:rPr>
          <w:sz w:val="20"/>
        </w:rPr>
      </w:pPr>
    </w:p>
    <w:p w14:paraId="754F5D8E">
      <w:pPr>
        <w:pStyle w:val="17"/>
        <w:spacing w:before="7"/>
        <w:rPr>
          <w:sz w:val="23"/>
        </w:rPr>
      </w:pPr>
    </w:p>
    <w:p w14:paraId="7412B54F">
      <w:pPr>
        <w:pStyle w:val="17"/>
        <w:spacing w:before="71"/>
        <w:ind w:left="746"/>
      </w:pPr>
      <w:r>
        <w:t>签约时间：</w:t>
      </w:r>
      <w:r>
        <w:rPr>
          <w:spacing w:val="104"/>
          <w:u w:val="single"/>
        </w:rPr>
        <w:t xml:space="preserve"> </w:t>
      </w:r>
      <w:r>
        <w:rPr>
          <w:rFonts w:hint="eastAsia"/>
          <w:spacing w:val="104"/>
          <w:u w:val="single"/>
          <w:lang w:val="en-US"/>
        </w:rPr>
        <w:t xml:space="preserve">   </w:t>
      </w:r>
      <w:r>
        <w:t>年</w:t>
      </w:r>
      <w:r>
        <w:rPr>
          <w:u w:val="single"/>
        </w:rPr>
        <w:t xml:space="preserve"> </w:t>
      </w:r>
      <w:r>
        <w:rPr>
          <w:rFonts w:hint="eastAsia"/>
          <w:u w:val="single"/>
          <w:lang w:val="en-US"/>
        </w:rPr>
        <w:t xml:space="preserve">      </w:t>
      </w:r>
      <w:r>
        <w:rPr>
          <w:u w:val="single"/>
        </w:rPr>
        <w:t xml:space="preserve"> </w:t>
      </w:r>
      <w:r>
        <w:t>月</w:t>
      </w:r>
      <w:r>
        <w:rPr>
          <w:u w:val="single"/>
        </w:rPr>
        <w:t xml:space="preserve"> </w:t>
      </w:r>
      <w:r>
        <w:rPr>
          <w:rFonts w:hint="eastAsia"/>
          <w:u w:val="single"/>
          <w:lang w:val="en-US"/>
        </w:rPr>
        <w:t xml:space="preserve">      </w:t>
      </w:r>
      <w:r>
        <w:rPr>
          <w:u w:val="single"/>
        </w:rPr>
        <w:t xml:space="preserve"> </w:t>
      </w:r>
      <w:r>
        <w:t xml:space="preserve">日 </w:t>
      </w:r>
    </w:p>
    <w:p w14:paraId="27FA8DFE">
      <w:pPr>
        <w:sectPr>
          <w:pgSz w:w="11910" w:h="16850"/>
          <w:pgMar w:top="1440" w:right="1080" w:bottom="1440" w:left="1080" w:header="0" w:footer="996" w:gutter="0"/>
          <w:cols w:space="720" w:num="1"/>
        </w:sectPr>
      </w:pPr>
    </w:p>
    <w:p w14:paraId="744BA3DA">
      <w:pPr>
        <w:pStyle w:val="17"/>
        <w:spacing w:before="41"/>
        <w:ind w:left="161"/>
      </w:pPr>
      <w:r>
        <w:t xml:space="preserve">附件 2： </w:t>
      </w:r>
    </w:p>
    <w:p w14:paraId="79EEFA8A">
      <w:pPr>
        <w:pStyle w:val="17"/>
        <w:rPr>
          <w:sz w:val="20"/>
        </w:rPr>
      </w:pPr>
    </w:p>
    <w:p w14:paraId="209F221A">
      <w:pPr>
        <w:pStyle w:val="17"/>
        <w:spacing w:before="8"/>
        <w:rPr>
          <w:sz w:val="15"/>
        </w:rPr>
      </w:pPr>
    </w:p>
    <w:p w14:paraId="7BD3D79F">
      <w:pPr>
        <w:pStyle w:val="17"/>
        <w:spacing w:before="70"/>
        <w:ind w:right="1039"/>
        <w:jc w:val="center"/>
      </w:pPr>
      <w:r>
        <w:t xml:space="preserve">主要建设工程文件目录 </w:t>
      </w:r>
    </w:p>
    <w:p w14:paraId="5800807B">
      <w:pPr>
        <w:pStyle w:val="17"/>
        <w:spacing w:before="9"/>
        <w:rPr>
          <w:sz w:val="24"/>
        </w:rPr>
      </w:pPr>
    </w:p>
    <w:tbl>
      <w:tblPr>
        <w:tblStyle w:val="46"/>
        <w:tblW w:w="0" w:type="auto"/>
        <w:tblInd w:w="2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45"/>
        <w:gridCol w:w="1412"/>
        <w:gridCol w:w="1427"/>
        <w:gridCol w:w="2914"/>
      </w:tblGrid>
      <w:tr w14:paraId="7CA6C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3545" w:type="dxa"/>
          </w:tcPr>
          <w:p w14:paraId="21069A9E">
            <w:pPr>
              <w:pStyle w:val="318"/>
              <w:spacing w:line="265" w:lineRule="exact"/>
              <w:ind w:left="1377" w:right="1272"/>
              <w:jc w:val="center"/>
              <w:rPr>
                <w:sz w:val="21"/>
              </w:rPr>
            </w:pPr>
            <w:r>
              <w:rPr>
                <w:sz w:val="21"/>
              </w:rPr>
              <w:t xml:space="preserve">文件名称 </w:t>
            </w:r>
          </w:p>
        </w:tc>
        <w:tc>
          <w:tcPr>
            <w:tcW w:w="1412" w:type="dxa"/>
          </w:tcPr>
          <w:p w14:paraId="00F0E857">
            <w:pPr>
              <w:pStyle w:val="318"/>
              <w:spacing w:line="265" w:lineRule="exact"/>
              <w:ind w:left="487"/>
              <w:rPr>
                <w:sz w:val="21"/>
              </w:rPr>
            </w:pPr>
            <w:r>
              <w:rPr>
                <w:sz w:val="21"/>
              </w:rPr>
              <w:t xml:space="preserve">套数 </w:t>
            </w:r>
          </w:p>
        </w:tc>
        <w:tc>
          <w:tcPr>
            <w:tcW w:w="1427" w:type="dxa"/>
          </w:tcPr>
          <w:p w14:paraId="32E74801">
            <w:pPr>
              <w:pStyle w:val="318"/>
              <w:spacing w:line="265" w:lineRule="exact"/>
              <w:ind w:left="292"/>
              <w:rPr>
                <w:sz w:val="21"/>
              </w:rPr>
            </w:pPr>
            <w:r>
              <w:rPr>
                <w:sz w:val="21"/>
              </w:rPr>
              <w:t xml:space="preserve">移交时间 </w:t>
            </w:r>
          </w:p>
        </w:tc>
        <w:tc>
          <w:tcPr>
            <w:tcW w:w="2914" w:type="dxa"/>
          </w:tcPr>
          <w:p w14:paraId="151C8784">
            <w:pPr>
              <w:pStyle w:val="318"/>
              <w:spacing w:line="265" w:lineRule="exact"/>
              <w:ind w:left="1166" w:right="1063"/>
              <w:jc w:val="center"/>
              <w:rPr>
                <w:sz w:val="21"/>
              </w:rPr>
            </w:pPr>
            <w:r>
              <w:rPr>
                <w:sz w:val="21"/>
              </w:rPr>
              <w:t xml:space="preserve">责任人 </w:t>
            </w:r>
          </w:p>
        </w:tc>
      </w:tr>
      <w:tr w14:paraId="7C705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14:paraId="0133329B">
            <w:pPr>
              <w:pStyle w:val="318"/>
              <w:spacing w:before="0"/>
              <w:ind w:left="0"/>
              <w:rPr>
                <w:sz w:val="14"/>
              </w:rPr>
            </w:pPr>
          </w:p>
          <w:p w14:paraId="1BAEC7B1">
            <w:pPr>
              <w:pStyle w:val="318"/>
              <w:spacing w:before="0"/>
              <w:rPr>
                <w:sz w:val="21"/>
              </w:rPr>
            </w:pPr>
            <w:r>
              <w:rPr>
                <w:sz w:val="21"/>
              </w:rPr>
              <w:t xml:space="preserve"> </w:t>
            </w:r>
          </w:p>
        </w:tc>
        <w:tc>
          <w:tcPr>
            <w:tcW w:w="1412" w:type="dxa"/>
          </w:tcPr>
          <w:p w14:paraId="681E260E">
            <w:pPr>
              <w:pStyle w:val="318"/>
              <w:spacing w:before="0"/>
              <w:ind w:left="0"/>
              <w:rPr>
                <w:sz w:val="14"/>
              </w:rPr>
            </w:pPr>
          </w:p>
          <w:p w14:paraId="225C057B">
            <w:pPr>
              <w:pStyle w:val="318"/>
              <w:spacing w:before="0"/>
              <w:rPr>
                <w:sz w:val="21"/>
              </w:rPr>
            </w:pPr>
            <w:r>
              <w:rPr>
                <w:sz w:val="21"/>
              </w:rPr>
              <w:t xml:space="preserve"> </w:t>
            </w:r>
          </w:p>
        </w:tc>
        <w:tc>
          <w:tcPr>
            <w:tcW w:w="1427" w:type="dxa"/>
          </w:tcPr>
          <w:p w14:paraId="63538093">
            <w:pPr>
              <w:pStyle w:val="318"/>
              <w:spacing w:before="0"/>
              <w:ind w:left="0"/>
              <w:rPr>
                <w:sz w:val="14"/>
              </w:rPr>
            </w:pPr>
          </w:p>
          <w:p w14:paraId="2C11F689">
            <w:pPr>
              <w:pStyle w:val="318"/>
              <w:spacing w:before="0"/>
              <w:ind w:left="457"/>
              <w:rPr>
                <w:sz w:val="21"/>
              </w:rPr>
            </w:pPr>
            <w:r>
              <w:rPr>
                <w:sz w:val="21"/>
              </w:rPr>
              <w:t xml:space="preserve"> </w:t>
            </w:r>
          </w:p>
        </w:tc>
        <w:tc>
          <w:tcPr>
            <w:tcW w:w="2914" w:type="dxa"/>
          </w:tcPr>
          <w:p w14:paraId="6624B148">
            <w:pPr>
              <w:pStyle w:val="318"/>
              <w:spacing w:before="0"/>
              <w:ind w:left="0"/>
              <w:rPr>
                <w:sz w:val="14"/>
              </w:rPr>
            </w:pPr>
          </w:p>
          <w:p w14:paraId="0186A3D4">
            <w:pPr>
              <w:pStyle w:val="318"/>
              <w:spacing w:before="0"/>
              <w:rPr>
                <w:sz w:val="21"/>
              </w:rPr>
            </w:pPr>
            <w:r>
              <w:rPr>
                <w:sz w:val="21"/>
              </w:rPr>
              <w:t xml:space="preserve"> </w:t>
            </w:r>
          </w:p>
        </w:tc>
      </w:tr>
      <w:tr w14:paraId="13A8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14:paraId="2C6A4E10">
            <w:pPr>
              <w:pStyle w:val="318"/>
              <w:spacing w:before="180"/>
              <w:rPr>
                <w:sz w:val="21"/>
              </w:rPr>
            </w:pPr>
            <w:r>
              <w:rPr>
                <w:sz w:val="21"/>
              </w:rPr>
              <w:t xml:space="preserve"> </w:t>
            </w:r>
          </w:p>
        </w:tc>
        <w:tc>
          <w:tcPr>
            <w:tcW w:w="1412" w:type="dxa"/>
          </w:tcPr>
          <w:p w14:paraId="6BA87B6B">
            <w:pPr>
              <w:pStyle w:val="318"/>
              <w:spacing w:before="180"/>
              <w:rPr>
                <w:sz w:val="21"/>
              </w:rPr>
            </w:pPr>
            <w:r>
              <w:rPr>
                <w:sz w:val="21"/>
              </w:rPr>
              <w:t xml:space="preserve"> </w:t>
            </w:r>
          </w:p>
        </w:tc>
        <w:tc>
          <w:tcPr>
            <w:tcW w:w="1427" w:type="dxa"/>
          </w:tcPr>
          <w:p w14:paraId="48AD3817">
            <w:pPr>
              <w:pStyle w:val="318"/>
              <w:spacing w:before="180"/>
              <w:ind w:left="457"/>
              <w:rPr>
                <w:sz w:val="21"/>
              </w:rPr>
            </w:pPr>
            <w:r>
              <w:rPr>
                <w:sz w:val="21"/>
              </w:rPr>
              <w:t xml:space="preserve"> </w:t>
            </w:r>
          </w:p>
        </w:tc>
        <w:tc>
          <w:tcPr>
            <w:tcW w:w="2914" w:type="dxa"/>
          </w:tcPr>
          <w:p w14:paraId="77E92056">
            <w:pPr>
              <w:pStyle w:val="318"/>
              <w:spacing w:before="180"/>
              <w:rPr>
                <w:sz w:val="21"/>
              </w:rPr>
            </w:pPr>
            <w:r>
              <w:rPr>
                <w:sz w:val="21"/>
              </w:rPr>
              <w:t xml:space="preserve"> </w:t>
            </w:r>
          </w:p>
        </w:tc>
      </w:tr>
      <w:tr w14:paraId="21C4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14:paraId="6295E8F3">
            <w:pPr>
              <w:pStyle w:val="318"/>
              <w:spacing w:before="0"/>
              <w:ind w:left="0"/>
              <w:rPr>
                <w:sz w:val="14"/>
              </w:rPr>
            </w:pPr>
          </w:p>
          <w:p w14:paraId="10CACA1A">
            <w:pPr>
              <w:pStyle w:val="318"/>
              <w:spacing w:before="0"/>
              <w:rPr>
                <w:sz w:val="21"/>
              </w:rPr>
            </w:pPr>
            <w:r>
              <w:rPr>
                <w:sz w:val="21"/>
              </w:rPr>
              <w:t xml:space="preserve"> </w:t>
            </w:r>
          </w:p>
        </w:tc>
        <w:tc>
          <w:tcPr>
            <w:tcW w:w="1412" w:type="dxa"/>
          </w:tcPr>
          <w:p w14:paraId="056A9C06">
            <w:pPr>
              <w:pStyle w:val="318"/>
              <w:spacing w:before="0"/>
              <w:ind w:left="0"/>
              <w:rPr>
                <w:sz w:val="14"/>
              </w:rPr>
            </w:pPr>
          </w:p>
          <w:p w14:paraId="2A4EC151">
            <w:pPr>
              <w:pStyle w:val="318"/>
              <w:spacing w:before="0"/>
              <w:rPr>
                <w:sz w:val="21"/>
              </w:rPr>
            </w:pPr>
            <w:r>
              <w:rPr>
                <w:sz w:val="21"/>
              </w:rPr>
              <w:t xml:space="preserve"> </w:t>
            </w:r>
          </w:p>
        </w:tc>
        <w:tc>
          <w:tcPr>
            <w:tcW w:w="1427" w:type="dxa"/>
          </w:tcPr>
          <w:p w14:paraId="7C278E38">
            <w:pPr>
              <w:pStyle w:val="318"/>
              <w:spacing w:before="0"/>
              <w:ind w:left="0"/>
              <w:rPr>
                <w:sz w:val="14"/>
              </w:rPr>
            </w:pPr>
          </w:p>
          <w:p w14:paraId="50A480AC">
            <w:pPr>
              <w:pStyle w:val="318"/>
              <w:spacing w:before="0"/>
              <w:ind w:left="457"/>
              <w:rPr>
                <w:sz w:val="21"/>
              </w:rPr>
            </w:pPr>
            <w:r>
              <w:rPr>
                <w:sz w:val="21"/>
              </w:rPr>
              <w:t xml:space="preserve"> </w:t>
            </w:r>
          </w:p>
        </w:tc>
        <w:tc>
          <w:tcPr>
            <w:tcW w:w="2914" w:type="dxa"/>
          </w:tcPr>
          <w:p w14:paraId="5B53BCB9">
            <w:pPr>
              <w:pStyle w:val="318"/>
              <w:spacing w:before="0"/>
              <w:ind w:left="0"/>
              <w:rPr>
                <w:sz w:val="14"/>
              </w:rPr>
            </w:pPr>
          </w:p>
          <w:p w14:paraId="27842F24">
            <w:pPr>
              <w:pStyle w:val="318"/>
              <w:spacing w:before="0"/>
              <w:rPr>
                <w:sz w:val="21"/>
              </w:rPr>
            </w:pPr>
            <w:r>
              <w:rPr>
                <w:sz w:val="21"/>
              </w:rPr>
              <w:t xml:space="preserve"> </w:t>
            </w:r>
          </w:p>
        </w:tc>
      </w:tr>
      <w:tr w14:paraId="7CC38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14:paraId="28B76E67">
            <w:pPr>
              <w:pStyle w:val="318"/>
              <w:spacing w:before="180"/>
              <w:rPr>
                <w:sz w:val="21"/>
              </w:rPr>
            </w:pPr>
            <w:r>
              <w:rPr>
                <w:sz w:val="21"/>
              </w:rPr>
              <w:t xml:space="preserve"> </w:t>
            </w:r>
          </w:p>
        </w:tc>
        <w:tc>
          <w:tcPr>
            <w:tcW w:w="1412" w:type="dxa"/>
          </w:tcPr>
          <w:p w14:paraId="2844D2D9">
            <w:pPr>
              <w:pStyle w:val="318"/>
              <w:spacing w:before="180"/>
              <w:rPr>
                <w:sz w:val="21"/>
              </w:rPr>
            </w:pPr>
            <w:r>
              <w:rPr>
                <w:sz w:val="21"/>
              </w:rPr>
              <w:t xml:space="preserve"> </w:t>
            </w:r>
          </w:p>
        </w:tc>
        <w:tc>
          <w:tcPr>
            <w:tcW w:w="1427" w:type="dxa"/>
          </w:tcPr>
          <w:p w14:paraId="5B243258">
            <w:pPr>
              <w:pStyle w:val="318"/>
              <w:spacing w:before="180"/>
              <w:ind w:left="457"/>
              <w:rPr>
                <w:sz w:val="21"/>
              </w:rPr>
            </w:pPr>
            <w:r>
              <w:rPr>
                <w:sz w:val="21"/>
              </w:rPr>
              <w:t xml:space="preserve"> </w:t>
            </w:r>
          </w:p>
        </w:tc>
        <w:tc>
          <w:tcPr>
            <w:tcW w:w="2914" w:type="dxa"/>
          </w:tcPr>
          <w:p w14:paraId="7B753A81">
            <w:pPr>
              <w:pStyle w:val="318"/>
              <w:spacing w:before="180"/>
              <w:rPr>
                <w:sz w:val="21"/>
              </w:rPr>
            </w:pPr>
            <w:r>
              <w:rPr>
                <w:sz w:val="21"/>
              </w:rPr>
              <w:t xml:space="preserve"> </w:t>
            </w:r>
          </w:p>
        </w:tc>
      </w:tr>
      <w:tr w14:paraId="352AB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14:paraId="562C53D0">
            <w:pPr>
              <w:pStyle w:val="318"/>
              <w:spacing w:before="180"/>
              <w:rPr>
                <w:sz w:val="21"/>
              </w:rPr>
            </w:pPr>
            <w:r>
              <w:rPr>
                <w:sz w:val="21"/>
              </w:rPr>
              <w:t xml:space="preserve"> </w:t>
            </w:r>
          </w:p>
        </w:tc>
        <w:tc>
          <w:tcPr>
            <w:tcW w:w="1412" w:type="dxa"/>
          </w:tcPr>
          <w:p w14:paraId="3E6CAEDB">
            <w:pPr>
              <w:pStyle w:val="318"/>
              <w:spacing w:before="180"/>
              <w:rPr>
                <w:sz w:val="21"/>
              </w:rPr>
            </w:pPr>
            <w:r>
              <w:rPr>
                <w:sz w:val="21"/>
              </w:rPr>
              <w:t xml:space="preserve"> </w:t>
            </w:r>
          </w:p>
        </w:tc>
        <w:tc>
          <w:tcPr>
            <w:tcW w:w="1427" w:type="dxa"/>
          </w:tcPr>
          <w:p w14:paraId="44D76152">
            <w:pPr>
              <w:pStyle w:val="318"/>
              <w:spacing w:before="180"/>
              <w:ind w:left="457"/>
              <w:rPr>
                <w:sz w:val="21"/>
              </w:rPr>
            </w:pPr>
            <w:r>
              <w:rPr>
                <w:sz w:val="21"/>
              </w:rPr>
              <w:t xml:space="preserve"> </w:t>
            </w:r>
          </w:p>
        </w:tc>
        <w:tc>
          <w:tcPr>
            <w:tcW w:w="2914" w:type="dxa"/>
          </w:tcPr>
          <w:p w14:paraId="387A393B">
            <w:pPr>
              <w:pStyle w:val="318"/>
              <w:spacing w:before="180"/>
              <w:rPr>
                <w:sz w:val="21"/>
              </w:rPr>
            </w:pPr>
            <w:r>
              <w:rPr>
                <w:sz w:val="21"/>
              </w:rPr>
              <w:t xml:space="preserve"> </w:t>
            </w:r>
          </w:p>
        </w:tc>
      </w:tr>
      <w:tr w14:paraId="75825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14:paraId="4B35240B">
            <w:pPr>
              <w:pStyle w:val="318"/>
              <w:spacing w:before="1"/>
              <w:ind w:left="0"/>
              <w:rPr>
                <w:sz w:val="14"/>
              </w:rPr>
            </w:pPr>
          </w:p>
          <w:p w14:paraId="4955B683">
            <w:pPr>
              <w:pStyle w:val="318"/>
              <w:spacing w:before="0"/>
              <w:rPr>
                <w:sz w:val="21"/>
              </w:rPr>
            </w:pPr>
            <w:r>
              <w:rPr>
                <w:sz w:val="21"/>
              </w:rPr>
              <w:t xml:space="preserve"> </w:t>
            </w:r>
          </w:p>
        </w:tc>
        <w:tc>
          <w:tcPr>
            <w:tcW w:w="1412" w:type="dxa"/>
          </w:tcPr>
          <w:p w14:paraId="04F163BF">
            <w:pPr>
              <w:pStyle w:val="318"/>
              <w:spacing w:before="1"/>
              <w:ind w:left="0"/>
              <w:rPr>
                <w:sz w:val="14"/>
              </w:rPr>
            </w:pPr>
          </w:p>
          <w:p w14:paraId="20FAFA93">
            <w:pPr>
              <w:pStyle w:val="318"/>
              <w:spacing w:before="0"/>
              <w:rPr>
                <w:sz w:val="21"/>
              </w:rPr>
            </w:pPr>
            <w:r>
              <w:rPr>
                <w:sz w:val="21"/>
              </w:rPr>
              <w:t xml:space="preserve"> </w:t>
            </w:r>
          </w:p>
        </w:tc>
        <w:tc>
          <w:tcPr>
            <w:tcW w:w="1427" w:type="dxa"/>
          </w:tcPr>
          <w:p w14:paraId="36BC5D1D">
            <w:pPr>
              <w:pStyle w:val="318"/>
              <w:spacing w:before="1"/>
              <w:ind w:left="0"/>
              <w:rPr>
                <w:sz w:val="14"/>
              </w:rPr>
            </w:pPr>
          </w:p>
          <w:p w14:paraId="32E69BC0">
            <w:pPr>
              <w:pStyle w:val="318"/>
              <w:spacing w:before="0"/>
              <w:ind w:left="457"/>
              <w:rPr>
                <w:sz w:val="21"/>
              </w:rPr>
            </w:pPr>
            <w:r>
              <w:rPr>
                <w:sz w:val="21"/>
              </w:rPr>
              <w:t xml:space="preserve"> </w:t>
            </w:r>
          </w:p>
        </w:tc>
        <w:tc>
          <w:tcPr>
            <w:tcW w:w="2914" w:type="dxa"/>
          </w:tcPr>
          <w:p w14:paraId="5DEC8032">
            <w:pPr>
              <w:pStyle w:val="318"/>
              <w:spacing w:before="1"/>
              <w:ind w:left="0"/>
              <w:rPr>
                <w:sz w:val="14"/>
              </w:rPr>
            </w:pPr>
          </w:p>
          <w:p w14:paraId="5E6262F0">
            <w:pPr>
              <w:pStyle w:val="318"/>
              <w:spacing w:before="0"/>
              <w:rPr>
                <w:sz w:val="21"/>
              </w:rPr>
            </w:pPr>
            <w:r>
              <w:rPr>
                <w:sz w:val="21"/>
              </w:rPr>
              <w:t xml:space="preserve"> </w:t>
            </w:r>
          </w:p>
        </w:tc>
      </w:tr>
      <w:tr w14:paraId="39EC9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14:paraId="151AE916">
            <w:pPr>
              <w:pStyle w:val="318"/>
              <w:spacing w:before="1"/>
              <w:ind w:left="0"/>
              <w:rPr>
                <w:sz w:val="14"/>
              </w:rPr>
            </w:pPr>
          </w:p>
          <w:p w14:paraId="2FB475C1">
            <w:pPr>
              <w:pStyle w:val="318"/>
              <w:spacing w:before="0"/>
              <w:rPr>
                <w:sz w:val="21"/>
              </w:rPr>
            </w:pPr>
            <w:r>
              <w:rPr>
                <w:sz w:val="21"/>
              </w:rPr>
              <w:t xml:space="preserve"> </w:t>
            </w:r>
          </w:p>
        </w:tc>
        <w:tc>
          <w:tcPr>
            <w:tcW w:w="1412" w:type="dxa"/>
          </w:tcPr>
          <w:p w14:paraId="3FF0E704">
            <w:pPr>
              <w:pStyle w:val="318"/>
              <w:spacing w:before="1"/>
              <w:ind w:left="0"/>
              <w:rPr>
                <w:sz w:val="14"/>
              </w:rPr>
            </w:pPr>
          </w:p>
          <w:p w14:paraId="6016B31E">
            <w:pPr>
              <w:pStyle w:val="318"/>
              <w:spacing w:before="0"/>
              <w:rPr>
                <w:sz w:val="21"/>
              </w:rPr>
            </w:pPr>
            <w:r>
              <w:rPr>
                <w:sz w:val="21"/>
              </w:rPr>
              <w:t xml:space="preserve"> </w:t>
            </w:r>
          </w:p>
        </w:tc>
        <w:tc>
          <w:tcPr>
            <w:tcW w:w="1427" w:type="dxa"/>
          </w:tcPr>
          <w:p w14:paraId="038C59B3">
            <w:pPr>
              <w:pStyle w:val="318"/>
              <w:spacing w:before="1"/>
              <w:ind w:left="0"/>
              <w:rPr>
                <w:sz w:val="14"/>
              </w:rPr>
            </w:pPr>
          </w:p>
          <w:p w14:paraId="13AE1EC2">
            <w:pPr>
              <w:pStyle w:val="318"/>
              <w:spacing w:before="0"/>
              <w:ind w:left="457"/>
              <w:rPr>
                <w:sz w:val="21"/>
              </w:rPr>
            </w:pPr>
            <w:r>
              <w:rPr>
                <w:sz w:val="21"/>
              </w:rPr>
              <w:t xml:space="preserve"> </w:t>
            </w:r>
          </w:p>
        </w:tc>
        <w:tc>
          <w:tcPr>
            <w:tcW w:w="2914" w:type="dxa"/>
          </w:tcPr>
          <w:p w14:paraId="71882491">
            <w:pPr>
              <w:pStyle w:val="318"/>
              <w:spacing w:before="1"/>
              <w:ind w:left="0"/>
              <w:rPr>
                <w:sz w:val="14"/>
              </w:rPr>
            </w:pPr>
          </w:p>
          <w:p w14:paraId="2ECA9BF0">
            <w:pPr>
              <w:pStyle w:val="318"/>
              <w:spacing w:before="0"/>
              <w:rPr>
                <w:sz w:val="21"/>
              </w:rPr>
            </w:pPr>
            <w:r>
              <w:rPr>
                <w:sz w:val="21"/>
              </w:rPr>
              <w:t xml:space="preserve"> </w:t>
            </w:r>
          </w:p>
        </w:tc>
      </w:tr>
      <w:tr w14:paraId="1FFA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14:paraId="41DC6143">
            <w:pPr>
              <w:pStyle w:val="318"/>
              <w:spacing w:before="1"/>
              <w:ind w:left="0"/>
              <w:rPr>
                <w:sz w:val="14"/>
              </w:rPr>
            </w:pPr>
          </w:p>
          <w:p w14:paraId="68642C72">
            <w:pPr>
              <w:pStyle w:val="318"/>
              <w:spacing w:before="0"/>
              <w:rPr>
                <w:sz w:val="21"/>
              </w:rPr>
            </w:pPr>
            <w:r>
              <w:rPr>
                <w:sz w:val="21"/>
              </w:rPr>
              <w:t xml:space="preserve"> </w:t>
            </w:r>
          </w:p>
        </w:tc>
        <w:tc>
          <w:tcPr>
            <w:tcW w:w="1412" w:type="dxa"/>
          </w:tcPr>
          <w:p w14:paraId="5FE3CD73">
            <w:pPr>
              <w:pStyle w:val="318"/>
              <w:spacing w:before="1"/>
              <w:ind w:left="0"/>
              <w:rPr>
                <w:sz w:val="14"/>
              </w:rPr>
            </w:pPr>
          </w:p>
          <w:p w14:paraId="6F031E3A">
            <w:pPr>
              <w:pStyle w:val="318"/>
              <w:spacing w:before="0"/>
              <w:rPr>
                <w:sz w:val="21"/>
              </w:rPr>
            </w:pPr>
            <w:r>
              <w:rPr>
                <w:sz w:val="21"/>
              </w:rPr>
              <w:t xml:space="preserve"> </w:t>
            </w:r>
          </w:p>
        </w:tc>
        <w:tc>
          <w:tcPr>
            <w:tcW w:w="1427" w:type="dxa"/>
          </w:tcPr>
          <w:p w14:paraId="6115C8BF">
            <w:pPr>
              <w:pStyle w:val="318"/>
              <w:spacing w:before="1"/>
              <w:ind w:left="0"/>
              <w:rPr>
                <w:sz w:val="14"/>
              </w:rPr>
            </w:pPr>
          </w:p>
          <w:p w14:paraId="636ADAE6">
            <w:pPr>
              <w:pStyle w:val="318"/>
              <w:spacing w:before="0"/>
              <w:ind w:left="457"/>
              <w:rPr>
                <w:sz w:val="21"/>
              </w:rPr>
            </w:pPr>
            <w:r>
              <w:rPr>
                <w:sz w:val="21"/>
              </w:rPr>
              <w:t xml:space="preserve"> </w:t>
            </w:r>
          </w:p>
        </w:tc>
        <w:tc>
          <w:tcPr>
            <w:tcW w:w="2914" w:type="dxa"/>
          </w:tcPr>
          <w:p w14:paraId="6468DA84">
            <w:pPr>
              <w:pStyle w:val="318"/>
              <w:spacing w:before="1"/>
              <w:ind w:left="0"/>
              <w:rPr>
                <w:sz w:val="14"/>
              </w:rPr>
            </w:pPr>
          </w:p>
          <w:p w14:paraId="53105633">
            <w:pPr>
              <w:pStyle w:val="318"/>
              <w:spacing w:before="0"/>
              <w:rPr>
                <w:sz w:val="21"/>
              </w:rPr>
            </w:pPr>
            <w:r>
              <w:rPr>
                <w:sz w:val="21"/>
              </w:rPr>
              <w:t xml:space="preserve"> </w:t>
            </w:r>
          </w:p>
        </w:tc>
      </w:tr>
      <w:tr w14:paraId="3ECDD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14:paraId="4E8FE55A">
            <w:pPr>
              <w:pStyle w:val="318"/>
              <w:rPr>
                <w:sz w:val="21"/>
              </w:rPr>
            </w:pPr>
            <w:r>
              <w:rPr>
                <w:sz w:val="21"/>
              </w:rPr>
              <w:t xml:space="preserve"> </w:t>
            </w:r>
          </w:p>
        </w:tc>
        <w:tc>
          <w:tcPr>
            <w:tcW w:w="1412" w:type="dxa"/>
          </w:tcPr>
          <w:p w14:paraId="66EC2FB4">
            <w:pPr>
              <w:pStyle w:val="318"/>
              <w:rPr>
                <w:sz w:val="21"/>
              </w:rPr>
            </w:pPr>
            <w:r>
              <w:rPr>
                <w:sz w:val="21"/>
              </w:rPr>
              <w:t xml:space="preserve"> </w:t>
            </w:r>
          </w:p>
        </w:tc>
        <w:tc>
          <w:tcPr>
            <w:tcW w:w="1427" w:type="dxa"/>
          </w:tcPr>
          <w:p w14:paraId="4C0C764B">
            <w:pPr>
              <w:pStyle w:val="318"/>
              <w:ind w:left="457"/>
              <w:rPr>
                <w:sz w:val="21"/>
              </w:rPr>
            </w:pPr>
            <w:r>
              <w:rPr>
                <w:sz w:val="21"/>
              </w:rPr>
              <w:t xml:space="preserve"> </w:t>
            </w:r>
          </w:p>
        </w:tc>
        <w:tc>
          <w:tcPr>
            <w:tcW w:w="2914" w:type="dxa"/>
          </w:tcPr>
          <w:p w14:paraId="0FA65820">
            <w:pPr>
              <w:pStyle w:val="318"/>
              <w:rPr>
                <w:sz w:val="21"/>
              </w:rPr>
            </w:pPr>
            <w:r>
              <w:rPr>
                <w:sz w:val="21"/>
              </w:rPr>
              <w:t xml:space="preserve"> </w:t>
            </w:r>
          </w:p>
        </w:tc>
      </w:tr>
      <w:tr w14:paraId="4DAE9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14:paraId="4947EBD7">
            <w:pPr>
              <w:pStyle w:val="318"/>
              <w:spacing w:before="3"/>
              <w:ind w:left="0"/>
              <w:rPr>
                <w:sz w:val="15"/>
              </w:rPr>
            </w:pPr>
          </w:p>
          <w:p w14:paraId="767C16C0">
            <w:pPr>
              <w:pStyle w:val="318"/>
              <w:spacing w:before="0"/>
              <w:rPr>
                <w:sz w:val="21"/>
              </w:rPr>
            </w:pPr>
            <w:r>
              <w:rPr>
                <w:sz w:val="21"/>
              </w:rPr>
              <w:t xml:space="preserve"> </w:t>
            </w:r>
          </w:p>
        </w:tc>
        <w:tc>
          <w:tcPr>
            <w:tcW w:w="1412" w:type="dxa"/>
          </w:tcPr>
          <w:p w14:paraId="43F65E1F">
            <w:pPr>
              <w:pStyle w:val="318"/>
              <w:spacing w:before="3"/>
              <w:ind w:left="0"/>
              <w:rPr>
                <w:sz w:val="15"/>
              </w:rPr>
            </w:pPr>
          </w:p>
          <w:p w14:paraId="00AD801B">
            <w:pPr>
              <w:pStyle w:val="318"/>
              <w:spacing w:before="0"/>
              <w:rPr>
                <w:sz w:val="21"/>
              </w:rPr>
            </w:pPr>
            <w:r>
              <w:rPr>
                <w:sz w:val="21"/>
              </w:rPr>
              <w:t xml:space="preserve"> </w:t>
            </w:r>
          </w:p>
        </w:tc>
        <w:tc>
          <w:tcPr>
            <w:tcW w:w="1427" w:type="dxa"/>
          </w:tcPr>
          <w:p w14:paraId="2B49C112">
            <w:pPr>
              <w:pStyle w:val="318"/>
              <w:spacing w:before="3"/>
              <w:ind w:left="0"/>
              <w:rPr>
                <w:sz w:val="15"/>
              </w:rPr>
            </w:pPr>
          </w:p>
          <w:p w14:paraId="3FBDA805">
            <w:pPr>
              <w:pStyle w:val="318"/>
              <w:spacing w:before="0"/>
              <w:ind w:left="457"/>
              <w:rPr>
                <w:sz w:val="21"/>
              </w:rPr>
            </w:pPr>
            <w:r>
              <w:rPr>
                <w:sz w:val="21"/>
              </w:rPr>
              <w:t xml:space="preserve"> </w:t>
            </w:r>
          </w:p>
        </w:tc>
        <w:tc>
          <w:tcPr>
            <w:tcW w:w="2914" w:type="dxa"/>
          </w:tcPr>
          <w:p w14:paraId="7195D07E">
            <w:pPr>
              <w:pStyle w:val="318"/>
              <w:spacing w:before="3"/>
              <w:ind w:left="0"/>
              <w:rPr>
                <w:sz w:val="15"/>
              </w:rPr>
            </w:pPr>
          </w:p>
          <w:p w14:paraId="4AB8636F">
            <w:pPr>
              <w:pStyle w:val="318"/>
              <w:spacing w:before="0"/>
              <w:rPr>
                <w:sz w:val="21"/>
              </w:rPr>
            </w:pPr>
            <w:r>
              <w:rPr>
                <w:sz w:val="21"/>
              </w:rPr>
              <w:t xml:space="preserve"> </w:t>
            </w:r>
          </w:p>
        </w:tc>
      </w:tr>
      <w:tr w14:paraId="6B4A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14:paraId="68F0242A">
            <w:pPr>
              <w:pStyle w:val="318"/>
              <w:rPr>
                <w:sz w:val="21"/>
              </w:rPr>
            </w:pPr>
            <w:r>
              <w:rPr>
                <w:sz w:val="21"/>
              </w:rPr>
              <w:t xml:space="preserve"> </w:t>
            </w:r>
          </w:p>
        </w:tc>
        <w:tc>
          <w:tcPr>
            <w:tcW w:w="1412" w:type="dxa"/>
          </w:tcPr>
          <w:p w14:paraId="3BBAFA41">
            <w:pPr>
              <w:pStyle w:val="318"/>
              <w:rPr>
                <w:sz w:val="21"/>
              </w:rPr>
            </w:pPr>
            <w:r>
              <w:rPr>
                <w:sz w:val="21"/>
              </w:rPr>
              <w:t xml:space="preserve"> </w:t>
            </w:r>
          </w:p>
        </w:tc>
        <w:tc>
          <w:tcPr>
            <w:tcW w:w="1427" w:type="dxa"/>
          </w:tcPr>
          <w:p w14:paraId="32849368">
            <w:pPr>
              <w:pStyle w:val="318"/>
              <w:ind w:left="457"/>
              <w:rPr>
                <w:sz w:val="21"/>
              </w:rPr>
            </w:pPr>
            <w:r>
              <w:rPr>
                <w:sz w:val="21"/>
              </w:rPr>
              <w:t xml:space="preserve"> </w:t>
            </w:r>
          </w:p>
        </w:tc>
        <w:tc>
          <w:tcPr>
            <w:tcW w:w="2914" w:type="dxa"/>
          </w:tcPr>
          <w:p w14:paraId="0289ADFF">
            <w:pPr>
              <w:pStyle w:val="318"/>
              <w:rPr>
                <w:sz w:val="21"/>
              </w:rPr>
            </w:pPr>
            <w:r>
              <w:rPr>
                <w:sz w:val="21"/>
              </w:rPr>
              <w:t xml:space="preserve"> </w:t>
            </w:r>
          </w:p>
        </w:tc>
      </w:tr>
      <w:tr w14:paraId="6793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14:paraId="4A2588E7">
            <w:pPr>
              <w:pStyle w:val="318"/>
              <w:rPr>
                <w:sz w:val="21"/>
              </w:rPr>
            </w:pPr>
            <w:r>
              <w:rPr>
                <w:sz w:val="21"/>
              </w:rPr>
              <w:t xml:space="preserve"> </w:t>
            </w:r>
          </w:p>
        </w:tc>
        <w:tc>
          <w:tcPr>
            <w:tcW w:w="1412" w:type="dxa"/>
          </w:tcPr>
          <w:p w14:paraId="48CD17AE">
            <w:pPr>
              <w:pStyle w:val="318"/>
              <w:rPr>
                <w:sz w:val="21"/>
              </w:rPr>
            </w:pPr>
            <w:r>
              <w:rPr>
                <w:sz w:val="21"/>
              </w:rPr>
              <w:t xml:space="preserve"> </w:t>
            </w:r>
          </w:p>
        </w:tc>
        <w:tc>
          <w:tcPr>
            <w:tcW w:w="1427" w:type="dxa"/>
          </w:tcPr>
          <w:p w14:paraId="35D1CE45">
            <w:pPr>
              <w:pStyle w:val="318"/>
              <w:ind w:left="457"/>
              <w:rPr>
                <w:sz w:val="21"/>
              </w:rPr>
            </w:pPr>
            <w:r>
              <w:rPr>
                <w:sz w:val="21"/>
              </w:rPr>
              <w:t xml:space="preserve"> </w:t>
            </w:r>
          </w:p>
        </w:tc>
        <w:tc>
          <w:tcPr>
            <w:tcW w:w="2914" w:type="dxa"/>
          </w:tcPr>
          <w:p w14:paraId="2309A278">
            <w:pPr>
              <w:pStyle w:val="318"/>
              <w:rPr>
                <w:sz w:val="21"/>
              </w:rPr>
            </w:pPr>
            <w:r>
              <w:rPr>
                <w:sz w:val="21"/>
              </w:rPr>
              <w:t xml:space="preserve"> </w:t>
            </w:r>
          </w:p>
        </w:tc>
      </w:tr>
      <w:tr w14:paraId="58903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14:paraId="3A0A6750">
            <w:pPr>
              <w:pStyle w:val="318"/>
              <w:rPr>
                <w:sz w:val="21"/>
              </w:rPr>
            </w:pPr>
            <w:r>
              <w:rPr>
                <w:sz w:val="21"/>
              </w:rPr>
              <w:t xml:space="preserve"> </w:t>
            </w:r>
          </w:p>
        </w:tc>
        <w:tc>
          <w:tcPr>
            <w:tcW w:w="1412" w:type="dxa"/>
          </w:tcPr>
          <w:p w14:paraId="00AF8F9D">
            <w:pPr>
              <w:pStyle w:val="318"/>
              <w:rPr>
                <w:sz w:val="21"/>
              </w:rPr>
            </w:pPr>
            <w:r>
              <w:rPr>
                <w:sz w:val="21"/>
              </w:rPr>
              <w:t xml:space="preserve"> </w:t>
            </w:r>
          </w:p>
        </w:tc>
        <w:tc>
          <w:tcPr>
            <w:tcW w:w="1427" w:type="dxa"/>
          </w:tcPr>
          <w:p w14:paraId="0C455E87">
            <w:pPr>
              <w:pStyle w:val="318"/>
              <w:ind w:left="457"/>
              <w:rPr>
                <w:sz w:val="21"/>
              </w:rPr>
            </w:pPr>
            <w:r>
              <w:rPr>
                <w:sz w:val="21"/>
              </w:rPr>
              <w:t xml:space="preserve"> </w:t>
            </w:r>
          </w:p>
        </w:tc>
        <w:tc>
          <w:tcPr>
            <w:tcW w:w="2914" w:type="dxa"/>
          </w:tcPr>
          <w:p w14:paraId="3B6DFF14">
            <w:pPr>
              <w:pStyle w:val="318"/>
              <w:rPr>
                <w:sz w:val="21"/>
              </w:rPr>
            </w:pPr>
            <w:r>
              <w:rPr>
                <w:sz w:val="21"/>
              </w:rPr>
              <w:t xml:space="preserve"> </w:t>
            </w:r>
          </w:p>
        </w:tc>
      </w:tr>
      <w:tr w14:paraId="3260E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14:paraId="2FBCB22A">
            <w:pPr>
              <w:pStyle w:val="318"/>
              <w:rPr>
                <w:sz w:val="21"/>
              </w:rPr>
            </w:pPr>
            <w:r>
              <w:rPr>
                <w:sz w:val="21"/>
              </w:rPr>
              <w:t xml:space="preserve"> </w:t>
            </w:r>
          </w:p>
        </w:tc>
        <w:tc>
          <w:tcPr>
            <w:tcW w:w="1412" w:type="dxa"/>
          </w:tcPr>
          <w:p w14:paraId="6BD229D9">
            <w:pPr>
              <w:pStyle w:val="318"/>
              <w:rPr>
                <w:sz w:val="21"/>
              </w:rPr>
            </w:pPr>
            <w:r>
              <w:rPr>
                <w:sz w:val="21"/>
              </w:rPr>
              <w:t xml:space="preserve"> </w:t>
            </w:r>
          </w:p>
        </w:tc>
        <w:tc>
          <w:tcPr>
            <w:tcW w:w="1427" w:type="dxa"/>
          </w:tcPr>
          <w:p w14:paraId="12730A46">
            <w:pPr>
              <w:pStyle w:val="318"/>
              <w:ind w:left="457"/>
              <w:rPr>
                <w:sz w:val="21"/>
              </w:rPr>
            </w:pPr>
            <w:r>
              <w:rPr>
                <w:sz w:val="21"/>
              </w:rPr>
              <w:t xml:space="preserve"> </w:t>
            </w:r>
          </w:p>
        </w:tc>
        <w:tc>
          <w:tcPr>
            <w:tcW w:w="2914" w:type="dxa"/>
          </w:tcPr>
          <w:p w14:paraId="1F595C87">
            <w:pPr>
              <w:pStyle w:val="318"/>
              <w:rPr>
                <w:sz w:val="21"/>
              </w:rPr>
            </w:pPr>
            <w:r>
              <w:rPr>
                <w:sz w:val="21"/>
              </w:rPr>
              <w:t xml:space="preserve"> </w:t>
            </w:r>
          </w:p>
        </w:tc>
      </w:tr>
      <w:tr w14:paraId="43FA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14:paraId="7A0E25FC">
            <w:pPr>
              <w:pStyle w:val="318"/>
              <w:spacing w:before="90"/>
              <w:rPr>
                <w:sz w:val="21"/>
              </w:rPr>
            </w:pPr>
            <w:r>
              <w:rPr>
                <w:sz w:val="21"/>
              </w:rPr>
              <w:t xml:space="preserve"> </w:t>
            </w:r>
          </w:p>
        </w:tc>
        <w:tc>
          <w:tcPr>
            <w:tcW w:w="1412" w:type="dxa"/>
          </w:tcPr>
          <w:p w14:paraId="36319EE3">
            <w:pPr>
              <w:pStyle w:val="318"/>
              <w:spacing w:before="90"/>
              <w:rPr>
                <w:sz w:val="21"/>
              </w:rPr>
            </w:pPr>
            <w:r>
              <w:rPr>
                <w:sz w:val="21"/>
              </w:rPr>
              <w:t xml:space="preserve"> </w:t>
            </w:r>
          </w:p>
        </w:tc>
        <w:tc>
          <w:tcPr>
            <w:tcW w:w="1427" w:type="dxa"/>
          </w:tcPr>
          <w:p w14:paraId="5C86C9FD">
            <w:pPr>
              <w:pStyle w:val="318"/>
              <w:spacing w:before="90"/>
              <w:ind w:left="457"/>
              <w:rPr>
                <w:sz w:val="21"/>
              </w:rPr>
            </w:pPr>
            <w:r>
              <w:rPr>
                <w:sz w:val="21"/>
              </w:rPr>
              <w:t xml:space="preserve"> </w:t>
            </w:r>
          </w:p>
        </w:tc>
        <w:tc>
          <w:tcPr>
            <w:tcW w:w="2914" w:type="dxa"/>
          </w:tcPr>
          <w:p w14:paraId="606FC33D">
            <w:pPr>
              <w:pStyle w:val="318"/>
              <w:spacing w:before="90"/>
              <w:rPr>
                <w:sz w:val="21"/>
              </w:rPr>
            </w:pPr>
            <w:r>
              <w:rPr>
                <w:sz w:val="21"/>
              </w:rPr>
              <w:t xml:space="preserve"> </w:t>
            </w:r>
          </w:p>
        </w:tc>
      </w:tr>
      <w:tr w14:paraId="3E35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14:paraId="6F0BEB94">
            <w:pPr>
              <w:pStyle w:val="318"/>
              <w:rPr>
                <w:sz w:val="21"/>
              </w:rPr>
            </w:pPr>
            <w:r>
              <w:rPr>
                <w:sz w:val="21"/>
              </w:rPr>
              <w:t xml:space="preserve"> </w:t>
            </w:r>
          </w:p>
        </w:tc>
        <w:tc>
          <w:tcPr>
            <w:tcW w:w="1412" w:type="dxa"/>
          </w:tcPr>
          <w:p w14:paraId="561B4AE9">
            <w:pPr>
              <w:pStyle w:val="318"/>
              <w:rPr>
                <w:sz w:val="21"/>
              </w:rPr>
            </w:pPr>
            <w:r>
              <w:rPr>
                <w:sz w:val="21"/>
              </w:rPr>
              <w:t xml:space="preserve"> </w:t>
            </w:r>
          </w:p>
        </w:tc>
        <w:tc>
          <w:tcPr>
            <w:tcW w:w="1427" w:type="dxa"/>
          </w:tcPr>
          <w:p w14:paraId="006C63D6">
            <w:pPr>
              <w:pStyle w:val="318"/>
              <w:ind w:left="457"/>
              <w:rPr>
                <w:sz w:val="21"/>
              </w:rPr>
            </w:pPr>
            <w:r>
              <w:rPr>
                <w:sz w:val="21"/>
              </w:rPr>
              <w:t xml:space="preserve"> </w:t>
            </w:r>
          </w:p>
        </w:tc>
        <w:tc>
          <w:tcPr>
            <w:tcW w:w="2914" w:type="dxa"/>
          </w:tcPr>
          <w:p w14:paraId="0BE87945">
            <w:pPr>
              <w:pStyle w:val="318"/>
              <w:rPr>
                <w:sz w:val="21"/>
              </w:rPr>
            </w:pPr>
            <w:r>
              <w:rPr>
                <w:sz w:val="21"/>
              </w:rPr>
              <w:t xml:space="preserve"> </w:t>
            </w:r>
          </w:p>
        </w:tc>
      </w:tr>
      <w:tr w14:paraId="52CF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14:paraId="2265F776">
            <w:pPr>
              <w:pStyle w:val="318"/>
              <w:spacing w:before="90"/>
              <w:rPr>
                <w:sz w:val="21"/>
              </w:rPr>
            </w:pPr>
            <w:r>
              <w:rPr>
                <w:sz w:val="21"/>
              </w:rPr>
              <w:t xml:space="preserve"> </w:t>
            </w:r>
          </w:p>
        </w:tc>
        <w:tc>
          <w:tcPr>
            <w:tcW w:w="1412" w:type="dxa"/>
          </w:tcPr>
          <w:p w14:paraId="337970DB">
            <w:pPr>
              <w:pStyle w:val="318"/>
              <w:spacing w:before="90"/>
              <w:rPr>
                <w:sz w:val="21"/>
              </w:rPr>
            </w:pPr>
            <w:r>
              <w:rPr>
                <w:sz w:val="21"/>
              </w:rPr>
              <w:t xml:space="preserve"> </w:t>
            </w:r>
          </w:p>
        </w:tc>
        <w:tc>
          <w:tcPr>
            <w:tcW w:w="1427" w:type="dxa"/>
          </w:tcPr>
          <w:p w14:paraId="031A4F9E">
            <w:pPr>
              <w:pStyle w:val="318"/>
              <w:spacing w:before="90"/>
              <w:ind w:left="457"/>
              <w:rPr>
                <w:sz w:val="21"/>
              </w:rPr>
            </w:pPr>
            <w:r>
              <w:rPr>
                <w:sz w:val="21"/>
              </w:rPr>
              <w:t xml:space="preserve"> </w:t>
            </w:r>
          </w:p>
        </w:tc>
        <w:tc>
          <w:tcPr>
            <w:tcW w:w="2914" w:type="dxa"/>
          </w:tcPr>
          <w:p w14:paraId="776DC41F">
            <w:pPr>
              <w:pStyle w:val="318"/>
              <w:spacing w:before="90"/>
              <w:rPr>
                <w:sz w:val="21"/>
              </w:rPr>
            </w:pPr>
            <w:r>
              <w:rPr>
                <w:sz w:val="21"/>
              </w:rPr>
              <w:t xml:space="preserve"> </w:t>
            </w:r>
          </w:p>
        </w:tc>
      </w:tr>
      <w:tr w14:paraId="19C6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14:paraId="72E3EAC0">
            <w:pPr>
              <w:pStyle w:val="318"/>
              <w:rPr>
                <w:sz w:val="21"/>
              </w:rPr>
            </w:pPr>
            <w:r>
              <w:rPr>
                <w:sz w:val="21"/>
              </w:rPr>
              <w:t xml:space="preserve"> </w:t>
            </w:r>
          </w:p>
        </w:tc>
        <w:tc>
          <w:tcPr>
            <w:tcW w:w="1412" w:type="dxa"/>
          </w:tcPr>
          <w:p w14:paraId="47074CB5">
            <w:pPr>
              <w:pStyle w:val="318"/>
              <w:rPr>
                <w:sz w:val="21"/>
              </w:rPr>
            </w:pPr>
            <w:r>
              <w:rPr>
                <w:sz w:val="21"/>
              </w:rPr>
              <w:t xml:space="preserve"> </w:t>
            </w:r>
          </w:p>
        </w:tc>
        <w:tc>
          <w:tcPr>
            <w:tcW w:w="1427" w:type="dxa"/>
          </w:tcPr>
          <w:p w14:paraId="4C4A81E6">
            <w:pPr>
              <w:pStyle w:val="318"/>
              <w:ind w:left="457"/>
              <w:rPr>
                <w:sz w:val="21"/>
              </w:rPr>
            </w:pPr>
            <w:r>
              <w:rPr>
                <w:sz w:val="21"/>
              </w:rPr>
              <w:t xml:space="preserve"> </w:t>
            </w:r>
          </w:p>
        </w:tc>
        <w:tc>
          <w:tcPr>
            <w:tcW w:w="2914" w:type="dxa"/>
          </w:tcPr>
          <w:p w14:paraId="27272EB8">
            <w:pPr>
              <w:pStyle w:val="318"/>
              <w:rPr>
                <w:sz w:val="21"/>
              </w:rPr>
            </w:pPr>
            <w:r>
              <w:rPr>
                <w:sz w:val="21"/>
              </w:rPr>
              <w:t xml:space="preserve"> </w:t>
            </w:r>
          </w:p>
        </w:tc>
      </w:tr>
    </w:tbl>
    <w:p w14:paraId="6F1D7FA0">
      <w:pPr>
        <w:pStyle w:val="17"/>
        <w:spacing w:before="105"/>
        <w:ind w:left="581"/>
      </w:pPr>
      <w:r>
        <w:t xml:space="preserve"> </w:t>
      </w:r>
    </w:p>
    <w:p w14:paraId="215D9EEC">
      <w:pPr>
        <w:sectPr>
          <w:pgSz w:w="11910" w:h="16850"/>
          <w:pgMar w:top="1440" w:right="1080" w:bottom="1440" w:left="1080" w:header="0" w:footer="996" w:gutter="0"/>
          <w:cols w:space="720" w:num="1"/>
        </w:sectPr>
      </w:pPr>
    </w:p>
    <w:p w14:paraId="4CACF506">
      <w:pPr>
        <w:pStyle w:val="17"/>
        <w:spacing w:before="41"/>
        <w:ind w:left="326"/>
      </w:pPr>
      <w:r>
        <w:t xml:space="preserve">附件 3： </w:t>
      </w:r>
    </w:p>
    <w:p w14:paraId="0F28CDB0">
      <w:pPr>
        <w:pStyle w:val="17"/>
        <w:rPr>
          <w:sz w:val="20"/>
        </w:rPr>
      </w:pPr>
    </w:p>
    <w:p w14:paraId="1A987694">
      <w:pPr>
        <w:pStyle w:val="17"/>
        <w:spacing w:before="8"/>
        <w:rPr>
          <w:sz w:val="15"/>
        </w:rPr>
      </w:pPr>
    </w:p>
    <w:p w14:paraId="4F23DC6C">
      <w:pPr>
        <w:pStyle w:val="17"/>
        <w:spacing w:before="70"/>
        <w:ind w:right="707"/>
        <w:jc w:val="center"/>
      </w:pPr>
      <w:r>
        <w:t xml:space="preserve">承包人项目管理机构组成表 </w:t>
      </w:r>
    </w:p>
    <w:p w14:paraId="1A56B1E4">
      <w:pPr>
        <w:pStyle w:val="17"/>
        <w:spacing w:before="9"/>
        <w:rPr>
          <w:sz w:val="24"/>
        </w:rPr>
      </w:pPr>
    </w:p>
    <w:tbl>
      <w:tblPr>
        <w:tblStyle w:val="46"/>
        <w:tblW w:w="0" w:type="auto"/>
        <w:tblInd w:w="1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2"/>
        <w:gridCol w:w="1426"/>
        <w:gridCol w:w="1302"/>
        <w:gridCol w:w="965"/>
        <w:gridCol w:w="4265"/>
      </w:tblGrid>
      <w:tr w14:paraId="4453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14:paraId="31323B5B">
            <w:pPr>
              <w:pStyle w:val="318"/>
              <w:spacing w:line="265" w:lineRule="exact"/>
              <w:ind w:left="431" w:right="326"/>
              <w:jc w:val="center"/>
              <w:rPr>
                <w:sz w:val="21"/>
              </w:rPr>
            </w:pPr>
            <w:r>
              <w:rPr>
                <w:sz w:val="21"/>
              </w:rPr>
              <w:t xml:space="preserve">名 称 </w:t>
            </w:r>
          </w:p>
        </w:tc>
        <w:tc>
          <w:tcPr>
            <w:tcW w:w="1426" w:type="dxa"/>
          </w:tcPr>
          <w:p w14:paraId="565C1802">
            <w:pPr>
              <w:pStyle w:val="318"/>
              <w:spacing w:line="265" w:lineRule="exact"/>
              <w:ind w:left="503"/>
              <w:rPr>
                <w:sz w:val="21"/>
              </w:rPr>
            </w:pPr>
            <w:r>
              <w:rPr>
                <w:sz w:val="21"/>
              </w:rPr>
              <w:t xml:space="preserve">姓名 </w:t>
            </w:r>
          </w:p>
        </w:tc>
        <w:tc>
          <w:tcPr>
            <w:tcW w:w="1302" w:type="dxa"/>
          </w:tcPr>
          <w:p w14:paraId="356E170B">
            <w:pPr>
              <w:pStyle w:val="318"/>
              <w:spacing w:line="265" w:lineRule="exact"/>
              <w:ind w:left="368"/>
              <w:rPr>
                <w:sz w:val="21"/>
              </w:rPr>
            </w:pPr>
            <w:r>
              <w:rPr>
                <w:sz w:val="21"/>
              </w:rPr>
              <w:t xml:space="preserve">职务 </w:t>
            </w:r>
          </w:p>
        </w:tc>
        <w:tc>
          <w:tcPr>
            <w:tcW w:w="965" w:type="dxa"/>
          </w:tcPr>
          <w:p w14:paraId="357F516F">
            <w:pPr>
              <w:pStyle w:val="318"/>
              <w:spacing w:line="265" w:lineRule="exact"/>
              <w:ind w:left="369"/>
              <w:rPr>
                <w:sz w:val="21"/>
              </w:rPr>
            </w:pPr>
            <w:r>
              <w:rPr>
                <w:sz w:val="21"/>
              </w:rPr>
              <w:t xml:space="preserve">职称 </w:t>
            </w:r>
          </w:p>
        </w:tc>
        <w:tc>
          <w:tcPr>
            <w:tcW w:w="4265" w:type="dxa"/>
          </w:tcPr>
          <w:p w14:paraId="3C73ECA6">
            <w:pPr>
              <w:pStyle w:val="318"/>
              <w:spacing w:line="265" w:lineRule="exact"/>
              <w:ind w:left="670"/>
              <w:rPr>
                <w:sz w:val="21"/>
              </w:rPr>
            </w:pPr>
            <w:r>
              <w:rPr>
                <w:sz w:val="21"/>
              </w:rPr>
              <w:t xml:space="preserve">主要资历、经验及承担过的项目 </w:t>
            </w:r>
          </w:p>
        </w:tc>
      </w:tr>
      <w:tr w14:paraId="48C4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9820" w:type="dxa"/>
            <w:gridSpan w:val="5"/>
          </w:tcPr>
          <w:p w14:paraId="25209EB3">
            <w:pPr>
              <w:pStyle w:val="318"/>
              <w:spacing w:before="0"/>
              <w:ind w:left="0"/>
              <w:rPr>
                <w:sz w:val="14"/>
              </w:rPr>
            </w:pPr>
          </w:p>
          <w:p w14:paraId="2881DB94">
            <w:pPr>
              <w:pStyle w:val="318"/>
              <w:spacing w:before="0"/>
              <w:ind w:left="22"/>
              <w:rPr>
                <w:sz w:val="21"/>
              </w:rPr>
            </w:pPr>
            <w:r>
              <w:rPr>
                <w:sz w:val="21"/>
              </w:rPr>
              <w:t xml:space="preserve">一、总部人员 </w:t>
            </w:r>
          </w:p>
        </w:tc>
      </w:tr>
      <w:tr w14:paraId="2BB14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tcPr>
          <w:p w14:paraId="4BA5E5A5">
            <w:pPr>
              <w:pStyle w:val="318"/>
              <w:ind w:left="431" w:right="326"/>
              <w:jc w:val="center"/>
              <w:rPr>
                <w:sz w:val="21"/>
              </w:rPr>
            </w:pPr>
            <w:r>
              <w:rPr>
                <w:sz w:val="21"/>
              </w:rPr>
              <w:t xml:space="preserve">项目主管 </w:t>
            </w:r>
          </w:p>
        </w:tc>
        <w:tc>
          <w:tcPr>
            <w:tcW w:w="1426" w:type="dxa"/>
          </w:tcPr>
          <w:p w14:paraId="1BCBBFF7">
            <w:pPr>
              <w:pStyle w:val="318"/>
              <w:ind w:left="458"/>
              <w:rPr>
                <w:sz w:val="21"/>
                <w:lang w:val="en-US"/>
              </w:rPr>
            </w:pPr>
          </w:p>
        </w:tc>
        <w:tc>
          <w:tcPr>
            <w:tcW w:w="1302" w:type="dxa"/>
          </w:tcPr>
          <w:p w14:paraId="10BBC1A2">
            <w:pPr>
              <w:pStyle w:val="318"/>
              <w:ind w:left="0" w:right="87"/>
              <w:jc w:val="center"/>
              <w:rPr>
                <w:sz w:val="21"/>
                <w:lang w:val="en-US"/>
              </w:rPr>
            </w:pPr>
          </w:p>
        </w:tc>
        <w:tc>
          <w:tcPr>
            <w:tcW w:w="965" w:type="dxa"/>
          </w:tcPr>
          <w:p w14:paraId="5CDF45DE">
            <w:pPr>
              <w:pStyle w:val="318"/>
              <w:ind w:left="0" w:right="99"/>
              <w:jc w:val="center"/>
              <w:rPr>
                <w:sz w:val="21"/>
              </w:rPr>
            </w:pPr>
          </w:p>
        </w:tc>
        <w:tc>
          <w:tcPr>
            <w:tcW w:w="4265" w:type="dxa"/>
          </w:tcPr>
          <w:p w14:paraId="2532BAEC">
            <w:pPr>
              <w:pStyle w:val="318"/>
              <w:ind w:left="0"/>
              <w:rPr>
                <w:sz w:val="21"/>
                <w:lang w:val="en-US"/>
              </w:rPr>
            </w:pPr>
          </w:p>
        </w:tc>
      </w:tr>
      <w:tr w14:paraId="768A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14:paraId="099D0C96">
            <w:pPr>
              <w:pStyle w:val="318"/>
              <w:spacing w:before="90"/>
              <w:ind w:left="104"/>
              <w:jc w:val="center"/>
              <w:rPr>
                <w:sz w:val="21"/>
              </w:rPr>
            </w:pPr>
            <w:r>
              <w:rPr>
                <w:sz w:val="21"/>
              </w:rPr>
              <w:t xml:space="preserve"> </w:t>
            </w:r>
          </w:p>
        </w:tc>
        <w:tc>
          <w:tcPr>
            <w:tcW w:w="1426" w:type="dxa"/>
          </w:tcPr>
          <w:p w14:paraId="27D38CA9">
            <w:pPr>
              <w:pStyle w:val="318"/>
              <w:spacing w:before="90"/>
              <w:ind w:left="458"/>
              <w:rPr>
                <w:sz w:val="21"/>
              </w:rPr>
            </w:pPr>
          </w:p>
        </w:tc>
        <w:tc>
          <w:tcPr>
            <w:tcW w:w="1302" w:type="dxa"/>
          </w:tcPr>
          <w:p w14:paraId="1C34074C">
            <w:pPr>
              <w:pStyle w:val="318"/>
              <w:spacing w:before="90"/>
              <w:ind w:left="0" w:right="87"/>
              <w:jc w:val="center"/>
              <w:rPr>
                <w:sz w:val="21"/>
              </w:rPr>
            </w:pPr>
          </w:p>
        </w:tc>
        <w:tc>
          <w:tcPr>
            <w:tcW w:w="965" w:type="dxa"/>
          </w:tcPr>
          <w:p w14:paraId="23C17AD7">
            <w:pPr>
              <w:pStyle w:val="318"/>
              <w:spacing w:before="90"/>
              <w:ind w:left="0" w:right="99"/>
              <w:jc w:val="center"/>
              <w:rPr>
                <w:sz w:val="21"/>
              </w:rPr>
            </w:pPr>
          </w:p>
        </w:tc>
        <w:tc>
          <w:tcPr>
            <w:tcW w:w="4265" w:type="dxa"/>
          </w:tcPr>
          <w:p w14:paraId="017934B4">
            <w:pPr>
              <w:pStyle w:val="318"/>
              <w:spacing w:before="90"/>
              <w:ind w:left="459"/>
              <w:rPr>
                <w:sz w:val="21"/>
              </w:rPr>
            </w:pPr>
          </w:p>
        </w:tc>
      </w:tr>
      <w:tr w14:paraId="12C0A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14:paraId="72F84777">
            <w:pPr>
              <w:pStyle w:val="318"/>
              <w:spacing w:line="265" w:lineRule="exact"/>
              <w:ind w:left="431" w:right="326"/>
              <w:jc w:val="center"/>
              <w:rPr>
                <w:sz w:val="21"/>
              </w:rPr>
            </w:pPr>
            <w:r>
              <w:rPr>
                <w:sz w:val="21"/>
              </w:rPr>
              <w:t xml:space="preserve">其他人员 </w:t>
            </w:r>
          </w:p>
        </w:tc>
        <w:tc>
          <w:tcPr>
            <w:tcW w:w="1426" w:type="dxa"/>
          </w:tcPr>
          <w:p w14:paraId="28809F06">
            <w:pPr>
              <w:pStyle w:val="318"/>
              <w:spacing w:line="265" w:lineRule="exact"/>
              <w:ind w:left="458"/>
              <w:rPr>
                <w:sz w:val="21"/>
                <w:lang w:val="en-US"/>
              </w:rPr>
            </w:pPr>
          </w:p>
        </w:tc>
        <w:tc>
          <w:tcPr>
            <w:tcW w:w="1302" w:type="dxa"/>
          </w:tcPr>
          <w:p w14:paraId="48CFE966">
            <w:pPr>
              <w:pStyle w:val="318"/>
              <w:spacing w:line="265" w:lineRule="exact"/>
              <w:ind w:left="0" w:right="87"/>
              <w:jc w:val="center"/>
              <w:rPr>
                <w:sz w:val="21"/>
              </w:rPr>
            </w:pPr>
          </w:p>
        </w:tc>
        <w:tc>
          <w:tcPr>
            <w:tcW w:w="965" w:type="dxa"/>
          </w:tcPr>
          <w:p w14:paraId="1B22B2B6">
            <w:pPr>
              <w:pStyle w:val="318"/>
              <w:spacing w:line="265" w:lineRule="exact"/>
              <w:ind w:left="0" w:right="99"/>
              <w:jc w:val="center"/>
              <w:rPr>
                <w:sz w:val="21"/>
                <w:lang w:val="en-US"/>
              </w:rPr>
            </w:pPr>
          </w:p>
        </w:tc>
        <w:tc>
          <w:tcPr>
            <w:tcW w:w="4265" w:type="dxa"/>
          </w:tcPr>
          <w:p w14:paraId="356E99FB">
            <w:pPr>
              <w:pStyle w:val="318"/>
              <w:spacing w:line="265" w:lineRule="exact"/>
              <w:ind w:left="459"/>
              <w:rPr>
                <w:sz w:val="21"/>
                <w:lang w:val="en-US"/>
              </w:rPr>
            </w:pPr>
          </w:p>
        </w:tc>
      </w:tr>
      <w:tr w14:paraId="11142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tcPr>
          <w:p w14:paraId="5B21F6A8">
            <w:pPr>
              <w:pStyle w:val="318"/>
              <w:ind w:left="104"/>
              <w:jc w:val="center"/>
              <w:rPr>
                <w:sz w:val="21"/>
              </w:rPr>
            </w:pPr>
            <w:r>
              <w:rPr>
                <w:sz w:val="21"/>
              </w:rPr>
              <w:t xml:space="preserve"> </w:t>
            </w:r>
          </w:p>
        </w:tc>
        <w:tc>
          <w:tcPr>
            <w:tcW w:w="1426" w:type="dxa"/>
          </w:tcPr>
          <w:p w14:paraId="220EDD4D">
            <w:pPr>
              <w:pStyle w:val="318"/>
              <w:ind w:left="458"/>
              <w:rPr>
                <w:sz w:val="21"/>
              </w:rPr>
            </w:pPr>
            <w:r>
              <w:rPr>
                <w:sz w:val="21"/>
              </w:rPr>
              <w:t xml:space="preserve"> </w:t>
            </w:r>
          </w:p>
        </w:tc>
        <w:tc>
          <w:tcPr>
            <w:tcW w:w="1302" w:type="dxa"/>
          </w:tcPr>
          <w:p w14:paraId="33CACA21">
            <w:pPr>
              <w:pStyle w:val="318"/>
              <w:ind w:left="0" w:right="87"/>
              <w:jc w:val="center"/>
              <w:rPr>
                <w:sz w:val="21"/>
              </w:rPr>
            </w:pPr>
            <w:r>
              <w:rPr>
                <w:sz w:val="21"/>
              </w:rPr>
              <w:t xml:space="preserve"> </w:t>
            </w:r>
          </w:p>
        </w:tc>
        <w:tc>
          <w:tcPr>
            <w:tcW w:w="965" w:type="dxa"/>
          </w:tcPr>
          <w:p w14:paraId="75F128E2">
            <w:pPr>
              <w:pStyle w:val="318"/>
              <w:ind w:left="0" w:right="99"/>
              <w:jc w:val="center"/>
              <w:rPr>
                <w:sz w:val="21"/>
              </w:rPr>
            </w:pPr>
            <w:r>
              <w:rPr>
                <w:sz w:val="21"/>
              </w:rPr>
              <w:t xml:space="preserve"> </w:t>
            </w:r>
          </w:p>
        </w:tc>
        <w:tc>
          <w:tcPr>
            <w:tcW w:w="4265" w:type="dxa"/>
          </w:tcPr>
          <w:p w14:paraId="286CAC97">
            <w:pPr>
              <w:pStyle w:val="318"/>
              <w:ind w:left="459"/>
              <w:rPr>
                <w:sz w:val="21"/>
              </w:rPr>
            </w:pPr>
            <w:r>
              <w:rPr>
                <w:sz w:val="21"/>
              </w:rPr>
              <w:t xml:space="preserve"> </w:t>
            </w:r>
          </w:p>
        </w:tc>
      </w:tr>
      <w:tr w14:paraId="042F7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9820" w:type="dxa"/>
            <w:gridSpan w:val="5"/>
          </w:tcPr>
          <w:p w14:paraId="432A5623">
            <w:pPr>
              <w:pStyle w:val="318"/>
              <w:spacing w:before="90"/>
              <w:ind w:left="22"/>
              <w:rPr>
                <w:sz w:val="21"/>
              </w:rPr>
            </w:pPr>
            <w:r>
              <w:rPr>
                <w:sz w:val="21"/>
              </w:rPr>
              <w:t xml:space="preserve">二、现场人员 </w:t>
            </w:r>
          </w:p>
        </w:tc>
      </w:tr>
      <w:tr w14:paraId="3BE84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1862" w:type="dxa"/>
          </w:tcPr>
          <w:p w14:paraId="6C2E3FB5">
            <w:pPr>
              <w:pStyle w:val="318"/>
              <w:spacing w:line="265" w:lineRule="exact"/>
              <w:ind w:left="431" w:right="326"/>
              <w:jc w:val="center"/>
              <w:rPr>
                <w:sz w:val="21"/>
              </w:rPr>
            </w:pPr>
            <w:r>
              <w:rPr>
                <w:sz w:val="21"/>
              </w:rPr>
              <w:t xml:space="preserve">项目经理 </w:t>
            </w:r>
          </w:p>
        </w:tc>
        <w:tc>
          <w:tcPr>
            <w:tcW w:w="1426" w:type="dxa"/>
          </w:tcPr>
          <w:p w14:paraId="53EE9B03">
            <w:pPr>
              <w:pStyle w:val="318"/>
              <w:spacing w:line="265" w:lineRule="exact"/>
              <w:ind w:left="458"/>
              <w:rPr>
                <w:sz w:val="21"/>
                <w:lang w:val="en-US"/>
              </w:rPr>
            </w:pPr>
          </w:p>
        </w:tc>
        <w:tc>
          <w:tcPr>
            <w:tcW w:w="1302" w:type="dxa"/>
          </w:tcPr>
          <w:p w14:paraId="35C3642D">
            <w:pPr>
              <w:pStyle w:val="318"/>
              <w:spacing w:line="265" w:lineRule="exact"/>
              <w:ind w:left="0" w:right="87"/>
              <w:jc w:val="center"/>
              <w:rPr>
                <w:sz w:val="21"/>
                <w:lang w:val="en-US"/>
              </w:rPr>
            </w:pPr>
          </w:p>
        </w:tc>
        <w:tc>
          <w:tcPr>
            <w:tcW w:w="965" w:type="dxa"/>
          </w:tcPr>
          <w:p w14:paraId="3547A881">
            <w:pPr>
              <w:pStyle w:val="318"/>
              <w:spacing w:line="265" w:lineRule="exact"/>
              <w:ind w:left="0" w:right="99"/>
              <w:jc w:val="center"/>
              <w:rPr>
                <w:sz w:val="21"/>
                <w:lang w:val="en-US"/>
              </w:rPr>
            </w:pPr>
          </w:p>
        </w:tc>
        <w:tc>
          <w:tcPr>
            <w:tcW w:w="4265" w:type="dxa"/>
          </w:tcPr>
          <w:p w14:paraId="1C8837A3">
            <w:pPr>
              <w:widowControl/>
              <w:rPr>
                <w:sz w:val="21"/>
              </w:rPr>
            </w:pPr>
          </w:p>
        </w:tc>
      </w:tr>
      <w:tr w14:paraId="54B61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tcPr>
          <w:p w14:paraId="5A097429">
            <w:pPr>
              <w:pStyle w:val="318"/>
              <w:ind w:left="431" w:right="326"/>
              <w:jc w:val="center"/>
              <w:rPr>
                <w:sz w:val="21"/>
              </w:rPr>
            </w:pPr>
            <w:r>
              <w:rPr>
                <w:sz w:val="21"/>
              </w:rPr>
              <w:t xml:space="preserve">项目副经理 </w:t>
            </w:r>
          </w:p>
        </w:tc>
        <w:tc>
          <w:tcPr>
            <w:tcW w:w="1426" w:type="dxa"/>
          </w:tcPr>
          <w:p w14:paraId="1E33C9F9">
            <w:pPr>
              <w:pStyle w:val="318"/>
              <w:ind w:firstLine="210" w:firstLineChars="100"/>
              <w:rPr>
                <w:sz w:val="21"/>
                <w:lang w:val="en-US"/>
              </w:rPr>
            </w:pPr>
          </w:p>
        </w:tc>
        <w:tc>
          <w:tcPr>
            <w:tcW w:w="1302" w:type="dxa"/>
          </w:tcPr>
          <w:p w14:paraId="0AF995FF">
            <w:pPr>
              <w:pStyle w:val="318"/>
              <w:ind w:left="0" w:right="120"/>
              <w:jc w:val="center"/>
              <w:rPr>
                <w:sz w:val="21"/>
                <w:lang w:val="en-US"/>
              </w:rPr>
            </w:pPr>
          </w:p>
        </w:tc>
        <w:tc>
          <w:tcPr>
            <w:tcW w:w="965" w:type="dxa"/>
          </w:tcPr>
          <w:p w14:paraId="7149018C">
            <w:pPr>
              <w:pStyle w:val="318"/>
              <w:ind w:left="0" w:right="102"/>
              <w:jc w:val="center"/>
              <w:rPr>
                <w:sz w:val="21"/>
                <w:lang w:val="en-US"/>
              </w:rPr>
            </w:pPr>
          </w:p>
        </w:tc>
        <w:tc>
          <w:tcPr>
            <w:tcW w:w="4265" w:type="dxa"/>
          </w:tcPr>
          <w:p w14:paraId="0904A322">
            <w:pPr>
              <w:jc w:val="center"/>
              <w:rPr>
                <w:lang w:val="en-US"/>
              </w:rPr>
            </w:pPr>
          </w:p>
        </w:tc>
      </w:tr>
      <w:tr w14:paraId="1B478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14:paraId="2064B2AB">
            <w:pPr>
              <w:pStyle w:val="318"/>
              <w:spacing w:before="90"/>
              <w:ind w:left="431" w:right="326"/>
              <w:jc w:val="center"/>
              <w:rPr>
                <w:sz w:val="21"/>
              </w:rPr>
            </w:pPr>
            <w:r>
              <w:rPr>
                <w:sz w:val="21"/>
              </w:rPr>
              <w:t xml:space="preserve">技术负责人 </w:t>
            </w:r>
          </w:p>
        </w:tc>
        <w:tc>
          <w:tcPr>
            <w:tcW w:w="1426" w:type="dxa"/>
          </w:tcPr>
          <w:p w14:paraId="1D700D50">
            <w:pPr>
              <w:pStyle w:val="318"/>
              <w:spacing w:before="90"/>
              <w:ind w:left="458"/>
              <w:rPr>
                <w:sz w:val="21"/>
                <w:lang w:val="en-US"/>
              </w:rPr>
            </w:pPr>
          </w:p>
        </w:tc>
        <w:tc>
          <w:tcPr>
            <w:tcW w:w="1302" w:type="dxa"/>
          </w:tcPr>
          <w:p w14:paraId="3720A502">
            <w:pPr>
              <w:pStyle w:val="318"/>
              <w:spacing w:before="90"/>
              <w:ind w:left="0" w:right="87"/>
              <w:jc w:val="center"/>
              <w:rPr>
                <w:sz w:val="21"/>
                <w:lang w:val="en-US"/>
              </w:rPr>
            </w:pPr>
          </w:p>
        </w:tc>
        <w:tc>
          <w:tcPr>
            <w:tcW w:w="965" w:type="dxa"/>
          </w:tcPr>
          <w:p w14:paraId="1CEDFBE8">
            <w:pPr>
              <w:pStyle w:val="318"/>
              <w:spacing w:before="90"/>
              <w:ind w:left="0" w:right="99"/>
              <w:jc w:val="center"/>
              <w:rPr>
                <w:sz w:val="21"/>
                <w:lang w:val="en-US"/>
              </w:rPr>
            </w:pPr>
          </w:p>
        </w:tc>
        <w:tc>
          <w:tcPr>
            <w:tcW w:w="4265" w:type="dxa"/>
          </w:tcPr>
          <w:p w14:paraId="155F1C0F">
            <w:pPr>
              <w:jc w:val="center"/>
              <w:rPr>
                <w:sz w:val="21"/>
                <w:lang w:val="en-US"/>
              </w:rPr>
            </w:pPr>
          </w:p>
        </w:tc>
      </w:tr>
      <w:tr w14:paraId="73466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14:paraId="4E5A1ED8">
            <w:pPr>
              <w:pStyle w:val="318"/>
              <w:spacing w:line="265" w:lineRule="exact"/>
              <w:ind w:left="431" w:right="326"/>
              <w:jc w:val="center"/>
              <w:rPr>
                <w:sz w:val="21"/>
              </w:rPr>
            </w:pPr>
            <w:r>
              <w:rPr>
                <w:sz w:val="21"/>
              </w:rPr>
              <w:t xml:space="preserve">造价管理 </w:t>
            </w:r>
          </w:p>
        </w:tc>
        <w:tc>
          <w:tcPr>
            <w:tcW w:w="1426" w:type="dxa"/>
          </w:tcPr>
          <w:p w14:paraId="1FEC3FD2">
            <w:pPr>
              <w:pStyle w:val="318"/>
              <w:spacing w:line="265" w:lineRule="exact"/>
              <w:ind w:left="458"/>
              <w:rPr>
                <w:sz w:val="21"/>
                <w:lang w:val="en-US"/>
              </w:rPr>
            </w:pPr>
          </w:p>
        </w:tc>
        <w:tc>
          <w:tcPr>
            <w:tcW w:w="1302" w:type="dxa"/>
          </w:tcPr>
          <w:p w14:paraId="207FF77B">
            <w:pPr>
              <w:pStyle w:val="318"/>
              <w:spacing w:line="265" w:lineRule="exact"/>
              <w:ind w:left="0" w:right="87"/>
              <w:jc w:val="center"/>
              <w:rPr>
                <w:sz w:val="21"/>
                <w:lang w:val="en-US"/>
              </w:rPr>
            </w:pPr>
          </w:p>
        </w:tc>
        <w:tc>
          <w:tcPr>
            <w:tcW w:w="965" w:type="dxa"/>
          </w:tcPr>
          <w:p w14:paraId="29B37EC2">
            <w:pPr>
              <w:pStyle w:val="318"/>
              <w:spacing w:line="265" w:lineRule="exact"/>
              <w:ind w:left="0" w:right="99"/>
              <w:jc w:val="center"/>
              <w:rPr>
                <w:sz w:val="21"/>
              </w:rPr>
            </w:pPr>
          </w:p>
        </w:tc>
        <w:tc>
          <w:tcPr>
            <w:tcW w:w="4265" w:type="dxa"/>
          </w:tcPr>
          <w:p w14:paraId="4BB51C4E">
            <w:pPr>
              <w:jc w:val="center"/>
              <w:rPr>
                <w:lang w:val="en-US"/>
              </w:rPr>
            </w:pPr>
          </w:p>
        </w:tc>
      </w:tr>
      <w:tr w14:paraId="665D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tcPr>
          <w:p w14:paraId="162C1317">
            <w:pPr>
              <w:pStyle w:val="318"/>
              <w:ind w:left="431" w:right="326"/>
              <w:jc w:val="center"/>
              <w:rPr>
                <w:sz w:val="21"/>
              </w:rPr>
            </w:pPr>
            <w:r>
              <w:rPr>
                <w:sz w:val="21"/>
              </w:rPr>
              <w:t xml:space="preserve">质量管理 </w:t>
            </w:r>
          </w:p>
        </w:tc>
        <w:tc>
          <w:tcPr>
            <w:tcW w:w="1426" w:type="dxa"/>
          </w:tcPr>
          <w:p w14:paraId="0E1E39D6">
            <w:pPr>
              <w:pStyle w:val="318"/>
              <w:ind w:left="458"/>
              <w:rPr>
                <w:sz w:val="21"/>
              </w:rPr>
            </w:pPr>
          </w:p>
        </w:tc>
        <w:tc>
          <w:tcPr>
            <w:tcW w:w="1302" w:type="dxa"/>
          </w:tcPr>
          <w:p w14:paraId="56451E0F">
            <w:pPr>
              <w:pStyle w:val="318"/>
              <w:ind w:left="0" w:right="87"/>
              <w:jc w:val="center"/>
              <w:rPr>
                <w:sz w:val="21"/>
              </w:rPr>
            </w:pPr>
          </w:p>
        </w:tc>
        <w:tc>
          <w:tcPr>
            <w:tcW w:w="965" w:type="dxa"/>
          </w:tcPr>
          <w:p w14:paraId="1A3FAA90">
            <w:pPr>
              <w:pStyle w:val="318"/>
              <w:ind w:left="0" w:right="99"/>
              <w:jc w:val="center"/>
              <w:rPr>
                <w:sz w:val="21"/>
              </w:rPr>
            </w:pPr>
          </w:p>
        </w:tc>
        <w:tc>
          <w:tcPr>
            <w:tcW w:w="4265" w:type="dxa"/>
          </w:tcPr>
          <w:p w14:paraId="02450FB8">
            <w:pPr>
              <w:jc w:val="center"/>
            </w:pPr>
          </w:p>
        </w:tc>
      </w:tr>
      <w:tr w14:paraId="5080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14:paraId="54C72547">
            <w:pPr>
              <w:pStyle w:val="318"/>
              <w:spacing w:before="90"/>
              <w:ind w:left="431" w:right="326"/>
              <w:jc w:val="center"/>
              <w:rPr>
                <w:sz w:val="21"/>
              </w:rPr>
            </w:pPr>
            <w:r>
              <w:rPr>
                <w:sz w:val="21"/>
              </w:rPr>
              <w:t xml:space="preserve">材料管理 </w:t>
            </w:r>
          </w:p>
        </w:tc>
        <w:tc>
          <w:tcPr>
            <w:tcW w:w="1426" w:type="dxa"/>
          </w:tcPr>
          <w:p w14:paraId="4536925B">
            <w:pPr>
              <w:pStyle w:val="318"/>
              <w:spacing w:before="90"/>
              <w:ind w:firstLine="210" w:firstLineChars="100"/>
              <w:rPr>
                <w:sz w:val="21"/>
                <w:lang w:val="en-US"/>
              </w:rPr>
            </w:pPr>
          </w:p>
        </w:tc>
        <w:tc>
          <w:tcPr>
            <w:tcW w:w="1302" w:type="dxa"/>
          </w:tcPr>
          <w:p w14:paraId="5094D14E">
            <w:pPr>
              <w:pStyle w:val="318"/>
              <w:spacing w:before="90"/>
              <w:ind w:left="0" w:right="120"/>
              <w:jc w:val="center"/>
              <w:rPr>
                <w:sz w:val="21"/>
                <w:lang w:val="en-US"/>
              </w:rPr>
            </w:pPr>
          </w:p>
        </w:tc>
        <w:tc>
          <w:tcPr>
            <w:tcW w:w="965" w:type="dxa"/>
          </w:tcPr>
          <w:p w14:paraId="4FC96D1C">
            <w:pPr>
              <w:pStyle w:val="318"/>
              <w:spacing w:before="90"/>
              <w:ind w:left="0" w:right="99"/>
              <w:jc w:val="center"/>
              <w:rPr>
                <w:sz w:val="21"/>
              </w:rPr>
            </w:pPr>
          </w:p>
        </w:tc>
        <w:tc>
          <w:tcPr>
            <w:tcW w:w="4265" w:type="dxa"/>
          </w:tcPr>
          <w:p w14:paraId="6060282D">
            <w:pPr>
              <w:jc w:val="center"/>
            </w:pPr>
          </w:p>
        </w:tc>
      </w:tr>
      <w:tr w14:paraId="56583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14:paraId="01C491FF">
            <w:pPr>
              <w:pStyle w:val="318"/>
              <w:spacing w:line="265" w:lineRule="exact"/>
              <w:ind w:left="431" w:right="326"/>
              <w:jc w:val="center"/>
              <w:rPr>
                <w:sz w:val="21"/>
              </w:rPr>
            </w:pPr>
            <w:r>
              <w:rPr>
                <w:sz w:val="21"/>
              </w:rPr>
              <w:t xml:space="preserve">计划管理 </w:t>
            </w:r>
          </w:p>
        </w:tc>
        <w:tc>
          <w:tcPr>
            <w:tcW w:w="1426" w:type="dxa"/>
          </w:tcPr>
          <w:p w14:paraId="3DB84CCD">
            <w:pPr>
              <w:pStyle w:val="318"/>
              <w:spacing w:line="265" w:lineRule="exact"/>
              <w:ind w:left="458"/>
              <w:rPr>
                <w:sz w:val="21"/>
                <w:lang w:val="en-US"/>
              </w:rPr>
            </w:pPr>
          </w:p>
        </w:tc>
        <w:tc>
          <w:tcPr>
            <w:tcW w:w="1302" w:type="dxa"/>
          </w:tcPr>
          <w:p w14:paraId="558DB3F7">
            <w:pPr>
              <w:pStyle w:val="318"/>
              <w:spacing w:line="265" w:lineRule="exact"/>
              <w:ind w:left="0" w:right="87"/>
              <w:jc w:val="center"/>
              <w:rPr>
                <w:sz w:val="21"/>
              </w:rPr>
            </w:pPr>
          </w:p>
        </w:tc>
        <w:tc>
          <w:tcPr>
            <w:tcW w:w="965" w:type="dxa"/>
          </w:tcPr>
          <w:p w14:paraId="09163872">
            <w:pPr>
              <w:pStyle w:val="318"/>
              <w:spacing w:line="265" w:lineRule="exact"/>
              <w:ind w:left="0" w:right="99"/>
              <w:jc w:val="center"/>
              <w:rPr>
                <w:sz w:val="21"/>
              </w:rPr>
            </w:pPr>
          </w:p>
        </w:tc>
        <w:tc>
          <w:tcPr>
            <w:tcW w:w="4265" w:type="dxa"/>
          </w:tcPr>
          <w:p w14:paraId="3BBCF9F8">
            <w:pPr>
              <w:jc w:val="center"/>
            </w:pPr>
          </w:p>
        </w:tc>
      </w:tr>
      <w:tr w14:paraId="7A8D4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tcPr>
          <w:p w14:paraId="2136183D">
            <w:pPr>
              <w:pStyle w:val="318"/>
              <w:ind w:left="431" w:right="326"/>
              <w:jc w:val="center"/>
              <w:rPr>
                <w:sz w:val="21"/>
              </w:rPr>
            </w:pPr>
            <w:r>
              <w:rPr>
                <w:sz w:val="21"/>
              </w:rPr>
              <w:t xml:space="preserve">安全管理 </w:t>
            </w:r>
          </w:p>
        </w:tc>
        <w:tc>
          <w:tcPr>
            <w:tcW w:w="1426" w:type="dxa"/>
          </w:tcPr>
          <w:p w14:paraId="2DCFB20F">
            <w:pPr>
              <w:pStyle w:val="318"/>
              <w:ind w:left="458"/>
              <w:rPr>
                <w:sz w:val="21"/>
                <w:lang w:val="en-US"/>
              </w:rPr>
            </w:pPr>
          </w:p>
        </w:tc>
        <w:tc>
          <w:tcPr>
            <w:tcW w:w="1302" w:type="dxa"/>
          </w:tcPr>
          <w:p w14:paraId="01E212F5">
            <w:pPr>
              <w:pStyle w:val="318"/>
              <w:ind w:left="0" w:right="87"/>
              <w:jc w:val="center"/>
              <w:rPr>
                <w:sz w:val="21"/>
                <w:lang w:val="en-US"/>
              </w:rPr>
            </w:pPr>
          </w:p>
        </w:tc>
        <w:tc>
          <w:tcPr>
            <w:tcW w:w="965" w:type="dxa"/>
          </w:tcPr>
          <w:p w14:paraId="268E4721">
            <w:pPr>
              <w:pStyle w:val="318"/>
              <w:ind w:left="0" w:right="99"/>
              <w:jc w:val="center"/>
              <w:rPr>
                <w:sz w:val="21"/>
              </w:rPr>
            </w:pPr>
          </w:p>
        </w:tc>
        <w:tc>
          <w:tcPr>
            <w:tcW w:w="4265" w:type="dxa"/>
          </w:tcPr>
          <w:p w14:paraId="4E9D2E30">
            <w:pPr>
              <w:jc w:val="center"/>
            </w:pPr>
          </w:p>
        </w:tc>
      </w:tr>
      <w:tr w14:paraId="1C83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vMerge w:val="restart"/>
          </w:tcPr>
          <w:p w14:paraId="0DF03344">
            <w:pPr>
              <w:pStyle w:val="318"/>
              <w:spacing w:before="0"/>
              <w:ind w:left="0"/>
              <w:rPr>
                <w:sz w:val="20"/>
              </w:rPr>
            </w:pPr>
          </w:p>
          <w:p w14:paraId="00B65F0B">
            <w:pPr>
              <w:pStyle w:val="318"/>
              <w:spacing w:before="0"/>
              <w:ind w:left="0"/>
              <w:rPr>
                <w:sz w:val="20"/>
              </w:rPr>
            </w:pPr>
          </w:p>
          <w:p w14:paraId="65330050">
            <w:pPr>
              <w:pStyle w:val="318"/>
              <w:spacing w:before="0"/>
              <w:ind w:left="0"/>
              <w:rPr>
                <w:sz w:val="20"/>
              </w:rPr>
            </w:pPr>
          </w:p>
          <w:p w14:paraId="660AF648">
            <w:pPr>
              <w:pStyle w:val="318"/>
              <w:spacing w:before="162"/>
              <w:ind w:left="502"/>
              <w:rPr>
                <w:sz w:val="21"/>
              </w:rPr>
            </w:pPr>
            <w:r>
              <w:rPr>
                <w:sz w:val="21"/>
              </w:rPr>
              <w:t xml:space="preserve">其他人员 </w:t>
            </w:r>
          </w:p>
        </w:tc>
        <w:tc>
          <w:tcPr>
            <w:tcW w:w="1426" w:type="dxa"/>
          </w:tcPr>
          <w:p w14:paraId="4C5B5581">
            <w:pPr>
              <w:pStyle w:val="318"/>
              <w:spacing w:before="90"/>
              <w:ind w:left="458"/>
              <w:rPr>
                <w:sz w:val="21"/>
                <w:lang w:val="en-US"/>
              </w:rPr>
            </w:pPr>
          </w:p>
        </w:tc>
        <w:tc>
          <w:tcPr>
            <w:tcW w:w="1302" w:type="dxa"/>
          </w:tcPr>
          <w:p w14:paraId="2145B26A">
            <w:pPr>
              <w:pStyle w:val="318"/>
              <w:spacing w:before="90"/>
              <w:ind w:left="0" w:right="87"/>
              <w:jc w:val="center"/>
              <w:rPr>
                <w:sz w:val="21"/>
              </w:rPr>
            </w:pPr>
          </w:p>
        </w:tc>
        <w:tc>
          <w:tcPr>
            <w:tcW w:w="965" w:type="dxa"/>
          </w:tcPr>
          <w:p w14:paraId="3AB4DFFD">
            <w:pPr>
              <w:pStyle w:val="318"/>
              <w:spacing w:before="90"/>
              <w:ind w:left="0" w:right="99"/>
              <w:jc w:val="center"/>
              <w:rPr>
                <w:sz w:val="21"/>
              </w:rPr>
            </w:pPr>
          </w:p>
        </w:tc>
        <w:tc>
          <w:tcPr>
            <w:tcW w:w="4265" w:type="dxa"/>
          </w:tcPr>
          <w:p w14:paraId="6677BCE5">
            <w:pPr>
              <w:jc w:val="center"/>
            </w:pPr>
          </w:p>
        </w:tc>
      </w:tr>
      <w:tr w14:paraId="35C3F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862" w:type="dxa"/>
            <w:vMerge w:val="continue"/>
            <w:tcBorders>
              <w:top w:val="nil"/>
            </w:tcBorders>
          </w:tcPr>
          <w:p w14:paraId="31ED04E5">
            <w:pPr>
              <w:rPr>
                <w:sz w:val="2"/>
                <w:szCs w:val="2"/>
              </w:rPr>
            </w:pPr>
          </w:p>
        </w:tc>
        <w:tc>
          <w:tcPr>
            <w:tcW w:w="1426" w:type="dxa"/>
            <w:tcBorders>
              <w:bottom w:val="single" w:color="000000" w:sz="8" w:space="0"/>
            </w:tcBorders>
          </w:tcPr>
          <w:p w14:paraId="3994D8EA">
            <w:pPr>
              <w:pStyle w:val="318"/>
              <w:spacing w:line="263" w:lineRule="exact"/>
              <w:ind w:left="458"/>
              <w:rPr>
                <w:sz w:val="21"/>
              </w:rPr>
            </w:pPr>
            <w:r>
              <w:rPr>
                <w:sz w:val="21"/>
              </w:rPr>
              <w:t xml:space="preserve"> </w:t>
            </w:r>
          </w:p>
        </w:tc>
        <w:tc>
          <w:tcPr>
            <w:tcW w:w="1302" w:type="dxa"/>
            <w:tcBorders>
              <w:bottom w:val="single" w:color="000000" w:sz="8" w:space="0"/>
            </w:tcBorders>
          </w:tcPr>
          <w:p w14:paraId="7AB4421D">
            <w:pPr>
              <w:pStyle w:val="318"/>
              <w:spacing w:line="263" w:lineRule="exact"/>
              <w:ind w:left="0" w:right="87"/>
              <w:jc w:val="center"/>
              <w:rPr>
                <w:sz w:val="21"/>
              </w:rPr>
            </w:pPr>
            <w:r>
              <w:rPr>
                <w:sz w:val="21"/>
              </w:rPr>
              <w:t xml:space="preserve"> </w:t>
            </w:r>
          </w:p>
        </w:tc>
        <w:tc>
          <w:tcPr>
            <w:tcW w:w="965" w:type="dxa"/>
            <w:tcBorders>
              <w:bottom w:val="single" w:color="000000" w:sz="8" w:space="0"/>
            </w:tcBorders>
          </w:tcPr>
          <w:p w14:paraId="22C680FD">
            <w:pPr>
              <w:pStyle w:val="318"/>
              <w:spacing w:line="263" w:lineRule="exact"/>
              <w:ind w:left="0" w:right="99"/>
              <w:jc w:val="center"/>
              <w:rPr>
                <w:sz w:val="21"/>
              </w:rPr>
            </w:pPr>
            <w:r>
              <w:rPr>
                <w:sz w:val="21"/>
              </w:rPr>
              <w:t xml:space="preserve"> </w:t>
            </w:r>
          </w:p>
        </w:tc>
        <w:tc>
          <w:tcPr>
            <w:tcW w:w="4265" w:type="dxa"/>
            <w:tcBorders>
              <w:bottom w:val="single" w:color="000000" w:sz="8" w:space="0"/>
            </w:tcBorders>
          </w:tcPr>
          <w:p w14:paraId="5CCEC0E5">
            <w:pPr>
              <w:pStyle w:val="318"/>
              <w:spacing w:line="263" w:lineRule="exact"/>
              <w:ind w:left="459"/>
              <w:rPr>
                <w:sz w:val="21"/>
              </w:rPr>
            </w:pPr>
            <w:r>
              <w:rPr>
                <w:sz w:val="21"/>
              </w:rPr>
              <w:t xml:space="preserve"> </w:t>
            </w:r>
          </w:p>
        </w:tc>
      </w:tr>
      <w:tr w14:paraId="3318D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862" w:type="dxa"/>
            <w:vMerge w:val="continue"/>
            <w:tcBorders>
              <w:top w:val="nil"/>
            </w:tcBorders>
          </w:tcPr>
          <w:p w14:paraId="5E95B56D">
            <w:pPr>
              <w:rPr>
                <w:sz w:val="2"/>
                <w:szCs w:val="2"/>
              </w:rPr>
            </w:pPr>
          </w:p>
        </w:tc>
        <w:tc>
          <w:tcPr>
            <w:tcW w:w="1426" w:type="dxa"/>
            <w:tcBorders>
              <w:top w:val="single" w:color="000000" w:sz="8" w:space="0"/>
            </w:tcBorders>
          </w:tcPr>
          <w:p w14:paraId="5DE73A54">
            <w:pPr>
              <w:pStyle w:val="318"/>
              <w:spacing w:before="102"/>
              <w:ind w:left="458"/>
              <w:rPr>
                <w:sz w:val="21"/>
              </w:rPr>
            </w:pPr>
            <w:r>
              <w:rPr>
                <w:sz w:val="21"/>
              </w:rPr>
              <w:t xml:space="preserve"> </w:t>
            </w:r>
          </w:p>
        </w:tc>
        <w:tc>
          <w:tcPr>
            <w:tcW w:w="1302" w:type="dxa"/>
            <w:tcBorders>
              <w:top w:val="single" w:color="000000" w:sz="8" w:space="0"/>
            </w:tcBorders>
          </w:tcPr>
          <w:p w14:paraId="490CDF80">
            <w:pPr>
              <w:pStyle w:val="318"/>
              <w:spacing w:before="102"/>
              <w:ind w:left="0" w:right="87"/>
              <w:jc w:val="center"/>
              <w:rPr>
                <w:sz w:val="21"/>
              </w:rPr>
            </w:pPr>
            <w:r>
              <w:rPr>
                <w:sz w:val="21"/>
              </w:rPr>
              <w:t xml:space="preserve"> </w:t>
            </w:r>
          </w:p>
        </w:tc>
        <w:tc>
          <w:tcPr>
            <w:tcW w:w="965" w:type="dxa"/>
            <w:tcBorders>
              <w:top w:val="single" w:color="000000" w:sz="8" w:space="0"/>
            </w:tcBorders>
          </w:tcPr>
          <w:p w14:paraId="43F2100B">
            <w:pPr>
              <w:pStyle w:val="318"/>
              <w:spacing w:before="102"/>
              <w:ind w:left="0" w:right="99"/>
              <w:jc w:val="center"/>
              <w:rPr>
                <w:sz w:val="21"/>
              </w:rPr>
            </w:pPr>
            <w:r>
              <w:rPr>
                <w:sz w:val="21"/>
              </w:rPr>
              <w:t xml:space="preserve"> </w:t>
            </w:r>
          </w:p>
        </w:tc>
        <w:tc>
          <w:tcPr>
            <w:tcW w:w="4265" w:type="dxa"/>
            <w:tcBorders>
              <w:top w:val="single" w:color="000000" w:sz="8" w:space="0"/>
            </w:tcBorders>
          </w:tcPr>
          <w:p w14:paraId="7317BD9D">
            <w:pPr>
              <w:pStyle w:val="318"/>
              <w:spacing w:before="102"/>
              <w:ind w:left="459"/>
              <w:rPr>
                <w:sz w:val="21"/>
              </w:rPr>
            </w:pPr>
            <w:r>
              <w:rPr>
                <w:sz w:val="21"/>
              </w:rPr>
              <w:t xml:space="preserve"> </w:t>
            </w:r>
          </w:p>
        </w:tc>
      </w:tr>
      <w:tr w14:paraId="6692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vMerge w:val="continue"/>
            <w:tcBorders>
              <w:top w:val="nil"/>
            </w:tcBorders>
          </w:tcPr>
          <w:p w14:paraId="594F2509">
            <w:pPr>
              <w:rPr>
                <w:sz w:val="2"/>
                <w:szCs w:val="2"/>
              </w:rPr>
            </w:pPr>
          </w:p>
        </w:tc>
        <w:tc>
          <w:tcPr>
            <w:tcW w:w="1426" w:type="dxa"/>
          </w:tcPr>
          <w:p w14:paraId="68C81122">
            <w:pPr>
              <w:pStyle w:val="318"/>
              <w:ind w:left="458"/>
              <w:rPr>
                <w:sz w:val="21"/>
              </w:rPr>
            </w:pPr>
            <w:r>
              <w:rPr>
                <w:sz w:val="21"/>
              </w:rPr>
              <w:t xml:space="preserve"> </w:t>
            </w:r>
          </w:p>
        </w:tc>
        <w:tc>
          <w:tcPr>
            <w:tcW w:w="1302" w:type="dxa"/>
          </w:tcPr>
          <w:p w14:paraId="05D496B9">
            <w:pPr>
              <w:pStyle w:val="318"/>
              <w:ind w:left="0" w:right="87"/>
              <w:jc w:val="center"/>
              <w:rPr>
                <w:sz w:val="21"/>
              </w:rPr>
            </w:pPr>
            <w:r>
              <w:rPr>
                <w:sz w:val="21"/>
              </w:rPr>
              <w:t xml:space="preserve"> </w:t>
            </w:r>
          </w:p>
        </w:tc>
        <w:tc>
          <w:tcPr>
            <w:tcW w:w="965" w:type="dxa"/>
          </w:tcPr>
          <w:p w14:paraId="1FD47422">
            <w:pPr>
              <w:pStyle w:val="318"/>
              <w:ind w:left="0" w:right="99"/>
              <w:jc w:val="center"/>
              <w:rPr>
                <w:sz w:val="21"/>
              </w:rPr>
            </w:pPr>
            <w:r>
              <w:rPr>
                <w:sz w:val="21"/>
              </w:rPr>
              <w:t xml:space="preserve"> </w:t>
            </w:r>
          </w:p>
        </w:tc>
        <w:tc>
          <w:tcPr>
            <w:tcW w:w="4265" w:type="dxa"/>
          </w:tcPr>
          <w:p w14:paraId="1EBB9B9A">
            <w:pPr>
              <w:pStyle w:val="318"/>
              <w:ind w:left="459"/>
              <w:rPr>
                <w:sz w:val="21"/>
              </w:rPr>
            </w:pPr>
            <w:r>
              <w:rPr>
                <w:sz w:val="21"/>
              </w:rPr>
              <w:t xml:space="preserve"> </w:t>
            </w:r>
          </w:p>
        </w:tc>
      </w:tr>
      <w:tr w14:paraId="79F5B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vMerge w:val="continue"/>
            <w:tcBorders>
              <w:top w:val="nil"/>
            </w:tcBorders>
          </w:tcPr>
          <w:p w14:paraId="126E7F6F">
            <w:pPr>
              <w:rPr>
                <w:sz w:val="2"/>
                <w:szCs w:val="2"/>
              </w:rPr>
            </w:pPr>
          </w:p>
        </w:tc>
        <w:tc>
          <w:tcPr>
            <w:tcW w:w="1426" w:type="dxa"/>
          </w:tcPr>
          <w:p w14:paraId="01D34676">
            <w:pPr>
              <w:pStyle w:val="318"/>
              <w:ind w:left="458"/>
              <w:rPr>
                <w:sz w:val="21"/>
              </w:rPr>
            </w:pPr>
            <w:r>
              <w:rPr>
                <w:sz w:val="21"/>
              </w:rPr>
              <w:t xml:space="preserve"> </w:t>
            </w:r>
          </w:p>
        </w:tc>
        <w:tc>
          <w:tcPr>
            <w:tcW w:w="1302" w:type="dxa"/>
          </w:tcPr>
          <w:p w14:paraId="19D55E5B">
            <w:pPr>
              <w:pStyle w:val="318"/>
              <w:ind w:left="0" w:right="87"/>
              <w:jc w:val="center"/>
              <w:rPr>
                <w:sz w:val="21"/>
              </w:rPr>
            </w:pPr>
            <w:r>
              <w:rPr>
                <w:sz w:val="21"/>
              </w:rPr>
              <w:t xml:space="preserve"> </w:t>
            </w:r>
          </w:p>
        </w:tc>
        <w:tc>
          <w:tcPr>
            <w:tcW w:w="965" w:type="dxa"/>
          </w:tcPr>
          <w:p w14:paraId="442A3D55">
            <w:pPr>
              <w:pStyle w:val="318"/>
              <w:ind w:left="0" w:right="99"/>
              <w:jc w:val="center"/>
              <w:rPr>
                <w:sz w:val="21"/>
              </w:rPr>
            </w:pPr>
            <w:r>
              <w:rPr>
                <w:sz w:val="21"/>
              </w:rPr>
              <w:t xml:space="preserve"> </w:t>
            </w:r>
          </w:p>
        </w:tc>
        <w:tc>
          <w:tcPr>
            <w:tcW w:w="4265" w:type="dxa"/>
          </w:tcPr>
          <w:p w14:paraId="4A8DF7D8">
            <w:pPr>
              <w:pStyle w:val="318"/>
              <w:ind w:left="459"/>
              <w:rPr>
                <w:sz w:val="21"/>
              </w:rPr>
            </w:pPr>
            <w:r>
              <w:rPr>
                <w:sz w:val="21"/>
              </w:rPr>
              <w:t xml:space="preserve"> </w:t>
            </w:r>
          </w:p>
        </w:tc>
      </w:tr>
    </w:tbl>
    <w:p w14:paraId="1CD71127">
      <w:pPr>
        <w:rPr>
          <w:sz w:val="21"/>
        </w:rPr>
        <w:sectPr>
          <w:pgSz w:w="11910" w:h="16850"/>
          <w:pgMar w:top="1440" w:right="1080" w:bottom="1440" w:left="1080" w:header="0" w:footer="996" w:gutter="0"/>
          <w:cols w:space="720" w:num="1"/>
        </w:sectPr>
      </w:pPr>
    </w:p>
    <w:p w14:paraId="6D725684">
      <w:pPr>
        <w:pStyle w:val="17"/>
        <w:spacing w:before="41"/>
        <w:ind w:left="161"/>
      </w:pPr>
      <w:r>
        <w:t xml:space="preserve">附件 4： </w:t>
      </w:r>
    </w:p>
    <w:p w14:paraId="574473F4">
      <w:pPr>
        <w:pStyle w:val="17"/>
        <w:rPr>
          <w:sz w:val="20"/>
        </w:rPr>
      </w:pPr>
    </w:p>
    <w:p w14:paraId="5B15D5F6">
      <w:pPr>
        <w:pStyle w:val="17"/>
        <w:spacing w:before="8"/>
        <w:rPr>
          <w:sz w:val="15"/>
        </w:rPr>
      </w:pPr>
    </w:p>
    <w:p w14:paraId="062C30D6">
      <w:pPr>
        <w:pStyle w:val="17"/>
        <w:spacing w:before="70"/>
        <w:ind w:right="1039"/>
        <w:jc w:val="center"/>
      </w:pPr>
      <w:r>
        <w:t xml:space="preserve">履约担保（如有） </w:t>
      </w:r>
    </w:p>
    <w:p w14:paraId="1F824FE5">
      <w:pPr>
        <w:pStyle w:val="17"/>
        <w:spacing w:before="6"/>
        <w:rPr>
          <w:sz w:val="27"/>
        </w:rPr>
      </w:pPr>
    </w:p>
    <w:p w14:paraId="5B41E8FB">
      <w:pPr>
        <w:pStyle w:val="17"/>
        <w:tabs>
          <w:tab w:val="left" w:pos="1002"/>
        </w:tabs>
        <w:spacing w:before="70"/>
        <w:ind w:left="581"/>
      </w:pPr>
      <w:r>
        <w:rPr>
          <w:u w:val="single"/>
        </w:rPr>
        <w:t xml:space="preserve"> </w:t>
      </w:r>
      <w:r>
        <w:rPr>
          <w:u w:val="single"/>
        </w:rPr>
        <w:tab/>
      </w:r>
      <w:r>
        <w:rPr>
          <w:u w:val="single"/>
        </w:rPr>
        <w:t xml:space="preserve">      </w:t>
      </w:r>
      <w:r>
        <w:rPr>
          <w:spacing w:val="1"/>
          <w:u w:val="single"/>
        </w:rPr>
        <w:t xml:space="preserve"> </w:t>
      </w:r>
      <w:r>
        <w:t xml:space="preserve">（发包人名称）： </w:t>
      </w:r>
    </w:p>
    <w:p w14:paraId="70C2E764">
      <w:pPr>
        <w:pStyle w:val="17"/>
        <w:rPr>
          <w:sz w:val="20"/>
        </w:rPr>
      </w:pPr>
    </w:p>
    <w:p w14:paraId="6361F9E5">
      <w:pPr>
        <w:pStyle w:val="17"/>
        <w:spacing w:before="2"/>
        <w:rPr>
          <w:sz w:val="26"/>
        </w:rPr>
      </w:pPr>
    </w:p>
    <w:p w14:paraId="753D5E81">
      <w:pPr>
        <w:pStyle w:val="17"/>
        <w:spacing w:before="70"/>
        <w:ind w:left="581"/>
      </w:pPr>
      <w:r>
        <w:t>鉴于</w:t>
      </w:r>
      <w:r>
        <w:rPr>
          <w:u w:val="single"/>
        </w:rPr>
        <w:t xml:space="preserve"> </w:t>
      </w:r>
      <w:r>
        <w:t xml:space="preserve">（发包人名称，以下简称“发包人”）与 </w:t>
      </w:r>
    </w:p>
    <w:p w14:paraId="6449DD4A">
      <w:pPr>
        <w:pStyle w:val="17"/>
        <w:rPr>
          <w:sz w:val="11"/>
        </w:rPr>
      </w:pPr>
    </w:p>
    <w:p w14:paraId="46B457F2">
      <w:pPr>
        <w:pStyle w:val="17"/>
        <w:spacing w:before="71"/>
        <w:ind w:left="161"/>
      </w:pPr>
      <w:r>
        <w:t xml:space="preserve"> </w:t>
      </w:r>
      <w:r>
        <w:rPr>
          <w:u w:val="single"/>
        </w:rPr>
        <w:t xml:space="preserve">                                </w:t>
      </w:r>
      <w:r>
        <w:t>（</w:t>
      </w:r>
      <w:r>
        <w:rPr>
          <w:spacing w:val="15"/>
        </w:rPr>
        <w:t xml:space="preserve"> 承包人名称</w:t>
      </w:r>
      <w:r>
        <w:t>）</w:t>
      </w:r>
      <w:r>
        <w:rPr>
          <w:spacing w:val="-60"/>
        </w:rPr>
        <w:t xml:space="preserve"> </w:t>
      </w:r>
      <w:r>
        <w:t>（</w:t>
      </w:r>
      <w:r>
        <w:rPr>
          <w:spacing w:val="-1"/>
        </w:rPr>
        <w:t xml:space="preserve"> 以下称“ 承包人” </w:t>
      </w:r>
      <w:r>
        <w:t>）</w:t>
      </w:r>
      <w:r>
        <w:rPr>
          <w:spacing w:val="-15"/>
        </w:rPr>
        <w:t xml:space="preserve"> 于</w:t>
      </w:r>
      <w:r>
        <w:rPr>
          <w:spacing w:val="95"/>
        </w:rPr>
        <w:t xml:space="preserve"> 年</w:t>
      </w:r>
      <w:r>
        <w:rPr>
          <w:spacing w:val="95"/>
          <w:u w:val="single"/>
        </w:rPr>
        <w:t xml:space="preserve"> </w:t>
      </w:r>
      <w:r>
        <w:rPr>
          <w:spacing w:val="45"/>
        </w:rPr>
        <w:t>月</w:t>
      </w:r>
      <w:r>
        <w:rPr>
          <w:spacing w:val="165"/>
          <w:u w:val="single"/>
        </w:rPr>
        <w:t xml:space="preserve"> </w:t>
      </w:r>
      <w:r>
        <w:rPr>
          <w:spacing w:val="15"/>
        </w:rPr>
        <w:t xml:space="preserve">日就      </w:t>
      </w:r>
      <w:r>
        <w:rPr>
          <w:spacing w:val="14"/>
        </w:rPr>
        <w:t xml:space="preserve"> </w:t>
      </w:r>
      <w:r>
        <w:t xml:space="preserve">     </w:t>
      </w:r>
    </w:p>
    <w:p w14:paraId="7DB2CD5C">
      <w:pPr>
        <w:pStyle w:val="17"/>
        <w:spacing w:before="10"/>
        <w:rPr>
          <w:sz w:val="9"/>
        </w:rPr>
      </w:pPr>
    </w:p>
    <w:p w14:paraId="20A5C313">
      <w:pPr>
        <w:pStyle w:val="17"/>
        <w:spacing w:before="71" w:line="415" w:lineRule="auto"/>
        <w:ind w:left="161" w:right="1279"/>
      </w:pPr>
      <w:r>
        <w:t xml:space="preserve">（工程名称）施工及有关事项协商一致共同签订《建设工程施工合同》。我方愿意无条件地、不可撤销地就承包人履行与你方签订的合同，向你方提供连带责任担保。 </w:t>
      </w:r>
    </w:p>
    <w:p w14:paraId="10F41E1B">
      <w:pPr>
        <w:pStyle w:val="17"/>
        <w:spacing w:line="269" w:lineRule="exact"/>
        <w:ind w:left="581"/>
      </w:pPr>
      <w:r>
        <w:t>1. 担保金额人民币（大写）</w:t>
      </w:r>
      <w:r>
        <w:rPr>
          <w:u w:val="single"/>
        </w:rPr>
        <w:t xml:space="preserve"> </w:t>
      </w:r>
      <w:r>
        <w:t>元（¥</w:t>
      </w:r>
      <w:r>
        <w:rPr>
          <w:u w:val="single"/>
        </w:rPr>
        <w:t xml:space="preserve"> </w:t>
      </w:r>
      <w:r>
        <w:t xml:space="preserve">）。 </w:t>
      </w:r>
    </w:p>
    <w:p w14:paraId="238632C9">
      <w:pPr>
        <w:pStyle w:val="17"/>
        <w:spacing w:before="10"/>
        <w:rPr>
          <w:sz w:val="9"/>
        </w:rPr>
      </w:pPr>
    </w:p>
    <w:p w14:paraId="4DEBC2D7">
      <w:pPr>
        <w:pStyle w:val="317"/>
        <w:numPr>
          <w:ilvl w:val="0"/>
          <w:numId w:val="80"/>
        </w:numPr>
        <w:tabs>
          <w:tab w:val="left" w:pos="793"/>
        </w:tabs>
        <w:spacing w:before="71"/>
        <w:ind w:hanging="212"/>
        <w:rPr>
          <w:sz w:val="21"/>
        </w:rPr>
      </w:pPr>
      <w:r>
        <w:rPr>
          <w:spacing w:val="-6"/>
          <w:sz w:val="21"/>
        </w:rPr>
        <w:t>担保有效期：</w:t>
      </w:r>
      <w:r>
        <w:rPr>
          <w:sz w:val="21"/>
          <w:u w:val="single"/>
        </w:rPr>
        <w:t>自</w:t>
      </w:r>
      <w:r>
        <w:rPr>
          <w:sz w:val="21"/>
        </w:rPr>
        <w:t>我</w:t>
      </w:r>
      <w:r>
        <w:rPr>
          <w:spacing w:val="-5"/>
          <w:sz w:val="21"/>
          <w:u w:val="single"/>
        </w:rPr>
        <w:t>方法定代表人</w:t>
      </w:r>
      <w:r>
        <w:rPr>
          <w:sz w:val="21"/>
          <w:u w:val="single"/>
        </w:rPr>
        <w:t>（或其委托代理人</w:t>
      </w:r>
      <w:r>
        <w:rPr>
          <w:spacing w:val="-31"/>
          <w:sz w:val="21"/>
          <w:u w:val="single"/>
        </w:rPr>
        <w:t>）</w:t>
      </w:r>
      <w:r>
        <w:rPr>
          <w:sz w:val="21"/>
          <w:u w:val="single"/>
        </w:rPr>
        <w:t>签字并加盖公章之日起至你方签发或应签发</w:t>
      </w:r>
    </w:p>
    <w:p w14:paraId="5A9FC48A">
      <w:pPr>
        <w:pStyle w:val="17"/>
        <w:rPr>
          <w:sz w:val="11"/>
        </w:rPr>
      </w:pPr>
    </w:p>
    <w:p w14:paraId="0E051264">
      <w:pPr>
        <w:pStyle w:val="17"/>
        <w:spacing w:before="70"/>
        <w:ind w:left="161"/>
      </w:pPr>
      <w:r>
        <w:rPr>
          <w:u w:val="single"/>
        </w:rPr>
        <w:t>工程接收证书之日止</w:t>
      </w:r>
      <w:r>
        <w:t xml:space="preserve">。 </w:t>
      </w:r>
    </w:p>
    <w:p w14:paraId="699D4027">
      <w:pPr>
        <w:pStyle w:val="17"/>
        <w:spacing w:before="11"/>
        <w:rPr>
          <w:sz w:val="9"/>
        </w:rPr>
      </w:pPr>
    </w:p>
    <w:p w14:paraId="4B71CCF8">
      <w:pPr>
        <w:pStyle w:val="317"/>
        <w:numPr>
          <w:ilvl w:val="0"/>
          <w:numId w:val="80"/>
        </w:numPr>
        <w:tabs>
          <w:tab w:val="left" w:pos="793"/>
        </w:tabs>
        <w:spacing w:before="71" w:line="415" w:lineRule="auto"/>
        <w:ind w:left="161" w:right="1280" w:firstLine="420"/>
        <w:rPr>
          <w:sz w:val="21"/>
        </w:rPr>
      </w:pPr>
      <w:r>
        <w:rPr>
          <w:spacing w:val="-8"/>
          <w:sz w:val="21"/>
        </w:rPr>
        <w:t>在本担保有效期内，因承包人违反合同约定的义务给你方造成经济损失时，我方在收到你方以书</w:t>
      </w:r>
      <w:r>
        <w:rPr>
          <w:spacing w:val="-10"/>
          <w:sz w:val="21"/>
        </w:rPr>
        <w:t xml:space="preserve">面形式提出的在担保金额内的赔偿要求后，在 </w:t>
      </w:r>
      <w:r>
        <w:rPr>
          <w:sz w:val="21"/>
        </w:rPr>
        <w:t>7</w:t>
      </w:r>
      <w:r>
        <w:rPr>
          <w:spacing w:val="-7"/>
          <w:sz w:val="21"/>
        </w:rPr>
        <w:t xml:space="preserve"> 天内无条件支付。 </w:t>
      </w:r>
    </w:p>
    <w:p w14:paraId="1B9B3B63">
      <w:pPr>
        <w:pStyle w:val="317"/>
        <w:numPr>
          <w:ilvl w:val="0"/>
          <w:numId w:val="80"/>
        </w:numPr>
        <w:tabs>
          <w:tab w:val="left" w:pos="793"/>
        </w:tabs>
        <w:ind w:hanging="212"/>
        <w:rPr>
          <w:sz w:val="21"/>
        </w:rPr>
      </w:pPr>
      <w:r>
        <w:rPr>
          <w:spacing w:val="-1"/>
          <w:sz w:val="21"/>
        </w:rPr>
        <w:t>你方和承包人按合同约定变更合同时，我方承担本担保规定的义务不变。</w:t>
      </w:r>
      <w:r>
        <w:rPr>
          <w:sz w:val="21"/>
        </w:rPr>
        <w:t xml:space="preserve"> </w:t>
      </w:r>
    </w:p>
    <w:p w14:paraId="4EBA733F">
      <w:pPr>
        <w:pStyle w:val="17"/>
        <w:spacing w:before="3"/>
        <w:rPr>
          <w:sz w:val="15"/>
        </w:rPr>
      </w:pPr>
    </w:p>
    <w:p w14:paraId="7CFB336E">
      <w:pPr>
        <w:pStyle w:val="317"/>
        <w:numPr>
          <w:ilvl w:val="0"/>
          <w:numId w:val="80"/>
        </w:numPr>
        <w:tabs>
          <w:tab w:val="left" w:pos="793"/>
        </w:tabs>
        <w:ind w:hanging="212"/>
        <w:rPr>
          <w:sz w:val="21"/>
        </w:rPr>
      </w:pPr>
      <w:r>
        <w:rPr>
          <w:spacing w:val="-1"/>
          <w:sz w:val="21"/>
        </w:rPr>
        <w:t>因本保函发生的纠纷，可由双方协商解决，协商不成的，按下列第</w:t>
      </w:r>
      <w:r>
        <w:rPr>
          <w:spacing w:val="1"/>
          <w:sz w:val="21"/>
        </w:rPr>
        <w:t xml:space="preserve"> 种方式解决： </w:t>
      </w:r>
    </w:p>
    <w:p w14:paraId="3097A87D">
      <w:pPr>
        <w:pStyle w:val="17"/>
        <w:rPr>
          <w:sz w:val="11"/>
        </w:rPr>
      </w:pPr>
    </w:p>
    <w:p w14:paraId="63F2C679">
      <w:pPr>
        <w:pStyle w:val="17"/>
        <w:spacing w:before="71"/>
        <w:ind w:left="581"/>
      </w:pPr>
      <w:r>
        <w:t>（1） 向</w:t>
      </w:r>
      <w:r>
        <w:rPr>
          <w:u w:val="single"/>
        </w:rPr>
        <w:t xml:space="preserve"> </w:t>
      </w:r>
      <w:r>
        <w:t xml:space="preserve">仲 裁 委 员 会 申 请 仲 裁 ； </w:t>
      </w:r>
    </w:p>
    <w:p w14:paraId="190D64CC">
      <w:pPr>
        <w:pStyle w:val="17"/>
        <w:spacing w:before="10"/>
        <w:rPr>
          <w:sz w:val="9"/>
        </w:rPr>
      </w:pPr>
    </w:p>
    <w:p w14:paraId="64F624DC">
      <w:pPr>
        <w:pStyle w:val="17"/>
        <w:spacing w:before="71"/>
        <w:ind w:left="581"/>
      </w:pPr>
      <w:r>
        <w:t>（2） 向</w:t>
      </w:r>
      <w:r>
        <w:rPr>
          <w:u w:val="single"/>
        </w:rPr>
        <w:t xml:space="preserve"> </w:t>
      </w:r>
      <w:r>
        <w:t xml:space="preserve">人 民 法 院 起 诉 。 </w:t>
      </w:r>
    </w:p>
    <w:p w14:paraId="68CA481D">
      <w:pPr>
        <w:pStyle w:val="17"/>
        <w:spacing w:before="10"/>
        <w:rPr>
          <w:sz w:val="9"/>
        </w:rPr>
      </w:pPr>
    </w:p>
    <w:p w14:paraId="3B85C31A">
      <w:pPr>
        <w:pStyle w:val="317"/>
        <w:numPr>
          <w:ilvl w:val="0"/>
          <w:numId w:val="80"/>
        </w:numPr>
        <w:tabs>
          <w:tab w:val="left" w:pos="793"/>
        </w:tabs>
        <w:spacing w:before="71"/>
        <w:ind w:hanging="212"/>
        <w:rPr>
          <w:sz w:val="21"/>
        </w:rPr>
      </w:pPr>
      <w:r>
        <w:rPr>
          <w:sz w:val="21"/>
        </w:rPr>
        <w:t>本保函自我方法定代表人（或其委托代理人）</w:t>
      </w:r>
      <w:r>
        <w:rPr>
          <w:spacing w:val="-1"/>
          <w:sz w:val="21"/>
        </w:rPr>
        <w:t>签字并加盖公章之日起生效。</w:t>
      </w:r>
      <w:r>
        <w:rPr>
          <w:sz w:val="21"/>
        </w:rPr>
        <w:t xml:space="preserve"> </w:t>
      </w:r>
    </w:p>
    <w:p w14:paraId="62989AAA">
      <w:pPr>
        <w:pStyle w:val="17"/>
        <w:rPr>
          <w:sz w:val="20"/>
        </w:rPr>
      </w:pPr>
    </w:p>
    <w:p w14:paraId="0AE58FF4">
      <w:pPr>
        <w:pStyle w:val="17"/>
        <w:rPr>
          <w:sz w:val="20"/>
        </w:rPr>
      </w:pPr>
    </w:p>
    <w:p w14:paraId="31CE10BE">
      <w:pPr>
        <w:pStyle w:val="17"/>
        <w:rPr>
          <w:sz w:val="20"/>
        </w:rPr>
      </w:pPr>
    </w:p>
    <w:p w14:paraId="1FAF51D4">
      <w:pPr>
        <w:pStyle w:val="17"/>
        <w:spacing w:before="8"/>
        <w:rPr>
          <w:sz w:val="23"/>
        </w:rPr>
      </w:pPr>
    </w:p>
    <w:p w14:paraId="58060E42">
      <w:pPr>
        <w:pStyle w:val="17"/>
        <w:spacing w:before="71"/>
        <w:ind w:left="581"/>
      </w:pPr>
      <w:r>
        <w:t>担 保 人 ：</w:t>
      </w:r>
      <w:r>
        <w:rPr>
          <w:spacing w:val="5"/>
          <w:u w:val="single"/>
        </w:rPr>
        <w:t xml:space="preserve">                    </w:t>
      </w:r>
      <w:r>
        <w:t xml:space="preserve">（ 盖 单 位 章 ） </w:t>
      </w:r>
    </w:p>
    <w:p w14:paraId="05B0864F">
      <w:pPr>
        <w:pStyle w:val="17"/>
        <w:spacing w:before="10"/>
        <w:rPr>
          <w:sz w:val="9"/>
        </w:rPr>
      </w:pPr>
    </w:p>
    <w:p w14:paraId="4561357C">
      <w:pPr>
        <w:pStyle w:val="17"/>
        <w:spacing w:before="71"/>
        <w:ind w:left="581"/>
      </w:pPr>
      <w:r>
        <w:rPr>
          <w:spacing w:val="-1"/>
        </w:rPr>
        <w:t>法定代表人或其委托代理人：</w:t>
      </w:r>
      <w:r>
        <w:rPr>
          <w:u w:val="single"/>
        </w:rPr>
        <w:t xml:space="preserve">               </w:t>
      </w:r>
      <w:r>
        <w:t xml:space="preserve">（签字） </w:t>
      </w:r>
    </w:p>
    <w:p w14:paraId="14CFFC22">
      <w:pPr>
        <w:pStyle w:val="17"/>
        <w:spacing w:before="10"/>
        <w:rPr>
          <w:sz w:val="9"/>
        </w:rPr>
      </w:pPr>
    </w:p>
    <w:p w14:paraId="4E072CA3">
      <w:pPr>
        <w:pStyle w:val="17"/>
        <w:spacing w:before="71"/>
        <w:ind w:left="581"/>
      </w:pPr>
      <w:r>
        <w:t>地   址 ：</w:t>
      </w:r>
      <w:r>
        <w:rPr>
          <w:u w:val="single"/>
        </w:rPr>
        <w:t xml:space="preserve">                                     </w:t>
      </w:r>
      <w:r>
        <w:rPr>
          <w:spacing w:val="5"/>
          <w:u w:val="single"/>
        </w:rPr>
        <w:t xml:space="preserve"> </w:t>
      </w:r>
      <w:r>
        <w:t xml:space="preserve"> </w:t>
      </w:r>
    </w:p>
    <w:p w14:paraId="284CDC7B">
      <w:pPr>
        <w:pStyle w:val="17"/>
        <w:spacing w:before="10"/>
        <w:rPr>
          <w:sz w:val="9"/>
        </w:rPr>
      </w:pPr>
    </w:p>
    <w:p w14:paraId="77B5C77F">
      <w:pPr>
        <w:pStyle w:val="17"/>
        <w:spacing w:before="71"/>
        <w:ind w:left="581"/>
      </w:pPr>
      <w:r>
        <w:rPr>
          <w:spacing w:val="-1"/>
        </w:rPr>
        <w:t>邮政编码：</w:t>
      </w:r>
      <w:r>
        <w:rPr>
          <w:spacing w:val="-1"/>
          <w:u w:val="single"/>
        </w:rPr>
        <w:t xml:space="preserve">                                     </w:t>
      </w:r>
      <w:r>
        <w:rPr>
          <w:spacing w:val="5"/>
          <w:u w:val="single"/>
        </w:rPr>
        <w:t xml:space="preserve"> </w:t>
      </w:r>
      <w:r>
        <w:t xml:space="preserve"> </w:t>
      </w:r>
    </w:p>
    <w:p w14:paraId="7AEB9BD4">
      <w:pPr>
        <w:pStyle w:val="17"/>
        <w:spacing w:before="10"/>
        <w:rPr>
          <w:sz w:val="9"/>
        </w:rPr>
      </w:pPr>
    </w:p>
    <w:p w14:paraId="6992813D">
      <w:pPr>
        <w:pStyle w:val="17"/>
        <w:spacing w:before="71"/>
        <w:ind w:left="581"/>
      </w:pPr>
      <w:r>
        <w:t>电   话 ：</w:t>
      </w:r>
      <w:r>
        <w:rPr>
          <w:u w:val="single"/>
        </w:rPr>
        <w:t xml:space="preserve">                     </w:t>
      </w:r>
      <w:r>
        <w:rPr>
          <w:spacing w:val="3"/>
          <w:u w:val="single"/>
        </w:rPr>
        <w:t xml:space="preserve"> </w:t>
      </w:r>
      <w:r>
        <w:rPr>
          <w:u w:val="single"/>
        </w:rPr>
        <w:t xml:space="preserve">               </w:t>
      </w:r>
      <w:r>
        <w:rPr>
          <w:spacing w:val="2"/>
          <w:u w:val="single"/>
        </w:rPr>
        <w:t xml:space="preserve"> </w:t>
      </w:r>
      <w:r>
        <w:t xml:space="preserve"> </w:t>
      </w:r>
    </w:p>
    <w:p w14:paraId="21FCAD6D">
      <w:pPr>
        <w:pStyle w:val="17"/>
        <w:spacing w:before="12"/>
        <w:rPr>
          <w:sz w:val="10"/>
        </w:rPr>
      </w:pPr>
    </w:p>
    <w:p w14:paraId="5B16B4F4">
      <w:pPr>
        <w:pStyle w:val="17"/>
        <w:spacing w:before="71"/>
        <w:ind w:left="581"/>
      </w:pPr>
      <w:r>
        <w:t>传   真 ：</w:t>
      </w:r>
      <w:r>
        <w:rPr>
          <w:u w:val="single"/>
        </w:rPr>
        <w:t xml:space="preserve">                                     </w:t>
      </w:r>
      <w:r>
        <w:rPr>
          <w:spacing w:val="5"/>
          <w:u w:val="single"/>
        </w:rPr>
        <w:t xml:space="preserve"> </w:t>
      </w:r>
      <w:r>
        <w:t xml:space="preserve"> </w:t>
      </w:r>
    </w:p>
    <w:p w14:paraId="705F2275">
      <w:pPr>
        <w:pStyle w:val="17"/>
        <w:rPr>
          <w:sz w:val="20"/>
        </w:rPr>
      </w:pPr>
    </w:p>
    <w:p w14:paraId="0DA7D7A0">
      <w:pPr>
        <w:pStyle w:val="17"/>
        <w:spacing w:before="2"/>
        <w:rPr>
          <w:sz w:val="26"/>
        </w:rPr>
      </w:pPr>
    </w:p>
    <w:p w14:paraId="5F3179E0">
      <w:pPr>
        <w:pStyle w:val="17"/>
        <w:spacing w:before="70"/>
        <w:ind w:left="6169"/>
      </w:pPr>
      <w:r>
        <w:rPr>
          <w:u w:val="single"/>
        </w:rPr>
        <w:t xml:space="preserve">           </w:t>
      </w:r>
      <w:r>
        <w:t>年</w:t>
      </w:r>
      <w:r>
        <w:rPr>
          <w:u w:val="single"/>
        </w:rPr>
        <w:t xml:space="preserve"> </w:t>
      </w:r>
      <w:r>
        <w:t>月</w:t>
      </w:r>
      <w:r>
        <w:rPr>
          <w:u w:val="single"/>
        </w:rPr>
        <w:t xml:space="preserve"> </w:t>
      </w:r>
      <w:r>
        <w:t xml:space="preserve">日 </w:t>
      </w:r>
    </w:p>
    <w:p w14:paraId="61A1CCC4">
      <w:pPr>
        <w:sectPr>
          <w:pgSz w:w="11910" w:h="16850"/>
          <w:pgMar w:top="1440" w:right="1080" w:bottom="1440" w:left="1080" w:header="0" w:footer="996" w:gutter="0"/>
          <w:cols w:space="720" w:num="1"/>
        </w:sectPr>
      </w:pPr>
    </w:p>
    <w:p w14:paraId="552964CF">
      <w:pPr>
        <w:pStyle w:val="17"/>
        <w:spacing w:before="7"/>
      </w:pPr>
    </w:p>
    <w:p w14:paraId="139C3486">
      <w:pPr>
        <w:pStyle w:val="17"/>
        <w:spacing w:before="71"/>
        <w:ind w:left="326"/>
      </w:pPr>
      <w:r>
        <w:t xml:space="preserve">附件 5： </w:t>
      </w:r>
    </w:p>
    <w:p w14:paraId="79C89839">
      <w:pPr>
        <w:pStyle w:val="17"/>
        <w:rPr>
          <w:sz w:val="20"/>
        </w:rPr>
      </w:pPr>
    </w:p>
    <w:p w14:paraId="0002ADD8">
      <w:pPr>
        <w:pStyle w:val="17"/>
        <w:spacing w:before="7"/>
        <w:rPr>
          <w:sz w:val="15"/>
        </w:rPr>
      </w:pPr>
    </w:p>
    <w:p w14:paraId="2CC1ACD0">
      <w:pPr>
        <w:pStyle w:val="17"/>
        <w:spacing w:before="71"/>
        <w:ind w:right="707"/>
        <w:jc w:val="center"/>
      </w:pPr>
      <w:r>
        <w:t xml:space="preserve">预付款担保（如有） </w:t>
      </w:r>
    </w:p>
    <w:p w14:paraId="202EEDEB">
      <w:pPr>
        <w:pStyle w:val="17"/>
        <w:rPr>
          <w:sz w:val="20"/>
        </w:rPr>
      </w:pPr>
    </w:p>
    <w:p w14:paraId="1E078D68">
      <w:pPr>
        <w:pStyle w:val="17"/>
        <w:tabs>
          <w:tab w:val="left" w:pos="2429"/>
          <w:tab w:val="left" w:pos="2849"/>
        </w:tabs>
        <w:spacing w:before="165"/>
        <w:ind w:left="746"/>
      </w:pPr>
      <w:r>
        <w:rPr>
          <w:u w:val="single"/>
        </w:rPr>
        <w:t xml:space="preserve">           </w:t>
      </w:r>
      <w:r>
        <w:rPr>
          <w:spacing w:val="2"/>
          <w:u w:val="single"/>
        </w:rPr>
        <w:t xml:space="preserve"> </w:t>
      </w:r>
      <w:r>
        <w:rPr>
          <w:u w:val="single"/>
        </w:rPr>
        <w:t xml:space="preserve"> </w:t>
      </w:r>
      <w:r>
        <w:rPr>
          <w:u w:val="single"/>
        </w:rPr>
        <w:tab/>
      </w:r>
      <w:r>
        <w:rPr>
          <w:u w:val="single"/>
        </w:rPr>
        <w:t xml:space="preserve"> </w:t>
      </w:r>
      <w:r>
        <w:rPr>
          <w:u w:val="single"/>
        </w:rPr>
        <w:tab/>
      </w:r>
      <w:r>
        <w:rPr>
          <w:u w:val="single"/>
        </w:rPr>
        <w:t xml:space="preserve"> </w:t>
      </w:r>
      <w:r>
        <w:t xml:space="preserve"> （发包人名称）： </w:t>
      </w:r>
    </w:p>
    <w:p w14:paraId="75A8353C">
      <w:pPr>
        <w:pStyle w:val="17"/>
        <w:spacing w:before="10"/>
        <w:rPr>
          <w:sz w:val="9"/>
        </w:rPr>
      </w:pPr>
    </w:p>
    <w:p w14:paraId="5147F1C4">
      <w:pPr>
        <w:pStyle w:val="17"/>
        <w:spacing w:before="71"/>
        <w:ind w:left="746"/>
      </w:pPr>
      <w:r>
        <w:t>根据</w:t>
      </w:r>
      <w:r>
        <w:rPr>
          <w:u w:val="single"/>
        </w:rPr>
        <w:t xml:space="preserve">       </w:t>
      </w:r>
      <w:r>
        <w:t>（承包人名称）（以下称“承包人”）</w:t>
      </w:r>
      <w:r>
        <w:rPr>
          <w:spacing w:val="-4"/>
        </w:rPr>
        <w:t>与</w:t>
      </w:r>
      <w:r>
        <w:rPr>
          <w:u w:val="single"/>
        </w:rPr>
        <w:t xml:space="preserve">         </w:t>
      </w:r>
      <w:r>
        <w:t>（发包人名称）（以下简称“发包</w:t>
      </w:r>
    </w:p>
    <w:p w14:paraId="1D21B160">
      <w:pPr>
        <w:pStyle w:val="17"/>
        <w:rPr>
          <w:sz w:val="11"/>
        </w:rPr>
      </w:pPr>
    </w:p>
    <w:p w14:paraId="03AADFC3">
      <w:pPr>
        <w:pStyle w:val="17"/>
        <w:spacing w:before="70"/>
        <w:ind w:left="326"/>
      </w:pPr>
      <w:r>
        <w:t>人</w:t>
      </w:r>
      <w:r>
        <w:rPr>
          <w:spacing w:val="-15"/>
        </w:rPr>
        <w:t>”）</w:t>
      </w:r>
      <w:r>
        <w:t>于</w:t>
      </w:r>
      <w:r>
        <w:rPr>
          <w:u w:val="single"/>
        </w:rPr>
        <w:t xml:space="preserve">       </w:t>
      </w:r>
      <w:r>
        <w:t>年</w:t>
      </w:r>
      <w:r>
        <w:rPr>
          <w:u w:val="single"/>
        </w:rPr>
        <w:t xml:space="preserve">      </w:t>
      </w:r>
      <w:r>
        <w:t>月</w:t>
      </w:r>
      <w:r>
        <w:rPr>
          <w:u w:val="single"/>
        </w:rPr>
        <w:t xml:space="preserve">      </w:t>
      </w:r>
      <w:r>
        <w:t>日签订的</w:t>
      </w:r>
      <w:r>
        <w:rPr>
          <w:spacing w:val="8"/>
          <w:u w:val="single"/>
        </w:rPr>
        <w:t xml:space="preserve">           </w:t>
      </w:r>
      <w:r>
        <w:t>（工程名称</w:t>
      </w:r>
      <w:r>
        <w:rPr>
          <w:spacing w:val="-30"/>
        </w:rPr>
        <w:t>）</w:t>
      </w:r>
      <w:r>
        <w:rPr>
          <w:spacing w:val="-3"/>
        </w:rPr>
        <w:t>《建设工程施工合同》，承包人</w:t>
      </w:r>
    </w:p>
    <w:p w14:paraId="6AD5B2EE">
      <w:pPr>
        <w:pStyle w:val="17"/>
        <w:spacing w:before="11"/>
        <w:rPr>
          <w:sz w:val="9"/>
        </w:rPr>
      </w:pPr>
    </w:p>
    <w:p w14:paraId="4A85EE75">
      <w:pPr>
        <w:pStyle w:val="17"/>
        <w:spacing w:before="70" w:line="415" w:lineRule="auto"/>
        <w:ind w:left="326" w:right="1115"/>
      </w:pPr>
      <w:r>
        <w:t xml:space="preserve">按约定的金额向你方提交一份预付款担保，即有权得到你方支付相等金额的预付款。我方愿意就你方提供给承包人的预付款为承包人提供连带责任担保。 </w:t>
      </w:r>
    </w:p>
    <w:p w14:paraId="131409F5">
      <w:pPr>
        <w:pStyle w:val="17"/>
        <w:spacing w:line="269" w:lineRule="exact"/>
        <w:ind w:left="746"/>
      </w:pPr>
      <w:r>
        <w:t>1. 担保金额人民币（大写）</w:t>
      </w:r>
      <w:r>
        <w:rPr>
          <w:u w:val="single"/>
        </w:rPr>
        <w:t xml:space="preserve"> </w:t>
      </w:r>
      <w:r>
        <w:t>元（¥</w:t>
      </w:r>
      <w:r>
        <w:rPr>
          <w:u w:val="single"/>
        </w:rPr>
        <w:t xml:space="preserve"> </w:t>
      </w:r>
      <w:r>
        <w:t xml:space="preserve">）。 </w:t>
      </w:r>
    </w:p>
    <w:p w14:paraId="1E84C01B">
      <w:pPr>
        <w:pStyle w:val="17"/>
        <w:spacing w:before="11"/>
        <w:rPr>
          <w:sz w:val="9"/>
        </w:rPr>
      </w:pPr>
    </w:p>
    <w:p w14:paraId="16419E65">
      <w:pPr>
        <w:pStyle w:val="317"/>
        <w:numPr>
          <w:ilvl w:val="1"/>
          <w:numId w:val="80"/>
        </w:numPr>
        <w:tabs>
          <w:tab w:val="left" w:pos="958"/>
        </w:tabs>
        <w:spacing w:before="71"/>
        <w:ind w:hanging="212"/>
        <w:rPr>
          <w:sz w:val="21"/>
        </w:rPr>
      </w:pPr>
      <w:r>
        <w:rPr>
          <w:spacing w:val="-1"/>
          <w:sz w:val="21"/>
        </w:rPr>
        <w:t>担保有效期自预付款支付给承包人起生效，至你方签发的进度款支付证书说明已完全扣清止。</w:t>
      </w:r>
      <w:r>
        <w:rPr>
          <w:sz w:val="21"/>
        </w:rPr>
        <w:t xml:space="preserve"> </w:t>
      </w:r>
    </w:p>
    <w:p w14:paraId="70A0A2C0">
      <w:pPr>
        <w:pStyle w:val="17"/>
        <w:spacing w:before="6"/>
        <w:rPr>
          <w:sz w:val="16"/>
        </w:rPr>
      </w:pPr>
    </w:p>
    <w:p w14:paraId="17954DBC">
      <w:pPr>
        <w:pStyle w:val="317"/>
        <w:numPr>
          <w:ilvl w:val="1"/>
          <w:numId w:val="80"/>
        </w:numPr>
        <w:tabs>
          <w:tab w:val="left" w:pos="958"/>
        </w:tabs>
        <w:spacing w:line="415" w:lineRule="auto"/>
        <w:ind w:left="326" w:right="1114" w:firstLine="420"/>
        <w:jc w:val="both"/>
        <w:rPr>
          <w:sz w:val="21"/>
        </w:rPr>
      </w:pPr>
      <w:r>
        <w:rPr>
          <w:spacing w:val="-8"/>
          <w:sz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r>
        <w:rPr>
          <w:sz w:val="21"/>
        </w:rPr>
        <w:t xml:space="preserve"> </w:t>
      </w:r>
    </w:p>
    <w:p w14:paraId="01198019">
      <w:pPr>
        <w:pStyle w:val="317"/>
        <w:numPr>
          <w:ilvl w:val="1"/>
          <w:numId w:val="80"/>
        </w:numPr>
        <w:tabs>
          <w:tab w:val="left" w:pos="958"/>
        </w:tabs>
        <w:ind w:hanging="212"/>
        <w:rPr>
          <w:sz w:val="21"/>
        </w:rPr>
      </w:pPr>
      <w:r>
        <w:rPr>
          <w:spacing w:val="-1"/>
          <w:sz w:val="21"/>
        </w:rPr>
        <w:t>你方和承包人按合同约定变更合同时，我方承担本保函规定的义务不变。</w:t>
      </w:r>
      <w:r>
        <w:rPr>
          <w:sz w:val="21"/>
        </w:rPr>
        <w:t xml:space="preserve"> </w:t>
      </w:r>
    </w:p>
    <w:p w14:paraId="3B577866">
      <w:pPr>
        <w:pStyle w:val="17"/>
        <w:spacing w:before="4"/>
        <w:rPr>
          <w:sz w:val="15"/>
        </w:rPr>
      </w:pPr>
    </w:p>
    <w:p w14:paraId="1ED42B52">
      <w:pPr>
        <w:pStyle w:val="317"/>
        <w:numPr>
          <w:ilvl w:val="1"/>
          <w:numId w:val="80"/>
        </w:numPr>
        <w:tabs>
          <w:tab w:val="left" w:pos="958"/>
        </w:tabs>
        <w:ind w:hanging="212"/>
        <w:rPr>
          <w:sz w:val="21"/>
        </w:rPr>
      </w:pPr>
      <w:r>
        <w:rPr>
          <w:spacing w:val="-1"/>
          <w:sz w:val="21"/>
        </w:rPr>
        <w:t>因本保函发生的纠纷，可由双方协商解决，协商不成的，按下列第</w:t>
      </w:r>
      <w:r>
        <w:rPr>
          <w:sz w:val="21"/>
        </w:rPr>
        <w:t xml:space="preserve"> 种方式解决： </w:t>
      </w:r>
    </w:p>
    <w:p w14:paraId="4898501B">
      <w:pPr>
        <w:pStyle w:val="17"/>
        <w:rPr>
          <w:sz w:val="11"/>
        </w:rPr>
      </w:pPr>
    </w:p>
    <w:p w14:paraId="0361F662">
      <w:pPr>
        <w:pStyle w:val="17"/>
        <w:spacing w:before="70"/>
        <w:ind w:left="746"/>
      </w:pPr>
      <w:r>
        <w:t>（1） 向</w:t>
      </w:r>
      <w:r>
        <w:rPr>
          <w:u w:val="single"/>
        </w:rPr>
        <w:t xml:space="preserve"> </w:t>
      </w:r>
      <w:r>
        <w:t xml:space="preserve">仲 裁 委 员 会 申 请 仲 裁 ； </w:t>
      </w:r>
    </w:p>
    <w:p w14:paraId="58F21FEA">
      <w:pPr>
        <w:pStyle w:val="17"/>
        <w:spacing w:before="11"/>
        <w:rPr>
          <w:sz w:val="9"/>
        </w:rPr>
      </w:pPr>
    </w:p>
    <w:p w14:paraId="616C3EB4">
      <w:pPr>
        <w:pStyle w:val="17"/>
        <w:spacing w:before="70"/>
        <w:ind w:left="746"/>
      </w:pPr>
      <w:r>
        <w:t>（2） 向</w:t>
      </w:r>
      <w:r>
        <w:rPr>
          <w:u w:val="single"/>
        </w:rPr>
        <w:t xml:space="preserve"> </w:t>
      </w:r>
      <w:r>
        <w:t xml:space="preserve">人 民 法 院 起 诉 。 </w:t>
      </w:r>
    </w:p>
    <w:p w14:paraId="0703785F">
      <w:pPr>
        <w:pStyle w:val="17"/>
        <w:spacing w:before="11"/>
        <w:rPr>
          <w:sz w:val="9"/>
        </w:rPr>
      </w:pPr>
    </w:p>
    <w:p w14:paraId="46A282A0">
      <w:pPr>
        <w:pStyle w:val="317"/>
        <w:numPr>
          <w:ilvl w:val="1"/>
          <w:numId w:val="80"/>
        </w:numPr>
        <w:tabs>
          <w:tab w:val="left" w:pos="958"/>
        </w:tabs>
        <w:spacing w:before="71"/>
        <w:ind w:hanging="212"/>
        <w:rPr>
          <w:sz w:val="21"/>
        </w:rPr>
      </w:pPr>
      <w:r>
        <w:rPr>
          <w:sz w:val="21"/>
        </w:rPr>
        <w:t>本保函自我方法定代表人（或其委托代理人）</w:t>
      </w:r>
      <w:r>
        <w:rPr>
          <w:spacing w:val="-1"/>
          <w:sz w:val="21"/>
        </w:rPr>
        <w:t>签字并加盖公章之日起生效。</w:t>
      </w:r>
      <w:r>
        <w:rPr>
          <w:sz w:val="21"/>
        </w:rPr>
        <w:t xml:space="preserve"> </w:t>
      </w:r>
    </w:p>
    <w:p w14:paraId="71477EBC">
      <w:pPr>
        <w:pStyle w:val="17"/>
        <w:rPr>
          <w:sz w:val="20"/>
        </w:rPr>
      </w:pPr>
    </w:p>
    <w:p w14:paraId="36EC5E46">
      <w:pPr>
        <w:pStyle w:val="17"/>
        <w:rPr>
          <w:sz w:val="20"/>
        </w:rPr>
      </w:pPr>
    </w:p>
    <w:p w14:paraId="56E3CFCD">
      <w:pPr>
        <w:pStyle w:val="17"/>
        <w:spacing w:before="6"/>
        <w:rPr>
          <w:sz w:val="15"/>
        </w:rPr>
      </w:pPr>
    </w:p>
    <w:p w14:paraId="27E4AF35">
      <w:pPr>
        <w:pStyle w:val="17"/>
        <w:spacing w:before="71"/>
        <w:ind w:left="746"/>
      </w:pPr>
      <w:r>
        <w:t>担 保 人 ：</w:t>
      </w:r>
      <w:r>
        <w:rPr>
          <w:u w:val="single"/>
        </w:rPr>
        <w:t xml:space="preserve"> </w:t>
      </w:r>
      <w:r>
        <w:t xml:space="preserve">（ 盖 单 位 章 ） </w:t>
      </w:r>
    </w:p>
    <w:p w14:paraId="082ABF01">
      <w:pPr>
        <w:pStyle w:val="17"/>
        <w:rPr>
          <w:sz w:val="11"/>
        </w:rPr>
      </w:pPr>
    </w:p>
    <w:p w14:paraId="040655BE">
      <w:pPr>
        <w:pStyle w:val="17"/>
        <w:spacing w:before="70"/>
        <w:ind w:left="746"/>
      </w:pPr>
      <w:r>
        <w:t>法定代表人或其委托代理人：</w:t>
      </w:r>
      <w:r>
        <w:rPr>
          <w:u w:val="single"/>
        </w:rPr>
        <w:t xml:space="preserve"> </w:t>
      </w:r>
      <w:r>
        <w:t xml:space="preserve">（签字） </w:t>
      </w:r>
    </w:p>
    <w:p w14:paraId="4A8D4660">
      <w:pPr>
        <w:pStyle w:val="17"/>
        <w:spacing w:before="10"/>
        <w:rPr>
          <w:sz w:val="9"/>
        </w:rPr>
      </w:pPr>
    </w:p>
    <w:p w14:paraId="016C44A5">
      <w:pPr>
        <w:pStyle w:val="17"/>
        <w:tabs>
          <w:tab w:val="left" w:pos="2429"/>
          <w:tab w:val="left" w:pos="2849"/>
          <w:tab w:val="left" w:pos="3270"/>
          <w:tab w:val="left" w:pos="3690"/>
          <w:tab w:val="left" w:pos="4111"/>
          <w:tab w:val="left" w:pos="4531"/>
        </w:tabs>
        <w:spacing w:before="71"/>
        <w:ind w:left="746"/>
      </w:pPr>
      <w:r>
        <w:t xml:space="preserve">地 </w:t>
      </w:r>
      <w:r>
        <w:rPr>
          <w:spacing w:val="104"/>
        </w:rPr>
        <w:t xml:space="preserve"> </w:t>
      </w:r>
      <w:r>
        <w:t>址 ：</w:t>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t xml:space="preserve"> </w:t>
      </w:r>
    </w:p>
    <w:p w14:paraId="5C8790DD">
      <w:pPr>
        <w:pStyle w:val="17"/>
        <w:spacing w:before="10"/>
        <w:rPr>
          <w:sz w:val="9"/>
        </w:rPr>
      </w:pPr>
    </w:p>
    <w:p w14:paraId="33B00766">
      <w:pPr>
        <w:pStyle w:val="17"/>
        <w:tabs>
          <w:tab w:val="left" w:pos="2429"/>
          <w:tab w:val="left" w:pos="2849"/>
          <w:tab w:val="left" w:pos="3270"/>
          <w:tab w:val="left" w:pos="3690"/>
          <w:tab w:val="left" w:pos="4111"/>
          <w:tab w:val="left" w:pos="4531"/>
        </w:tabs>
        <w:spacing w:before="71"/>
        <w:ind w:left="746"/>
      </w:pPr>
      <w:r>
        <w:rPr>
          <w:spacing w:val="-1"/>
        </w:rPr>
        <w:t>邮</w:t>
      </w:r>
      <w:r>
        <w:t>政编码：</w:t>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t xml:space="preserve"> </w:t>
      </w:r>
    </w:p>
    <w:p w14:paraId="43ECA012">
      <w:pPr>
        <w:pStyle w:val="17"/>
        <w:spacing w:before="10"/>
        <w:rPr>
          <w:sz w:val="9"/>
        </w:rPr>
      </w:pPr>
    </w:p>
    <w:p w14:paraId="009BD07D">
      <w:pPr>
        <w:pStyle w:val="17"/>
        <w:tabs>
          <w:tab w:val="left" w:pos="2429"/>
          <w:tab w:val="left" w:pos="2849"/>
          <w:tab w:val="left" w:pos="3270"/>
          <w:tab w:val="left" w:pos="3690"/>
          <w:tab w:val="left" w:pos="4111"/>
          <w:tab w:val="left" w:pos="4531"/>
        </w:tabs>
        <w:spacing w:before="71"/>
        <w:ind w:left="746"/>
      </w:pPr>
      <w:r>
        <w:t>电   话 ：</w:t>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t xml:space="preserve"> </w:t>
      </w:r>
    </w:p>
    <w:p w14:paraId="7A13099A">
      <w:pPr>
        <w:pStyle w:val="17"/>
        <w:spacing w:before="11"/>
        <w:rPr>
          <w:sz w:val="9"/>
        </w:rPr>
      </w:pPr>
    </w:p>
    <w:p w14:paraId="2F36A44A">
      <w:pPr>
        <w:pStyle w:val="17"/>
        <w:tabs>
          <w:tab w:val="left" w:pos="2429"/>
          <w:tab w:val="left" w:pos="2849"/>
          <w:tab w:val="left" w:pos="3270"/>
          <w:tab w:val="left" w:pos="3690"/>
          <w:tab w:val="left" w:pos="4111"/>
          <w:tab w:val="left" w:pos="4531"/>
        </w:tabs>
        <w:spacing w:before="70"/>
        <w:ind w:left="746"/>
      </w:pPr>
      <w:r>
        <w:t>传   真 ：</w:t>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t xml:space="preserve"> </w:t>
      </w:r>
    </w:p>
    <w:p w14:paraId="6FCEF678">
      <w:pPr>
        <w:pStyle w:val="17"/>
        <w:rPr>
          <w:sz w:val="20"/>
        </w:rPr>
      </w:pPr>
    </w:p>
    <w:p w14:paraId="7575C58F">
      <w:pPr>
        <w:pStyle w:val="17"/>
        <w:spacing w:before="4"/>
        <w:rPr>
          <w:sz w:val="27"/>
        </w:rPr>
      </w:pPr>
    </w:p>
    <w:p w14:paraId="7920855E">
      <w:pPr>
        <w:pStyle w:val="17"/>
        <w:spacing w:before="71"/>
        <w:ind w:left="6334"/>
      </w:pPr>
      <w:r>
        <w:rPr>
          <w:u w:val="single"/>
        </w:rPr>
        <w:t xml:space="preserve">           </w:t>
      </w:r>
      <w:r>
        <w:t>年</w:t>
      </w:r>
      <w:r>
        <w:rPr>
          <w:u w:val="single"/>
        </w:rPr>
        <w:t xml:space="preserve"> </w:t>
      </w:r>
      <w:r>
        <w:t>月</w:t>
      </w:r>
      <w:r>
        <w:rPr>
          <w:u w:val="single"/>
        </w:rPr>
        <w:t xml:space="preserve"> </w:t>
      </w:r>
      <w:r>
        <w:t xml:space="preserve">日 </w:t>
      </w:r>
    </w:p>
    <w:p w14:paraId="12CB63A1">
      <w:pPr>
        <w:sectPr>
          <w:pgSz w:w="11910" w:h="16850"/>
          <w:pgMar w:top="1440" w:right="1080" w:bottom="1440" w:left="1080" w:header="0" w:footer="996" w:gutter="0"/>
          <w:cols w:space="720" w:num="1"/>
        </w:sectPr>
      </w:pPr>
    </w:p>
    <w:p w14:paraId="3D35D667">
      <w:pPr>
        <w:pStyle w:val="17"/>
        <w:spacing w:before="41"/>
        <w:ind w:left="161"/>
      </w:pPr>
      <w:r>
        <w:t xml:space="preserve">附件 6： </w:t>
      </w:r>
    </w:p>
    <w:p w14:paraId="46E59E5F">
      <w:pPr>
        <w:pStyle w:val="17"/>
        <w:rPr>
          <w:sz w:val="20"/>
        </w:rPr>
      </w:pPr>
    </w:p>
    <w:p w14:paraId="2730A7F9">
      <w:pPr>
        <w:pStyle w:val="17"/>
        <w:spacing w:before="8"/>
        <w:rPr>
          <w:sz w:val="15"/>
        </w:rPr>
      </w:pPr>
    </w:p>
    <w:p w14:paraId="4BF9084D">
      <w:pPr>
        <w:pStyle w:val="17"/>
        <w:spacing w:before="70"/>
        <w:ind w:right="1039"/>
        <w:jc w:val="center"/>
      </w:pPr>
      <w:r>
        <w:t xml:space="preserve">支付担保（如有） </w:t>
      </w:r>
    </w:p>
    <w:p w14:paraId="010D4057">
      <w:pPr>
        <w:pStyle w:val="17"/>
        <w:spacing w:before="6"/>
        <w:rPr>
          <w:sz w:val="27"/>
        </w:rPr>
      </w:pPr>
    </w:p>
    <w:p w14:paraId="3F17A3F4">
      <w:pPr>
        <w:pStyle w:val="17"/>
        <w:spacing w:before="70"/>
        <w:ind w:left="581"/>
      </w:pPr>
      <w:r>
        <w:rPr>
          <w:u w:val="single"/>
        </w:rPr>
        <w:t xml:space="preserve">             </w:t>
      </w:r>
      <w:r>
        <w:t xml:space="preserve">（承包人）： </w:t>
      </w:r>
    </w:p>
    <w:p w14:paraId="682C3E3E">
      <w:pPr>
        <w:pStyle w:val="17"/>
        <w:spacing w:before="10"/>
        <w:rPr>
          <w:sz w:val="9"/>
        </w:rPr>
      </w:pPr>
    </w:p>
    <w:p w14:paraId="1F7BC9AF">
      <w:pPr>
        <w:pStyle w:val="17"/>
        <w:spacing w:before="71"/>
        <w:ind w:left="581"/>
      </w:pPr>
      <w:r>
        <w:rPr>
          <w:spacing w:val="-2"/>
        </w:rPr>
        <w:t xml:space="preserve">鉴于你方作为承包人已经与 </w:t>
      </w:r>
      <w:r>
        <w:rPr>
          <w:spacing w:val="-3"/>
          <w:u w:val="single"/>
        </w:rPr>
        <w:t xml:space="preserve">            </w:t>
      </w:r>
      <w:r>
        <w:t>（发包人名称</w:t>
      </w:r>
      <w:r>
        <w:rPr>
          <w:spacing w:val="-31"/>
        </w:rPr>
        <w:t>）（</w:t>
      </w:r>
      <w:r>
        <w:rPr>
          <w:spacing w:val="-6"/>
        </w:rPr>
        <w:t>以下称“发包人</w:t>
      </w:r>
      <w:r>
        <w:rPr>
          <w:spacing w:val="-31"/>
        </w:rPr>
        <w:t>”）</w:t>
      </w:r>
      <w:r>
        <w:t>于</w:t>
      </w:r>
      <w:r>
        <w:rPr>
          <w:u w:val="single"/>
        </w:rPr>
        <w:t xml:space="preserve">   </w:t>
      </w:r>
      <w:r>
        <w:t>年</w:t>
      </w:r>
      <w:r>
        <w:rPr>
          <w:u w:val="single"/>
        </w:rPr>
        <w:t xml:space="preserve">   </w:t>
      </w:r>
      <w:r>
        <w:t>月</w:t>
      </w:r>
      <w:r>
        <w:rPr>
          <w:u w:val="single"/>
        </w:rPr>
        <w:t xml:space="preserve">   </w:t>
      </w:r>
      <w:r>
        <w:t>日</w:t>
      </w:r>
    </w:p>
    <w:p w14:paraId="08D23017">
      <w:pPr>
        <w:pStyle w:val="17"/>
        <w:spacing w:before="10"/>
        <w:rPr>
          <w:sz w:val="9"/>
        </w:rPr>
      </w:pPr>
    </w:p>
    <w:p w14:paraId="0AAC681E">
      <w:pPr>
        <w:pStyle w:val="17"/>
        <w:spacing w:before="71"/>
        <w:ind w:left="161"/>
      </w:pPr>
      <w:r>
        <w:t>签订了</w:t>
      </w:r>
      <w:r>
        <w:rPr>
          <w:spacing w:val="7"/>
          <w:u w:val="single"/>
        </w:rPr>
        <w:t xml:space="preserve">            </w:t>
      </w:r>
      <w:r>
        <w:t>（工程名称</w:t>
      </w:r>
      <w:r>
        <w:rPr>
          <w:spacing w:val="-30"/>
        </w:rPr>
        <w:t>）</w:t>
      </w:r>
      <w:r>
        <w:rPr>
          <w:spacing w:val="-3"/>
        </w:rPr>
        <w:t>《建设工程施工合同》</w:t>
      </w:r>
      <w:r>
        <w:t>（</w:t>
      </w:r>
      <w:r>
        <w:rPr>
          <w:spacing w:val="-2"/>
        </w:rPr>
        <w:t>以下称“主合同”</w:t>
      </w:r>
      <w:r>
        <w:rPr>
          <w:spacing w:val="-10"/>
        </w:rPr>
        <w:t>），</w:t>
      </w:r>
      <w:r>
        <w:rPr>
          <w:spacing w:val="-1"/>
        </w:rPr>
        <w:t>应发包人的申请，我</w:t>
      </w:r>
    </w:p>
    <w:p w14:paraId="3A4441C8">
      <w:pPr>
        <w:pStyle w:val="17"/>
        <w:rPr>
          <w:sz w:val="11"/>
        </w:rPr>
      </w:pPr>
    </w:p>
    <w:p w14:paraId="0917E768">
      <w:pPr>
        <w:pStyle w:val="17"/>
        <w:spacing w:before="70" w:line="415" w:lineRule="auto"/>
        <w:ind w:left="581" w:right="2881" w:hanging="421"/>
      </w:pPr>
      <w:r>
        <w:t xml:space="preserve">方愿就发包人履行主合同约定的工程款支付义务以保证的方式向你方提供如下担保： 一、保证的范围及保证金额 </w:t>
      </w:r>
    </w:p>
    <w:p w14:paraId="1B03DE74">
      <w:pPr>
        <w:pStyle w:val="317"/>
        <w:numPr>
          <w:ilvl w:val="0"/>
          <w:numId w:val="81"/>
        </w:numPr>
        <w:tabs>
          <w:tab w:val="left" w:pos="793"/>
        </w:tabs>
        <w:ind w:hanging="212"/>
        <w:rPr>
          <w:sz w:val="21"/>
        </w:rPr>
      </w:pPr>
      <w:r>
        <w:rPr>
          <w:spacing w:val="-1"/>
          <w:sz w:val="21"/>
        </w:rPr>
        <w:t>我方的保证范围是主合同约定的工程款。</w:t>
      </w:r>
      <w:r>
        <w:rPr>
          <w:sz w:val="21"/>
        </w:rPr>
        <w:t xml:space="preserve"> </w:t>
      </w:r>
    </w:p>
    <w:p w14:paraId="5B40FB58">
      <w:pPr>
        <w:pStyle w:val="17"/>
        <w:spacing w:before="4"/>
        <w:rPr>
          <w:sz w:val="15"/>
        </w:rPr>
      </w:pPr>
    </w:p>
    <w:p w14:paraId="78BBB6A1">
      <w:pPr>
        <w:pStyle w:val="317"/>
        <w:numPr>
          <w:ilvl w:val="0"/>
          <w:numId w:val="81"/>
        </w:numPr>
        <w:tabs>
          <w:tab w:val="left" w:pos="793"/>
        </w:tabs>
        <w:ind w:hanging="212"/>
        <w:rPr>
          <w:sz w:val="21"/>
        </w:rPr>
      </w:pPr>
      <w:r>
        <w:rPr>
          <w:spacing w:val="-1"/>
          <w:sz w:val="21"/>
        </w:rPr>
        <w:t>本保函所称主合同约定的工程款是指主合同约定的除工程质量保证金以外的合同价款。</w:t>
      </w:r>
      <w:r>
        <w:rPr>
          <w:sz w:val="21"/>
        </w:rPr>
        <w:t xml:space="preserve"> </w:t>
      </w:r>
    </w:p>
    <w:p w14:paraId="018C651C">
      <w:pPr>
        <w:pStyle w:val="17"/>
        <w:spacing w:before="4"/>
        <w:rPr>
          <w:sz w:val="15"/>
        </w:rPr>
      </w:pPr>
    </w:p>
    <w:p w14:paraId="56229B49">
      <w:pPr>
        <w:pStyle w:val="317"/>
        <w:numPr>
          <w:ilvl w:val="0"/>
          <w:numId w:val="81"/>
        </w:numPr>
        <w:tabs>
          <w:tab w:val="left" w:pos="793"/>
        </w:tabs>
        <w:spacing w:before="1"/>
        <w:ind w:hanging="212"/>
        <w:rPr>
          <w:sz w:val="21"/>
        </w:rPr>
      </w:pPr>
      <w:r>
        <w:rPr>
          <w:spacing w:val="-1"/>
          <w:sz w:val="21"/>
        </w:rPr>
        <w:t>我方保证的金额是主合同约定的工程款的</w:t>
      </w:r>
      <w:r>
        <w:rPr>
          <w:spacing w:val="-8"/>
          <w:sz w:val="21"/>
        </w:rPr>
        <w:t xml:space="preserve"> %，数额最高不超过人民币元</w:t>
      </w:r>
      <w:r>
        <w:rPr>
          <w:sz w:val="21"/>
        </w:rPr>
        <w:t>（</w:t>
      </w:r>
      <w:r>
        <w:rPr>
          <w:spacing w:val="-16"/>
          <w:sz w:val="21"/>
        </w:rPr>
        <w:t>大写：</w:t>
      </w:r>
      <w:r>
        <w:rPr>
          <w:spacing w:val="-6"/>
          <w:sz w:val="21"/>
        </w:rPr>
        <w:t xml:space="preserve"> </w:t>
      </w:r>
      <w:r>
        <w:rPr>
          <w:spacing w:val="-45"/>
          <w:sz w:val="21"/>
        </w:rPr>
        <w:t>）</w:t>
      </w:r>
      <w:r>
        <w:rPr>
          <w:spacing w:val="-120"/>
          <w:sz w:val="21"/>
        </w:rPr>
        <w:t>。</w:t>
      </w:r>
      <w:r>
        <w:rPr>
          <w:sz w:val="21"/>
        </w:rPr>
        <w:t xml:space="preserve"> </w:t>
      </w:r>
    </w:p>
    <w:p w14:paraId="2AE65670">
      <w:pPr>
        <w:pStyle w:val="17"/>
        <w:spacing w:before="12"/>
        <w:rPr>
          <w:sz w:val="10"/>
        </w:rPr>
      </w:pPr>
    </w:p>
    <w:p w14:paraId="05DB7E04">
      <w:pPr>
        <w:pStyle w:val="17"/>
        <w:spacing w:before="71"/>
        <w:ind w:left="581"/>
      </w:pPr>
      <w:r>
        <w:t xml:space="preserve">二、保证的方式及保证期间 </w:t>
      </w:r>
    </w:p>
    <w:p w14:paraId="3B8B5EE1">
      <w:pPr>
        <w:pStyle w:val="17"/>
        <w:spacing w:before="4"/>
        <w:rPr>
          <w:sz w:val="15"/>
        </w:rPr>
      </w:pPr>
    </w:p>
    <w:p w14:paraId="04F8F927">
      <w:pPr>
        <w:pStyle w:val="317"/>
        <w:numPr>
          <w:ilvl w:val="0"/>
          <w:numId w:val="82"/>
        </w:numPr>
        <w:tabs>
          <w:tab w:val="left" w:pos="793"/>
        </w:tabs>
        <w:ind w:hanging="212"/>
        <w:rPr>
          <w:sz w:val="21"/>
        </w:rPr>
      </w:pPr>
      <w:r>
        <w:rPr>
          <w:spacing w:val="-1"/>
          <w:sz w:val="21"/>
        </w:rPr>
        <w:t>我方保证的方式为：连带责任保证。</w:t>
      </w:r>
      <w:r>
        <w:rPr>
          <w:sz w:val="21"/>
        </w:rPr>
        <w:t xml:space="preserve"> </w:t>
      </w:r>
    </w:p>
    <w:p w14:paraId="64A2EFA8">
      <w:pPr>
        <w:pStyle w:val="17"/>
        <w:spacing w:before="4"/>
        <w:rPr>
          <w:sz w:val="15"/>
        </w:rPr>
      </w:pPr>
    </w:p>
    <w:p w14:paraId="023116BD">
      <w:pPr>
        <w:pStyle w:val="317"/>
        <w:numPr>
          <w:ilvl w:val="0"/>
          <w:numId w:val="82"/>
        </w:numPr>
        <w:tabs>
          <w:tab w:val="left" w:pos="793"/>
        </w:tabs>
        <w:ind w:hanging="212"/>
        <w:rPr>
          <w:sz w:val="21"/>
        </w:rPr>
      </w:pPr>
      <w:r>
        <w:rPr>
          <w:spacing w:val="-1"/>
          <w:sz w:val="21"/>
        </w:rPr>
        <w:t>我方保证的期间为：自合同生效之日起至主合同约定的工程款支付完毕之日后</w:t>
      </w:r>
      <w:r>
        <w:rPr>
          <w:spacing w:val="6"/>
          <w:sz w:val="21"/>
        </w:rPr>
        <w:t xml:space="preserve"> 日内。 </w:t>
      </w:r>
    </w:p>
    <w:p w14:paraId="627A34B7">
      <w:pPr>
        <w:pStyle w:val="17"/>
        <w:spacing w:before="11"/>
        <w:rPr>
          <w:sz w:val="9"/>
        </w:rPr>
      </w:pPr>
    </w:p>
    <w:p w14:paraId="12494FAE">
      <w:pPr>
        <w:pStyle w:val="317"/>
        <w:numPr>
          <w:ilvl w:val="0"/>
          <w:numId w:val="82"/>
        </w:numPr>
        <w:tabs>
          <w:tab w:val="left" w:pos="793"/>
        </w:tabs>
        <w:spacing w:before="70" w:line="415" w:lineRule="auto"/>
        <w:ind w:left="161" w:right="1287" w:firstLine="420"/>
        <w:rPr>
          <w:sz w:val="21"/>
        </w:rPr>
      </w:pPr>
      <w:r>
        <w:rPr>
          <w:spacing w:val="-6"/>
          <w:sz w:val="21"/>
        </w:rPr>
        <w:t xml:space="preserve">你方与发包人协议变更工程款支付日期的，经我方书面同意后，保证期间按照变更后的支付日期做相应调整。 </w:t>
      </w:r>
    </w:p>
    <w:p w14:paraId="32A7E727">
      <w:pPr>
        <w:pStyle w:val="17"/>
        <w:spacing w:before="15"/>
        <w:ind w:left="581"/>
      </w:pPr>
      <w:r>
        <w:t xml:space="preserve">三、承担保证责任的形式 </w:t>
      </w:r>
    </w:p>
    <w:p w14:paraId="4DE3E716">
      <w:pPr>
        <w:pStyle w:val="17"/>
        <w:spacing w:before="4"/>
        <w:rPr>
          <w:sz w:val="15"/>
        </w:rPr>
      </w:pPr>
    </w:p>
    <w:p w14:paraId="1F88475F">
      <w:pPr>
        <w:pStyle w:val="17"/>
        <w:spacing w:line="415" w:lineRule="auto"/>
        <w:ind w:left="161" w:right="1294" w:firstLine="420"/>
      </w:pPr>
      <w:r>
        <w:t xml:space="preserve">我方承担保证责任的形式是代为支付。发包人未按主合同约定向你方支付工程款的，由我方在保证金额内代为支付。 </w:t>
      </w:r>
    </w:p>
    <w:p w14:paraId="06D6D6DF">
      <w:pPr>
        <w:pStyle w:val="17"/>
        <w:ind w:left="581"/>
      </w:pPr>
      <w:r>
        <w:t xml:space="preserve">四、代偿的安排 </w:t>
      </w:r>
    </w:p>
    <w:p w14:paraId="62F0EEFF">
      <w:pPr>
        <w:pStyle w:val="17"/>
        <w:spacing w:before="4"/>
        <w:rPr>
          <w:sz w:val="15"/>
        </w:rPr>
      </w:pPr>
    </w:p>
    <w:p w14:paraId="200A970D">
      <w:pPr>
        <w:pStyle w:val="317"/>
        <w:numPr>
          <w:ilvl w:val="0"/>
          <w:numId w:val="83"/>
        </w:numPr>
        <w:tabs>
          <w:tab w:val="left" w:pos="793"/>
        </w:tabs>
        <w:spacing w:before="1" w:line="427" w:lineRule="auto"/>
        <w:ind w:right="1280" w:firstLine="420"/>
        <w:rPr>
          <w:sz w:val="21"/>
        </w:rPr>
      </w:pPr>
      <w:r>
        <w:rPr>
          <w:spacing w:val="-7"/>
          <w:sz w:val="21"/>
        </w:rPr>
        <w:t>你方要求我方承担保证责任的，应向我方发出书面索赔通知及发包人未支付主合同约定工程款的</w:t>
      </w:r>
      <w:r>
        <w:rPr>
          <w:spacing w:val="-8"/>
          <w:sz w:val="21"/>
        </w:rPr>
        <w:t>证明材料。索赔通知应写明要求索赔的金额，支付款项应到达的账号。</w:t>
      </w:r>
      <w:r>
        <w:rPr>
          <w:sz w:val="21"/>
        </w:rPr>
        <w:t xml:space="preserve"> </w:t>
      </w:r>
    </w:p>
    <w:p w14:paraId="0290A580">
      <w:pPr>
        <w:pStyle w:val="317"/>
        <w:numPr>
          <w:ilvl w:val="0"/>
          <w:numId w:val="83"/>
        </w:numPr>
        <w:tabs>
          <w:tab w:val="left" w:pos="793"/>
        </w:tabs>
        <w:spacing w:line="415" w:lineRule="auto"/>
        <w:ind w:right="1280" w:firstLine="420"/>
        <w:rPr>
          <w:sz w:val="21"/>
        </w:rPr>
      </w:pPr>
      <w:r>
        <w:rPr>
          <w:spacing w:val="-5"/>
          <w:sz w:val="21"/>
        </w:rPr>
        <w:t>在出现你方与发包人因工程质量发生争议，发包人拒绝向你方支付工程款的情形时，你方要求我</w:t>
      </w:r>
      <w:r>
        <w:rPr>
          <w:spacing w:val="-6"/>
          <w:sz w:val="21"/>
        </w:rPr>
        <w:t>方履行保证责任代为支付的，需提供符合相应条件要求的工程质量检测机构出具的质量说明材料。</w:t>
      </w:r>
      <w:r>
        <w:rPr>
          <w:sz w:val="21"/>
        </w:rPr>
        <w:t xml:space="preserve"> </w:t>
      </w:r>
    </w:p>
    <w:p w14:paraId="7747C8B1">
      <w:pPr>
        <w:pStyle w:val="317"/>
        <w:numPr>
          <w:ilvl w:val="0"/>
          <w:numId w:val="83"/>
        </w:numPr>
        <w:tabs>
          <w:tab w:val="left" w:pos="793"/>
        </w:tabs>
        <w:spacing w:line="415" w:lineRule="auto"/>
        <w:ind w:left="581" w:right="3407" w:firstLine="0"/>
        <w:rPr>
          <w:sz w:val="21"/>
        </w:rPr>
      </w:pPr>
      <w:r>
        <w:rPr>
          <w:spacing w:val="-1"/>
          <w:sz w:val="21"/>
        </w:rPr>
        <w:t xml:space="preserve">我方收到你方的书面索赔通知及相应的证明材料后７天内无条件支付。 </w:t>
      </w:r>
      <w:r>
        <w:rPr>
          <w:sz w:val="21"/>
        </w:rPr>
        <w:t xml:space="preserve">五、保证责任的解除 </w:t>
      </w:r>
    </w:p>
    <w:p w14:paraId="1ABC3CE3">
      <w:pPr>
        <w:pStyle w:val="317"/>
        <w:numPr>
          <w:ilvl w:val="0"/>
          <w:numId w:val="84"/>
        </w:numPr>
        <w:tabs>
          <w:tab w:val="left" w:pos="793"/>
        </w:tabs>
        <w:spacing w:before="2" w:line="415" w:lineRule="auto"/>
        <w:ind w:right="1280" w:firstLine="420"/>
        <w:jc w:val="left"/>
        <w:rPr>
          <w:sz w:val="21"/>
        </w:rPr>
      </w:pPr>
      <w:r>
        <w:rPr>
          <w:spacing w:val="-5"/>
          <w:sz w:val="21"/>
        </w:rPr>
        <w:t xml:space="preserve">在本保函承诺的保证期间内，你方未书面向我方主张保证责任的，自保证期间届满次日起，我方保证责任解除。 </w:t>
      </w:r>
    </w:p>
    <w:p w14:paraId="120ECFC8">
      <w:pPr>
        <w:pStyle w:val="317"/>
        <w:numPr>
          <w:ilvl w:val="0"/>
          <w:numId w:val="84"/>
        </w:numPr>
        <w:tabs>
          <w:tab w:val="left" w:pos="793"/>
        </w:tabs>
        <w:spacing w:line="415" w:lineRule="auto"/>
        <w:ind w:right="1281" w:firstLine="420"/>
        <w:jc w:val="left"/>
        <w:rPr>
          <w:sz w:val="21"/>
        </w:rPr>
      </w:pPr>
      <w:r>
        <w:rPr>
          <w:spacing w:val="-4"/>
          <w:sz w:val="21"/>
        </w:rPr>
        <w:t xml:space="preserve">发包人按主合同约定履行了工程款的全部支付义务的，自本保函承诺的保证期间届满次日起，我方保证责任解除。 </w:t>
      </w:r>
    </w:p>
    <w:p w14:paraId="4819BEFC">
      <w:pPr>
        <w:spacing w:line="415" w:lineRule="auto"/>
        <w:rPr>
          <w:sz w:val="21"/>
        </w:rPr>
        <w:sectPr>
          <w:pgSz w:w="11910" w:h="16850"/>
          <w:pgMar w:top="1440" w:right="1080" w:bottom="1440" w:left="1080" w:header="0" w:footer="996" w:gutter="0"/>
          <w:cols w:space="720" w:num="1"/>
        </w:sectPr>
      </w:pPr>
    </w:p>
    <w:p w14:paraId="46E9C08B">
      <w:pPr>
        <w:pStyle w:val="317"/>
        <w:numPr>
          <w:ilvl w:val="0"/>
          <w:numId w:val="84"/>
        </w:numPr>
        <w:tabs>
          <w:tab w:val="left" w:pos="958"/>
        </w:tabs>
        <w:spacing w:before="46" w:line="415" w:lineRule="auto"/>
        <w:ind w:left="326" w:right="1115" w:firstLine="420"/>
        <w:jc w:val="left"/>
        <w:rPr>
          <w:sz w:val="21"/>
        </w:rPr>
      </w:pPr>
      <w:r>
        <w:rPr>
          <w:spacing w:val="-4"/>
          <w:sz w:val="21"/>
        </w:rPr>
        <w:t>我方按照本保函向你方履行保证责任所支付金额达到本保函保证金额时，自我方向你方支付</w:t>
      </w:r>
      <w:r>
        <w:rPr>
          <w:sz w:val="21"/>
        </w:rPr>
        <w:t>（支付款项从我方账户划出）</w:t>
      </w:r>
      <w:r>
        <w:rPr>
          <w:spacing w:val="-1"/>
          <w:sz w:val="21"/>
        </w:rPr>
        <w:t>之日起，保证责任即解除。</w:t>
      </w:r>
      <w:r>
        <w:rPr>
          <w:sz w:val="21"/>
        </w:rPr>
        <w:t xml:space="preserve"> </w:t>
      </w:r>
    </w:p>
    <w:p w14:paraId="118D90D5">
      <w:pPr>
        <w:pStyle w:val="317"/>
        <w:numPr>
          <w:ilvl w:val="0"/>
          <w:numId w:val="84"/>
        </w:numPr>
        <w:tabs>
          <w:tab w:val="left" w:pos="958"/>
        </w:tabs>
        <w:spacing w:line="429" w:lineRule="auto"/>
        <w:ind w:left="326" w:right="1122" w:firstLine="420"/>
        <w:jc w:val="left"/>
        <w:rPr>
          <w:sz w:val="21"/>
        </w:rPr>
      </w:pPr>
      <w:r>
        <w:rPr>
          <w:spacing w:val="-5"/>
          <w:sz w:val="21"/>
        </w:rPr>
        <w:t xml:space="preserve">按照法律法规的规定或出现应解除我方保证责任的其他情形的，我方在本保函项下的保证责任亦解除。 </w:t>
      </w:r>
    </w:p>
    <w:p w14:paraId="67D6EEF9">
      <w:pPr>
        <w:pStyle w:val="317"/>
        <w:numPr>
          <w:ilvl w:val="0"/>
          <w:numId w:val="84"/>
        </w:numPr>
        <w:tabs>
          <w:tab w:val="left" w:pos="958"/>
        </w:tabs>
        <w:spacing w:line="252" w:lineRule="exact"/>
        <w:ind w:left="958" w:hanging="212"/>
        <w:jc w:val="left"/>
        <w:rPr>
          <w:sz w:val="21"/>
        </w:rPr>
      </w:pPr>
      <w:r>
        <w:rPr>
          <w:spacing w:val="-13"/>
          <w:sz w:val="21"/>
        </w:rPr>
        <w:t>我方解除保证责任后，你方应自我方保证责任解除之日起 个工作日内，将本保函原件返还我方</w:t>
      </w:r>
      <w:r>
        <w:rPr>
          <w:spacing w:val="-123"/>
          <w:sz w:val="21"/>
        </w:rPr>
        <w:t>。</w:t>
      </w:r>
      <w:r>
        <w:rPr>
          <w:sz w:val="21"/>
        </w:rPr>
        <w:t xml:space="preserve"> </w:t>
      </w:r>
    </w:p>
    <w:p w14:paraId="4406C767">
      <w:pPr>
        <w:pStyle w:val="17"/>
        <w:spacing w:before="4"/>
        <w:rPr>
          <w:sz w:val="15"/>
        </w:rPr>
      </w:pPr>
    </w:p>
    <w:p w14:paraId="603EC11A">
      <w:pPr>
        <w:pStyle w:val="17"/>
        <w:ind w:left="746"/>
      </w:pPr>
      <w:r>
        <w:t xml:space="preserve">六、免责条款 </w:t>
      </w:r>
    </w:p>
    <w:p w14:paraId="0822E09C">
      <w:pPr>
        <w:pStyle w:val="17"/>
        <w:spacing w:before="4"/>
        <w:rPr>
          <w:sz w:val="15"/>
        </w:rPr>
      </w:pPr>
    </w:p>
    <w:p w14:paraId="116A10C3">
      <w:pPr>
        <w:pStyle w:val="317"/>
        <w:numPr>
          <w:ilvl w:val="0"/>
          <w:numId w:val="85"/>
        </w:numPr>
        <w:tabs>
          <w:tab w:val="left" w:pos="958"/>
        </w:tabs>
        <w:ind w:hanging="212"/>
        <w:rPr>
          <w:sz w:val="21"/>
        </w:rPr>
      </w:pPr>
      <w:r>
        <w:rPr>
          <w:spacing w:val="-1"/>
          <w:sz w:val="21"/>
        </w:rPr>
        <w:t>因你方违约致使发包人不能履行义务的，我方不承担保证责任。</w:t>
      </w:r>
      <w:r>
        <w:rPr>
          <w:sz w:val="21"/>
        </w:rPr>
        <w:t xml:space="preserve"> </w:t>
      </w:r>
    </w:p>
    <w:p w14:paraId="6B7E5AC9">
      <w:pPr>
        <w:pStyle w:val="17"/>
        <w:spacing w:before="4"/>
        <w:rPr>
          <w:sz w:val="15"/>
        </w:rPr>
      </w:pPr>
    </w:p>
    <w:p w14:paraId="68CD6414">
      <w:pPr>
        <w:pStyle w:val="317"/>
        <w:numPr>
          <w:ilvl w:val="0"/>
          <w:numId w:val="85"/>
        </w:numPr>
        <w:tabs>
          <w:tab w:val="left" w:pos="958"/>
        </w:tabs>
        <w:spacing w:line="427" w:lineRule="auto"/>
        <w:ind w:left="326" w:right="1115" w:firstLine="420"/>
        <w:rPr>
          <w:sz w:val="21"/>
        </w:rPr>
      </w:pPr>
      <w:r>
        <w:rPr>
          <w:spacing w:val="-5"/>
          <w:sz w:val="21"/>
        </w:rPr>
        <w:t xml:space="preserve">依照法律法规的规定或你方与发包人的另行约定，免除发包人部分或全部义务的，我方亦免除其相应的保证责任。 </w:t>
      </w:r>
    </w:p>
    <w:p w14:paraId="2FCB4ADE">
      <w:pPr>
        <w:pStyle w:val="317"/>
        <w:numPr>
          <w:ilvl w:val="0"/>
          <w:numId w:val="85"/>
        </w:numPr>
        <w:tabs>
          <w:tab w:val="left" w:pos="958"/>
        </w:tabs>
        <w:spacing w:line="415" w:lineRule="auto"/>
        <w:ind w:left="326" w:right="1108" w:firstLine="420"/>
        <w:jc w:val="both"/>
        <w:rPr>
          <w:sz w:val="21"/>
        </w:rPr>
      </w:pPr>
      <w:r>
        <w:rPr>
          <w:spacing w:val="-6"/>
          <w:sz w:val="21"/>
        </w:rPr>
        <w:t>你方与发包人协议变更主合同的，如加重发包人责任致使我方保证责任加重的，需征得我方书面</w:t>
      </w:r>
      <w:r>
        <w:rPr>
          <w:spacing w:val="-8"/>
          <w:sz w:val="21"/>
        </w:rPr>
        <w:t>同意，否则我方不再承担因此而加重部分的保证责任，但主合同第 10</w:t>
      </w:r>
      <w:r>
        <w:rPr>
          <w:spacing w:val="-10"/>
          <w:sz w:val="21"/>
        </w:rPr>
        <w:t xml:space="preserve"> 条〔变更〕约定的变更不受本款限制。 </w:t>
      </w:r>
    </w:p>
    <w:p w14:paraId="78910A32">
      <w:pPr>
        <w:pStyle w:val="317"/>
        <w:numPr>
          <w:ilvl w:val="0"/>
          <w:numId w:val="85"/>
        </w:numPr>
        <w:tabs>
          <w:tab w:val="left" w:pos="958"/>
        </w:tabs>
        <w:spacing w:line="429" w:lineRule="auto"/>
        <w:ind w:left="746" w:right="3874" w:firstLine="0"/>
        <w:rPr>
          <w:sz w:val="21"/>
        </w:rPr>
      </w:pPr>
      <w:r>
        <w:rPr>
          <w:spacing w:val="-1"/>
          <w:sz w:val="21"/>
        </w:rPr>
        <w:t xml:space="preserve">因不可抗力造成发包人不能履行义务的，我方不承担保证责任。 </w:t>
      </w:r>
      <w:r>
        <w:rPr>
          <w:sz w:val="21"/>
        </w:rPr>
        <w:t xml:space="preserve">七、争议解决 </w:t>
      </w:r>
    </w:p>
    <w:p w14:paraId="5DE60A5F">
      <w:pPr>
        <w:pStyle w:val="17"/>
        <w:spacing w:line="251" w:lineRule="exact"/>
        <w:ind w:left="746"/>
      </w:pPr>
      <w:r>
        <w:t>因本保函或本保函相关事项发生的纠纷，可由双方协商解决，协商不成的，按下列第</w:t>
      </w:r>
      <w:r>
        <w:rPr>
          <w:u w:val="single"/>
        </w:rPr>
        <w:t xml:space="preserve"> </w:t>
      </w:r>
      <w:r>
        <w:t>种方式解</w:t>
      </w:r>
    </w:p>
    <w:p w14:paraId="0CA19829">
      <w:pPr>
        <w:pStyle w:val="17"/>
        <w:spacing w:before="11"/>
        <w:rPr>
          <w:sz w:val="8"/>
        </w:rPr>
      </w:pPr>
    </w:p>
    <w:p w14:paraId="5E6F60FA">
      <w:pPr>
        <w:pStyle w:val="17"/>
        <w:spacing w:before="71"/>
        <w:ind w:left="326"/>
      </w:pPr>
      <w:r>
        <w:t xml:space="preserve">决： </w:t>
      </w:r>
    </w:p>
    <w:p w14:paraId="3BE3B244">
      <w:pPr>
        <w:pStyle w:val="17"/>
        <w:spacing w:before="4"/>
        <w:rPr>
          <w:sz w:val="15"/>
        </w:rPr>
      </w:pPr>
    </w:p>
    <w:p w14:paraId="7DFE717B">
      <w:pPr>
        <w:pStyle w:val="17"/>
        <w:ind w:left="746"/>
      </w:pPr>
      <w:r>
        <w:t>（1） 向</w:t>
      </w:r>
      <w:r>
        <w:rPr>
          <w:u w:val="single"/>
        </w:rPr>
        <w:t xml:space="preserve"> </w:t>
      </w:r>
      <w:r>
        <w:t xml:space="preserve">仲 裁 委 员 会 申 请 仲 裁 ； </w:t>
      </w:r>
    </w:p>
    <w:p w14:paraId="369AE6AF">
      <w:pPr>
        <w:pStyle w:val="17"/>
        <w:spacing w:before="11"/>
        <w:rPr>
          <w:sz w:val="9"/>
        </w:rPr>
      </w:pPr>
    </w:p>
    <w:p w14:paraId="0A3A8A33">
      <w:pPr>
        <w:pStyle w:val="17"/>
        <w:spacing w:before="71"/>
        <w:ind w:left="746"/>
      </w:pPr>
      <w:r>
        <w:t>（2） 向</w:t>
      </w:r>
      <w:r>
        <w:rPr>
          <w:u w:val="single"/>
        </w:rPr>
        <w:t xml:space="preserve"> </w:t>
      </w:r>
      <w:r>
        <w:t xml:space="preserve">人 民 法 院 起 诉 。 </w:t>
      </w:r>
    </w:p>
    <w:p w14:paraId="459D2A7F">
      <w:pPr>
        <w:pStyle w:val="17"/>
        <w:spacing w:before="12"/>
        <w:rPr>
          <w:sz w:val="10"/>
        </w:rPr>
      </w:pPr>
    </w:p>
    <w:p w14:paraId="0AD96727">
      <w:pPr>
        <w:pStyle w:val="17"/>
        <w:spacing w:before="71"/>
        <w:ind w:left="746"/>
      </w:pPr>
      <w:r>
        <w:t xml:space="preserve">八、保函的生效 </w:t>
      </w:r>
    </w:p>
    <w:p w14:paraId="215FEA35">
      <w:pPr>
        <w:pStyle w:val="17"/>
        <w:spacing w:before="3"/>
        <w:rPr>
          <w:sz w:val="15"/>
        </w:rPr>
      </w:pPr>
    </w:p>
    <w:p w14:paraId="7A6EEA96">
      <w:pPr>
        <w:pStyle w:val="17"/>
        <w:spacing w:before="1"/>
        <w:ind w:left="746"/>
      </w:pPr>
      <w:r>
        <w:t xml:space="preserve">本保函自我方法定代表人（或其委托代理人）签字并加盖公章之日起生效。 </w:t>
      </w:r>
    </w:p>
    <w:p w14:paraId="5C83BFC6">
      <w:pPr>
        <w:pStyle w:val="17"/>
        <w:rPr>
          <w:sz w:val="20"/>
        </w:rPr>
      </w:pPr>
    </w:p>
    <w:p w14:paraId="1A4A6220">
      <w:pPr>
        <w:pStyle w:val="17"/>
        <w:rPr>
          <w:sz w:val="20"/>
        </w:rPr>
      </w:pPr>
    </w:p>
    <w:p w14:paraId="09536E17">
      <w:pPr>
        <w:pStyle w:val="17"/>
        <w:rPr>
          <w:sz w:val="20"/>
        </w:rPr>
      </w:pPr>
    </w:p>
    <w:p w14:paraId="0F7E7500">
      <w:pPr>
        <w:pStyle w:val="17"/>
        <w:spacing w:before="6"/>
        <w:rPr>
          <w:sz w:val="22"/>
        </w:rPr>
      </w:pPr>
    </w:p>
    <w:p w14:paraId="16DE2EF8">
      <w:pPr>
        <w:pStyle w:val="17"/>
        <w:spacing w:before="70"/>
        <w:ind w:left="746"/>
      </w:pPr>
      <w:r>
        <w:t>担 保 人 ：</w:t>
      </w:r>
      <w:r>
        <w:rPr>
          <w:u w:val="single"/>
        </w:rPr>
        <w:t xml:space="preserve">                             </w:t>
      </w:r>
      <w:r>
        <w:t xml:space="preserve">（ 盖 章 ） </w:t>
      </w:r>
    </w:p>
    <w:p w14:paraId="38A1A0BE">
      <w:pPr>
        <w:pStyle w:val="17"/>
        <w:rPr>
          <w:sz w:val="11"/>
        </w:rPr>
      </w:pPr>
    </w:p>
    <w:p w14:paraId="62C3D5A8">
      <w:pPr>
        <w:pStyle w:val="17"/>
        <w:spacing w:before="71"/>
        <w:ind w:left="746"/>
      </w:pPr>
      <w:r>
        <w:t>法定代表人或委托代理人：</w:t>
      </w:r>
      <w:r>
        <w:rPr>
          <w:spacing w:val="5"/>
          <w:u w:val="single"/>
        </w:rPr>
        <w:t xml:space="preserve">                  </w:t>
      </w:r>
      <w:r>
        <w:t xml:space="preserve">（签字） </w:t>
      </w:r>
    </w:p>
    <w:p w14:paraId="0CBF22F4">
      <w:pPr>
        <w:pStyle w:val="17"/>
        <w:spacing w:before="10"/>
        <w:rPr>
          <w:sz w:val="9"/>
        </w:rPr>
      </w:pPr>
    </w:p>
    <w:p w14:paraId="410CB7F2">
      <w:pPr>
        <w:pStyle w:val="17"/>
        <w:spacing w:before="71"/>
        <w:ind w:left="746"/>
      </w:pPr>
      <w:r>
        <w:t>地   址 ：</w:t>
      </w:r>
      <w:r>
        <w:rPr>
          <w:u w:val="single"/>
        </w:rPr>
        <w:t xml:space="preserve">                                       </w:t>
      </w:r>
      <w:r>
        <w:rPr>
          <w:spacing w:val="5"/>
          <w:u w:val="single"/>
        </w:rPr>
        <w:t xml:space="preserve"> </w:t>
      </w:r>
      <w:r>
        <w:t xml:space="preserve"> </w:t>
      </w:r>
    </w:p>
    <w:p w14:paraId="6AEF2A66">
      <w:pPr>
        <w:pStyle w:val="17"/>
        <w:spacing w:before="10"/>
        <w:rPr>
          <w:sz w:val="9"/>
        </w:rPr>
      </w:pPr>
    </w:p>
    <w:p w14:paraId="3506B026">
      <w:pPr>
        <w:pStyle w:val="17"/>
        <w:spacing w:before="71"/>
        <w:ind w:left="746"/>
      </w:pPr>
      <w:r>
        <w:rPr>
          <w:spacing w:val="-1"/>
        </w:rPr>
        <w:t>邮政编码：</w:t>
      </w:r>
      <w:r>
        <w:rPr>
          <w:spacing w:val="-1"/>
          <w:u w:val="single"/>
        </w:rPr>
        <w:t xml:space="preserve">                                       </w:t>
      </w:r>
      <w:r>
        <w:rPr>
          <w:spacing w:val="5"/>
          <w:u w:val="single"/>
        </w:rPr>
        <w:t xml:space="preserve"> </w:t>
      </w:r>
      <w:r>
        <w:t xml:space="preserve"> </w:t>
      </w:r>
    </w:p>
    <w:p w14:paraId="620760DE">
      <w:pPr>
        <w:pStyle w:val="17"/>
        <w:spacing w:before="10"/>
        <w:rPr>
          <w:sz w:val="9"/>
        </w:rPr>
      </w:pPr>
    </w:p>
    <w:p w14:paraId="1B291874">
      <w:pPr>
        <w:pStyle w:val="17"/>
        <w:spacing w:before="71"/>
        <w:ind w:left="746"/>
      </w:pPr>
      <w:r>
        <w:t>传   真 ：</w:t>
      </w:r>
      <w:r>
        <w:rPr>
          <w:u w:val="single"/>
        </w:rPr>
        <w:t xml:space="preserve">                                       </w:t>
      </w:r>
      <w:r>
        <w:rPr>
          <w:spacing w:val="5"/>
          <w:u w:val="single"/>
        </w:rPr>
        <w:t xml:space="preserve"> </w:t>
      </w:r>
      <w:r>
        <w:t xml:space="preserve"> </w:t>
      </w:r>
    </w:p>
    <w:p w14:paraId="576EAF0D">
      <w:pPr>
        <w:pStyle w:val="17"/>
        <w:rPr>
          <w:sz w:val="20"/>
        </w:rPr>
      </w:pPr>
    </w:p>
    <w:p w14:paraId="7BE34D6C">
      <w:pPr>
        <w:pStyle w:val="17"/>
        <w:spacing w:before="4"/>
        <w:rPr>
          <w:sz w:val="27"/>
        </w:rPr>
      </w:pPr>
    </w:p>
    <w:p w14:paraId="557D243A">
      <w:pPr>
        <w:pStyle w:val="17"/>
        <w:spacing w:before="71"/>
        <w:ind w:left="6649"/>
      </w:pPr>
      <w:r>
        <w:t xml:space="preserve">  </w:t>
      </w:r>
      <w:r>
        <w:rPr>
          <w:u w:val="single"/>
        </w:rPr>
        <w:t xml:space="preserve">          </w:t>
      </w:r>
      <w:r>
        <w:t>年</w:t>
      </w:r>
      <w:r>
        <w:rPr>
          <w:u w:val="single"/>
        </w:rPr>
        <w:t xml:space="preserve"> </w:t>
      </w:r>
      <w:r>
        <w:t>月</w:t>
      </w:r>
      <w:r>
        <w:rPr>
          <w:u w:val="single"/>
        </w:rPr>
        <w:t xml:space="preserve"> </w:t>
      </w:r>
      <w:r>
        <w:t>日</w:t>
      </w:r>
    </w:p>
    <w:p w14:paraId="72EC86CF">
      <w:pPr>
        <w:sectPr>
          <w:pgSz w:w="11910" w:h="16850"/>
          <w:pgMar w:top="1440" w:right="1080" w:bottom="1440" w:left="1080" w:header="0" w:footer="996" w:gutter="0"/>
          <w:cols w:space="720" w:num="1"/>
        </w:sectPr>
      </w:pPr>
    </w:p>
    <w:p w14:paraId="19D00FA4">
      <w:pPr>
        <w:pStyle w:val="17"/>
        <w:spacing w:before="7"/>
      </w:pPr>
    </w:p>
    <w:p w14:paraId="430E5975">
      <w:pPr>
        <w:pStyle w:val="17"/>
        <w:spacing w:before="71"/>
        <w:ind w:left="161"/>
      </w:pPr>
      <w:r>
        <w:t xml:space="preserve">附件 7： </w:t>
      </w:r>
    </w:p>
    <w:p w14:paraId="046ED757">
      <w:pPr>
        <w:pStyle w:val="17"/>
        <w:rPr>
          <w:sz w:val="20"/>
        </w:rPr>
      </w:pPr>
    </w:p>
    <w:p w14:paraId="2E293A98">
      <w:pPr>
        <w:pStyle w:val="17"/>
        <w:spacing w:before="7"/>
        <w:rPr>
          <w:sz w:val="15"/>
        </w:rPr>
      </w:pPr>
    </w:p>
    <w:p w14:paraId="2934344C">
      <w:pPr>
        <w:pStyle w:val="17"/>
        <w:spacing w:before="71"/>
        <w:ind w:right="1039"/>
        <w:jc w:val="center"/>
      </w:pPr>
      <w:r>
        <w:t xml:space="preserve">专业工程暂估价表 </w:t>
      </w:r>
    </w:p>
    <w:p w14:paraId="2633D605">
      <w:pPr>
        <w:pStyle w:val="17"/>
        <w:spacing w:before="8" w:after="1"/>
        <w:rPr>
          <w:sz w:val="24"/>
        </w:rPr>
      </w:pPr>
    </w:p>
    <w:tbl>
      <w:tblPr>
        <w:tblStyle w:val="46"/>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6"/>
        <w:gridCol w:w="1983"/>
        <w:gridCol w:w="5107"/>
        <w:gridCol w:w="1562"/>
      </w:tblGrid>
      <w:tr w14:paraId="0E1CA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0FCA6912">
            <w:pPr>
              <w:pStyle w:val="318"/>
              <w:spacing w:line="265" w:lineRule="exact"/>
              <w:ind w:left="265" w:right="146"/>
              <w:jc w:val="center"/>
              <w:rPr>
                <w:sz w:val="21"/>
              </w:rPr>
            </w:pPr>
            <w:r>
              <w:rPr>
                <w:sz w:val="21"/>
              </w:rPr>
              <w:t xml:space="preserve">序号 </w:t>
            </w:r>
          </w:p>
        </w:tc>
        <w:tc>
          <w:tcPr>
            <w:tcW w:w="1983" w:type="dxa"/>
          </w:tcPr>
          <w:p w14:paraId="33F81112">
            <w:pPr>
              <w:pStyle w:val="318"/>
              <w:spacing w:line="265" w:lineRule="exact"/>
              <w:ind w:left="353"/>
              <w:rPr>
                <w:sz w:val="21"/>
              </w:rPr>
            </w:pPr>
            <w:r>
              <w:rPr>
                <w:sz w:val="21"/>
              </w:rPr>
              <w:t xml:space="preserve">专业工程名称 </w:t>
            </w:r>
          </w:p>
        </w:tc>
        <w:tc>
          <w:tcPr>
            <w:tcW w:w="5107" w:type="dxa"/>
          </w:tcPr>
          <w:p w14:paraId="73310630">
            <w:pPr>
              <w:pStyle w:val="318"/>
              <w:spacing w:line="265" w:lineRule="exact"/>
              <w:ind w:left="2157" w:right="2054"/>
              <w:jc w:val="center"/>
              <w:rPr>
                <w:sz w:val="21"/>
              </w:rPr>
            </w:pPr>
            <w:r>
              <w:rPr>
                <w:sz w:val="21"/>
              </w:rPr>
              <w:t xml:space="preserve">工程内容 </w:t>
            </w:r>
          </w:p>
        </w:tc>
        <w:tc>
          <w:tcPr>
            <w:tcW w:w="1562" w:type="dxa"/>
          </w:tcPr>
          <w:p w14:paraId="49680F89">
            <w:pPr>
              <w:pStyle w:val="318"/>
              <w:spacing w:line="265" w:lineRule="exact"/>
              <w:ind w:left="577"/>
              <w:rPr>
                <w:sz w:val="21"/>
              </w:rPr>
            </w:pPr>
            <w:r>
              <w:rPr>
                <w:sz w:val="21"/>
              </w:rPr>
              <w:t xml:space="preserve">金额 </w:t>
            </w:r>
          </w:p>
        </w:tc>
      </w:tr>
      <w:tr w14:paraId="6B35F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14:paraId="1F7D87ED">
            <w:pPr>
              <w:pStyle w:val="318"/>
              <w:ind w:left="150"/>
              <w:jc w:val="center"/>
              <w:rPr>
                <w:sz w:val="21"/>
              </w:rPr>
            </w:pPr>
            <w:r>
              <w:rPr>
                <w:sz w:val="21"/>
              </w:rPr>
              <w:t xml:space="preserve"> </w:t>
            </w:r>
          </w:p>
        </w:tc>
        <w:tc>
          <w:tcPr>
            <w:tcW w:w="1983" w:type="dxa"/>
          </w:tcPr>
          <w:p w14:paraId="199BFF55">
            <w:pPr>
              <w:pStyle w:val="318"/>
              <w:ind w:left="443"/>
              <w:rPr>
                <w:sz w:val="21"/>
              </w:rPr>
            </w:pPr>
            <w:r>
              <w:rPr>
                <w:sz w:val="21"/>
              </w:rPr>
              <w:t xml:space="preserve"> </w:t>
            </w:r>
          </w:p>
        </w:tc>
        <w:tc>
          <w:tcPr>
            <w:tcW w:w="5107" w:type="dxa"/>
          </w:tcPr>
          <w:p w14:paraId="7B233FAB">
            <w:pPr>
              <w:pStyle w:val="318"/>
              <w:rPr>
                <w:sz w:val="21"/>
              </w:rPr>
            </w:pPr>
            <w:r>
              <w:rPr>
                <w:sz w:val="21"/>
              </w:rPr>
              <w:t xml:space="preserve"> </w:t>
            </w:r>
          </w:p>
        </w:tc>
        <w:tc>
          <w:tcPr>
            <w:tcW w:w="1562" w:type="dxa"/>
          </w:tcPr>
          <w:p w14:paraId="0875FEBB">
            <w:pPr>
              <w:pStyle w:val="318"/>
              <w:ind w:left="457"/>
              <w:rPr>
                <w:sz w:val="21"/>
              </w:rPr>
            </w:pPr>
            <w:r>
              <w:rPr>
                <w:sz w:val="21"/>
              </w:rPr>
              <w:t xml:space="preserve"> </w:t>
            </w:r>
          </w:p>
        </w:tc>
      </w:tr>
      <w:tr w14:paraId="09BCB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3A5E7DB0">
            <w:pPr>
              <w:pStyle w:val="318"/>
              <w:spacing w:before="90"/>
              <w:ind w:left="150"/>
              <w:jc w:val="center"/>
              <w:rPr>
                <w:sz w:val="21"/>
              </w:rPr>
            </w:pPr>
            <w:r>
              <w:rPr>
                <w:sz w:val="21"/>
              </w:rPr>
              <w:t xml:space="preserve"> </w:t>
            </w:r>
          </w:p>
        </w:tc>
        <w:tc>
          <w:tcPr>
            <w:tcW w:w="1983" w:type="dxa"/>
          </w:tcPr>
          <w:p w14:paraId="1E8F4F1D">
            <w:pPr>
              <w:pStyle w:val="318"/>
              <w:spacing w:before="90"/>
              <w:ind w:left="443"/>
              <w:rPr>
                <w:sz w:val="21"/>
              </w:rPr>
            </w:pPr>
            <w:r>
              <w:rPr>
                <w:sz w:val="21"/>
              </w:rPr>
              <w:t xml:space="preserve"> </w:t>
            </w:r>
          </w:p>
        </w:tc>
        <w:tc>
          <w:tcPr>
            <w:tcW w:w="5107" w:type="dxa"/>
          </w:tcPr>
          <w:p w14:paraId="6A746F31">
            <w:pPr>
              <w:pStyle w:val="318"/>
              <w:spacing w:before="90"/>
              <w:rPr>
                <w:sz w:val="21"/>
              </w:rPr>
            </w:pPr>
            <w:r>
              <w:rPr>
                <w:sz w:val="21"/>
              </w:rPr>
              <w:t xml:space="preserve"> </w:t>
            </w:r>
          </w:p>
        </w:tc>
        <w:tc>
          <w:tcPr>
            <w:tcW w:w="1562" w:type="dxa"/>
          </w:tcPr>
          <w:p w14:paraId="0C63C632">
            <w:pPr>
              <w:pStyle w:val="318"/>
              <w:spacing w:before="90"/>
              <w:ind w:left="457"/>
              <w:rPr>
                <w:sz w:val="21"/>
              </w:rPr>
            </w:pPr>
            <w:r>
              <w:rPr>
                <w:sz w:val="21"/>
              </w:rPr>
              <w:t xml:space="preserve"> </w:t>
            </w:r>
          </w:p>
        </w:tc>
      </w:tr>
      <w:tr w14:paraId="2CD25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189A9637">
            <w:pPr>
              <w:pStyle w:val="318"/>
              <w:spacing w:line="265" w:lineRule="exact"/>
              <w:ind w:left="150"/>
              <w:jc w:val="center"/>
              <w:rPr>
                <w:sz w:val="21"/>
              </w:rPr>
            </w:pPr>
            <w:r>
              <w:rPr>
                <w:sz w:val="21"/>
              </w:rPr>
              <w:t xml:space="preserve"> </w:t>
            </w:r>
          </w:p>
        </w:tc>
        <w:tc>
          <w:tcPr>
            <w:tcW w:w="1983" w:type="dxa"/>
          </w:tcPr>
          <w:p w14:paraId="768CFCC7">
            <w:pPr>
              <w:pStyle w:val="318"/>
              <w:spacing w:line="265" w:lineRule="exact"/>
              <w:ind w:left="443"/>
              <w:rPr>
                <w:sz w:val="21"/>
              </w:rPr>
            </w:pPr>
            <w:r>
              <w:rPr>
                <w:sz w:val="21"/>
              </w:rPr>
              <w:t xml:space="preserve"> </w:t>
            </w:r>
          </w:p>
        </w:tc>
        <w:tc>
          <w:tcPr>
            <w:tcW w:w="5107" w:type="dxa"/>
          </w:tcPr>
          <w:p w14:paraId="6655BB47">
            <w:pPr>
              <w:pStyle w:val="318"/>
              <w:spacing w:line="265" w:lineRule="exact"/>
              <w:rPr>
                <w:sz w:val="21"/>
              </w:rPr>
            </w:pPr>
            <w:r>
              <w:rPr>
                <w:sz w:val="21"/>
              </w:rPr>
              <w:t xml:space="preserve"> </w:t>
            </w:r>
          </w:p>
        </w:tc>
        <w:tc>
          <w:tcPr>
            <w:tcW w:w="1562" w:type="dxa"/>
          </w:tcPr>
          <w:p w14:paraId="0F55856B">
            <w:pPr>
              <w:pStyle w:val="318"/>
              <w:spacing w:line="265" w:lineRule="exact"/>
              <w:ind w:left="457"/>
              <w:rPr>
                <w:sz w:val="21"/>
              </w:rPr>
            </w:pPr>
            <w:r>
              <w:rPr>
                <w:sz w:val="21"/>
              </w:rPr>
              <w:t xml:space="preserve"> </w:t>
            </w:r>
          </w:p>
        </w:tc>
      </w:tr>
      <w:tr w14:paraId="63573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14:paraId="22EAD46A">
            <w:pPr>
              <w:pStyle w:val="318"/>
              <w:ind w:left="150"/>
              <w:jc w:val="center"/>
              <w:rPr>
                <w:sz w:val="21"/>
              </w:rPr>
            </w:pPr>
            <w:r>
              <w:rPr>
                <w:sz w:val="21"/>
              </w:rPr>
              <w:t xml:space="preserve"> </w:t>
            </w:r>
          </w:p>
        </w:tc>
        <w:tc>
          <w:tcPr>
            <w:tcW w:w="1983" w:type="dxa"/>
          </w:tcPr>
          <w:p w14:paraId="0476F389">
            <w:pPr>
              <w:pStyle w:val="318"/>
              <w:ind w:left="443"/>
              <w:rPr>
                <w:sz w:val="21"/>
              </w:rPr>
            </w:pPr>
            <w:r>
              <w:rPr>
                <w:sz w:val="21"/>
              </w:rPr>
              <w:t xml:space="preserve"> </w:t>
            </w:r>
          </w:p>
        </w:tc>
        <w:tc>
          <w:tcPr>
            <w:tcW w:w="5107" w:type="dxa"/>
          </w:tcPr>
          <w:p w14:paraId="26AB3DC3">
            <w:pPr>
              <w:pStyle w:val="318"/>
              <w:rPr>
                <w:sz w:val="21"/>
              </w:rPr>
            </w:pPr>
            <w:r>
              <w:rPr>
                <w:sz w:val="21"/>
              </w:rPr>
              <w:t xml:space="preserve"> </w:t>
            </w:r>
          </w:p>
        </w:tc>
        <w:tc>
          <w:tcPr>
            <w:tcW w:w="1562" w:type="dxa"/>
          </w:tcPr>
          <w:p w14:paraId="13350F21">
            <w:pPr>
              <w:pStyle w:val="318"/>
              <w:ind w:left="457"/>
              <w:rPr>
                <w:sz w:val="21"/>
              </w:rPr>
            </w:pPr>
            <w:r>
              <w:rPr>
                <w:sz w:val="21"/>
              </w:rPr>
              <w:t xml:space="preserve"> </w:t>
            </w:r>
          </w:p>
        </w:tc>
      </w:tr>
      <w:tr w14:paraId="28F7C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5934694B">
            <w:pPr>
              <w:pStyle w:val="318"/>
              <w:spacing w:before="90"/>
              <w:ind w:left="150"/>
              <w:jc w:val="center"/>
              <w:rPr>
                <w:sz w:val="21"/>
              </w:rPr>
            </w:pPr>
            <w:r>
              <w:rPr>
                <w:sz w:val="21"/>
              </w:rPr>
              <w:t xml:space="preserve"> </w:t>
            </w:r>
          </w:p>
        </w:tc>
        <w:tc>
          <w:tcPr>
            <w:tcW w:w="1983" w:type="dxa"/>
          </w:tcPr>
          <w:p w14:paraId="35920836">
            <w:pPr>
              <w:pStyle w:val="318"/>
              <w:spacing w:before="90"/>
              <w:ind w:left="443"/>
              <w:rPr>
                <w:sz w:val="21"/>
              </w:rPr>
            </w:pPr>
            <w:r>
              <w:rPr>
                <w:sz w:val="21"/>
              </w:rPr>
              <w:t xml:space="preserve"> </w:t>
            </w:r>
          </w:p>
        </w:tc>
        <w:tc>
          <w:tcPr>
            <w:tcW w:w="5107" w:type="dxa"/>
          </w:tcPr>
          <w:p w14:paraId="3698F603">
            <w:pPr>
              <w:pStyle w:val="318"/>
              <w:spacing w:before="90"/>
              <w:rPr>
                <w:sz w:val="21"/>
              </w:rPr>
            </w:pPr>
            <w:r>
              <w:rPr>
                <w:sz w:val="21"/>
              </w:rPr>
              <w:t xml:space="preserve"> </w:t>
            </w:r>
          </w:p>
        </w:tc>
        <w:tc>
          <w:tcPr>
            <w:tcW w:w="1562" w:type="dxa"/>
          </w:tcPr>
          <w:p w14:paraId="21AB08AC">
            <w:pPr>
              <w:pStyle w:val="318"/>
              <w:spacing w:before="90"/>
              <w:ind w:left="457"/>
              <w:rPr>
                <w:sz w:val="21"/>
              </w:rPr>
            </w:pPr>
            <w:r>
              <w:rPr>
                <w:sz w:val="21"/>
              </w:rPr>
              <w:t xml:space="preserve"> </w:t>
            </w:r>
          </w:p>
        </w:tc>
      </w:tr>
      <w:tr w14:paraId="345B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3D869520">
            <w:pPr>
              <w:pStyle w:val="318"/>
              <w:spacing w:line="265" w:lineRule="exact"/>
              <w:ind w:left="150"/>
              <w:jc w:val="center"/>
              <w:rPr>
                <w:sz w:val="21"/>
              </w:rPr>
            </w:pPr>
            <w:r>
              <w:rPr>
                <w:sz w:val="21"/>
              </w:rPr>
              <w:t xml:space="preserve"> </w:t>
            </w:r>
          </w:p>
        </w:tc>
        <w:tc>
          <w:tcPr>
            <w:tcW w:w="1983" w:type="dxa"/>
          </w:tcPr>
          <w:p w14:paraId="06837156">
            <w:pPr>
              <w:pStyle w:val="318"/>
              <w:spacing w:line="265" w:lineRule="exact"/>
              <w:ind w:left="443"/>
              <w:rPr>
                <w:sz w:val="21"/>
              </w:rPr>
            </w:pPr>
            <w:r>
              <w:rPr>
                <w:sz w:val="21"/>
              </w:rPr>
              <w:t xml:space="preserve"> </w:t>
            </w:r>
          </w:p>
        </w:tc>
        <w:tc>
          <w:tcPr>
            <w:tcW w:w="5107" w:type="dxa"/>
          </w:tcPr>
          <w:p w14:paraId="6A4FA609">
            <w:pPr>
              <w:pStyle w:val="318"/>
              <w:spacing w:line="265" w:lineRule="exact"/>
              <w:rPr>
                <w:sz w:val="21"/>
              </w:rPr>
            </w:pPr>
            <w:r>
              <w:rPr>
                <w:sz w:val="21"/>
              </w:rPr>
              <w:t xml:space="preserve"> </w:t>
            </w:r>
          </w:p>
        </w:tc>
        <w:tc>
          <w:tcPr>
            <w:tcW w:w="1562" w:type="dxa"/>
          </w:tcPr>
          <w:p w14:paraId="74D2A347">
            <w:pPr>
              <w:pStyle w:val="318"/>
              <w:spacing w:line="265" w:lineRule="exact"/>
              <w:ind w:left="457"/>
              <w:rPr>
                <w:sz w:val="21"/>
              </w:rPr>
            </w:pPr>
            <w:r>
              <w:rPr>
                <w:sz w:val="21"/>
              </w:rPr>
              <w:t xml:space="preserve"> </w:t>
            </w:r>
          </w:p>
        </w:tc>
      </w:tr>
      <w:tr w14:paraId="0C0A3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14:paraId="073322A9">
            <w:pPr>
              <w:pStyle w:val="318"/>
              <w:ind w:left="150"/>
              <w:jc w:val="center"/>
              <w:rPr>
                <w:sz w:val="21"/>
              </w:rPr>
            </w:pPr>
            <w:r>
              <w:rPr>
                <w:sz w:val="21"/>
              </w:rPr>
              <w:t xml:space="preserve"> </w:t>
            </w:r>
          </w:p>
        </w:tc>
        <w:tc>
          <w:tcPr>
            <w:tcW w:w="1983" w:type="dxa"/>
          </w:tcPr>
          <w:p w14:paraId="27EA9EB7">
            <w:pPr>
              <w:pStyle w:val="318"/>
              <w:ind w:left="443"/>
              <w:rPr>
                <w:sz w:val="21"/>
              </w:rPr>
            </w:pPr>
            <w:r>
              <w:rPr>
                <w:sz w:val="21"/>
              </w:rPr>
              <w:t xml:space="preserve"> </w:t>
            </w:r>
          </w:p>
        </w:tc>
        <w:tc>
          <w:tcPr>
            <w:tcW w:w="5107" w:type="dxa"/>
          </w:tcPr>
          <w:p w14:paraId="0B0F0827">
            <w:pPr>
              <w:pStyle w:val="318"/>
              <w:rPr>
                <w:sz w:val="21"/>
              </w:rPr>
            </w:pPr>
            <w:r>
              <w:rPr>
                <w:sz w:val="21"/>
              </w:rPr>
              <w:t xml:space="preserve"> </w:t>
            </w:r>
          </w:p>
        </w:tc>
        <w:tc>
          <w:tcPr>
            <w:tcW w:w="1562" w:type="dxa"/>
          </w:tcPr>
          <w:p w14:paraId="62872E9D">
            <w:pPr>
              <w:pStyle w:val="318"/>
              <w:ind w:left="457"/>
              <w:rPr>
                <w:sz w:val="21"/>
              </w:rPr>
            </w:pPr>
            <w:r>
              <w:rPr>
                <w:sz w:val="21"/>
              </w:rPr>
              <w:t xml:space="preserve"> </w:t>
            </w:r>
          </w:p>
        </w:tc>
      </w:tr>
      <w:tr w14:paraId="485F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6D71C0F3">
            <w:pPr>
              <w:pStyle w:val="318"/>
              <w:spacing w:before="90"/>
              <w:ind w:left="150"/>
              <w:jc w:val="center"/>
              <w:rPr>
                <w:sz w:val="21"/>
              </w:rPr>
            </w:pPr>
            <w:r>
              <w:rPr>
                <w:sz w:val="21"/>
              </w:rPr>
              <w:t xml:space="preserve"> </w:t>
            </w:r>
          </w:p>
        </w:tc>
        <w:tc>
          <w:tcPr>
            <w:tcW w:w="1983" w:type="dxa"/>
          </w:tcPr>
          <w:p w14:paraId="74C0A0EF">
            <w:pPr>
              <w:pStyle w:val="318"/>
              <w:spacing w:before="90"/>
              <w:ind w:left="443"/>
              <w:rPr>
                <w:sz w:val="21"/>
              </w:rPr>
            </w:pPr>
            <w:r>
              <w:rPr>
                <w:sz w:val="21"/>
              </w:rPr>
              <w:t xml:space="preserve"> </w:t>
            </w:r>
          </w:p>
        </w:tc>
        <w:tc>
          <w:tcPr>
            <w:tcW w:w="5107" w:type="dxa"/>
          </w:tcPr>
          <w:p w14:paraId="346D4AB4">
            <w:pPr>
              <w:pStyle w:val="318"/>
              <w:spacing w:before="90"/>
              <w:rPr>
                <w:sz w:val="21"/>
              </w:rPr>
            </w:pPr>
            <w:r>
              <w:rPr>
                <w:sz w:val="21"/>
              </w:rPr>
              <w:t xml:space="preserve"> </w:t>
            </w:r>
          </w:p>
        </w:tc>
        <w:tc>
          <w:tcPr>
            <w:tcW w:w="1562" w:type="dxa"/>
          </w:tcPr>
          <w:p w14:paraId="0BCCA8AE">
            <w:pPr>
              <w:pStyle w:val="318"/>
              <w:spacing w:before="90"/>
              <w:ind w:left="457"/>
              <w:rPr>
                <w:sz w:val="21"/>
              </w:rPr>
            </w:pPr>
            <w:r>
              <w:rPr>
                <w:sz w:val="21"/>
              </w:rPr>
              <w:t xml:space="preserve"> </w:t>
            </w:r>
          </w:p>
        </w:tc>
      </w:tr>
      <w:tr w14:paraId="184D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4EBB8A83">
            <w:pPr>
              <w:pStyle w:val="318"/>
              <w:spacing w:line="265" w:lineRule="exact"/>
              <w:ind w:left="150"/>
              <w:jc w:val="center"/>
              <w:rPr>
                <w:sz w:val="21"/>
              </w:rPr>
            </w:pPr>
            <w:r>
              <w:rPr>
                <w:sz w:val="21"/>
              </w:rPr>
              <w:t xml:space="preserve"> </w:t>
            </w:r>
          </w:p>
        </w:tc>
        <w:tc>
          <w:tcPr>
            <w:tcW w:w="1983" w:type="dxa"/>
          </w:tcPr>
          <w:p w14:paraId="506387C4">
            <w:pPr>
              <w:pStyle w:val="318"/>
              <w:spacing w:line="265" w:lineRule="exact"/>
              <w:ind w:left="443"/>
              <w:rPr>
                <w:sz w:val="21"/>
              </w:rPr>
            </w:pPr>
            <w:r>
              <w:rPr>
                <w:sz w:val="21"/>
              </w:rPr>
              <w:t xml:space="preserve"> </w:t>
            </w:r>
          </w:p>
        </w:tc>
        <w:tc>
          <w:tcPr>
            <w:tcW w:w="5107" w:type="dxa"/>
          </w:tcPr>
          <w:p w14:paraId="39266C0D">
            <w:pPr>
              <w:pStyle w:val="318"/>
              <w:spacing w:line="265" w:lineRule="exact"/>
              <w:rPr>
                <w:sz w:val="21"/>
              </w:rPr>
            </w:pPr>
            <w:r>
              <w:rPr>
                <w:sz w:val="21"/>
              </w:rPr>
              <w:t xml:space="preserve"> </w:t>
            </w:r>
          </w:p>
        </w:tc>
        <w:tc>
          <w:tcPr>
            <w:tcW w:w="1562" w:type="dxa"/>
          </w:tcPr>
          <w:p w14:paraId="0228D095">
            <w:pPr>
              <w:pStyle w:val="318"/>
              <w:spacing w:line="265" w:lineRule="exact"/>
              <w:ind w:left="457"/>
              <w:rPr>
                <w:sz w:val="21"/>
              </w:rPr>
            </w:pPr>
            <w:r>
              <w:rPr>
                <w:sz w:val="21"/>
              </w:rPr>
              <w:t xml:space="preserve"> </w:t>
            </w:r>
          </w:p>
        </w:tc>
      </w:tr>
      <w:tr w14:paraId="7A0DA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14:paraId="06E43C2A">
            <w:pPr>
              <w:pStyle w:val="318"/>
              <w:ind w:left="150"/>
              <w:jc w:val="center"/>
              <w:rPr>
                <w:sz w:val="21"/>
              </w:rPr>
            </w:pPr>
            <w:r>
              <w:rPr>
                <w:sz w:val="21"/>
              </w:rPr>
              <w:t xml:space="preserve"> </w:t>
            </w:r>
          </w:p>
        </w:tc>
        <w:tc>
          <w:tcPr>
            <w:tcW w:w="1983" w:type="dxa"/>
          </w:tcPr>
          <w:p w14:paraId="4516886B">
            <w:pPr>
              <w:pStyle w:val="318"/>
              <w:ind w:left="443"/>
              <w:rPr>
                <w:sz w:val="21"/>
              </w:rPr>
            </w:pPr>
            <w:r>
              <w:rPr>
                <w:sz w:val="21"/>
              </w:rPr>
              <w:t xml:space="preserve"> </w:t>
            </w:r>
          </w:p>
        </w:tc>
        <w:tc>
          <w:tcPr>
            <w:tcW w:w="5107" w:type="dxa"/>
          </w:tcPr>
          <w:p w14:paraId="797B2877">
            <w:pPr>
              <w:pStyle w:val="318"/>
              <w:rPr>
                <w:sz w:val="21"/>
              </w:rPr>
            </w:pPr>
            <w:r>
              <w:rPr>
                <w:sz w:val="21"/>
              </w:rPr>
              <w:t xml:space="preserve"> </w:t>
            </w:r>
          </w:p>
        </w:tc>
        <w:tc>
          <w:tcPr>
            <w:tcW w:w="1562" w:type="dxa"/>
          </w:tcPr>
          <w:p w14:paraId="08C25F54">
            <w:pPr>
              <w:pStyle w:val="318"/>
              <w:ind w:left="457"/>
              <w:rPr>
                <w:sz w:val="21"/>
              </w:rPr>
            </w:pPr>
            <w:r>
              <w:rPr>
                <w:sz w:val="21"/>
              </w:rPr>
              <w:t xml:space="preserve"> </w:t>
            </w:r>
          </w:p>
        </w:tc>
      </w:tr>
      <w:tr w14:paraId="7632F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6B49CC01">
            <w:pPr>
              <w:pStyle w:val="318"/>
              <w:spacing w:before="90"/>
              <w:ind w:left="150"/>
              <w:jc w:val="center"/>
              <w:rPr>
                <w:sz w:val="21"/>
              </w:rPr>
            </w:pPr>
            <w:r>
              <w:rPr>
                <w:sz w:val="21"/>
              </w:rPr>
              <w:t xml:space="preserve"> </w:t>
            </w:r>
          </w:p>
        </w:tc>
        <w:tc>
          <w:tcPr>
            <w:tcW w:w="1983" w:type="dxa"/>
          </w:tcPr>
          <w:p w14:paraId="0C148244">
            <w:pPr>
              <w:pStyle w:val="318"/>
              <w:spacing w:before="90"/>
              <w:ind w:left="443"/>
              <w:rPr>
                <w:sz w:val="21"/>
              </w:rPr>
            </w:pPr>
            <w:r>
              <w:rPr>
                <w:sz w:val="21"/>
              </w:rPr>
              <w:t xml:space="preserve"> </w:t>
            </w:r>
          </w:p>
        </w:tc>
        <w:tc>
          <w:tcPr>
            <w:tcW w:w="5107" w:type="dxa"/>
          </w:tcPr>
          <w:p w14:paraId="48F1E3F2">
            <w:pPr>
              <w:pStyle w:val="318"/>
              <w:spacing w:before="90"/>
              <w:rPr>
                <w:sz w:val="21"/>
              </w:rPr>
            </w:pPr>
            <w:r>
              <w:rPr>
                <w:sz w:val="21"/>
              </w:rPr>
              <w:t xml:space="preserve"> </w:t>
            </w:r>
          </w:p>
        </w:tc>
        <w:tc>
          <w:tcPr>
            <w:tcW w:w="1562" w:type="dxa"/>
          </w:tcPr>
          <w:p w14:paraId="76AED8EF">
            <w:pPr>
              <w:pStyle w:val="318"/>
              <w:spacing w:before="90"/>
              <w:ind w:left="457"/>
              <w:rPr>
                <w:sz w:val="21"/>
              </w:rPr>
            </w:pPr>
            <w:r>
              <w:rPr>
                <w:sz w:val="21"/>
              </w:rPr>
              <w:t xml:space="preserve"> </w:t>
            </w:r>
          </w:p>
        </w:tc>
      </w:tr>
      <w:tr w14:paraId="41B8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0717402A">
            <w:pPr>
              <w:pStyle w:val="318"/>
              <w:spacing w:line="265" w:lineRule="exact"/>
              <w:ind w:left="150"/>
              <w:jc w:val="center"/>
              <w:rPr>
                <w:sz w:val="21"/>
              </w:rPr>
            </w:pPr>
            <w:r>
              <w:rPr>
                <w:sz w:val="21"/>
              </w:rPr>
              <w:t xml:space="preserve"> </w:t>
            </w:r>
          </w:p>
        </w:tc>
        <w:tc>
          <w:tcPr>
            <w:tcW w:w="1983" w:type="dxa"/>
          </w:tcPr>
          <w:p w14:paraId="3C8BC55F">
            <w:pPr>
              <w:pStyle w:val="318"/>
              <w:spacing w:line="265" w:lineRule="exact"/>
              <w:ind w:left="443"/>
              <w:rPr>
                <w:sz w:val="21"/>
              </w:rPr>
            </w:pPr>
            <w:r>
              <w:rPr>
                <w:sz w:val="21"/>
              </w:rPr>
              <w:t xml:space="preserve"> </w:t>
            </w:r>
          </w:p>
        </w:tc>
        <w:tc>
          <w:tcPr>
            <w:tcW w:w="5107" w:type="dxa"/>
          </w:tcPr>
          <w:p w14:paraId="5EDE1B72">
            <w:pPr>
              <w:pStyle w:val="318"/>
              <w:spacing w:line="265" w:lineRule="exact"/>
              <w:rPr>
                <w:sz w:val="21"/>
              </w:rPr>
            </w:pPr>
            <w:r>
              <w:rPr>
                <w:sz w:val="21"/>
              </w:rPr>
              <w:t xml:space="preserve"> </w:t>
            </w:r>
          </w:p>
        </w:tc>
        <w:tc>
          <w:tcPr>
            <w:tcW w:w="1562" w:type="dxa"/>
          </w:tcPr>
          <w:p w14:paraId="5B8D8580">
            <w:pPr>
              <w:pStyle w:val="318"/>
              <w:spacing w:line="265" w:lineRule="exact"/>
              <w:ind w:left="457"/>
              <w:rPr>
                <w:sz w:val="21"/>
              </w:rPr>
            </w:pPr>
            <w:r>
              <w:rPr>
                <w:sz w:val="21"/>
              </w:rPr>
              <w:t xml:space="preserve"> </w:t>
            </w:r>
          </w:p>
        </w:tc>
      </w:tr>
      <w:tr w14:paraId="58ED6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14:paraId="6CB4F339">
            <w:pPr>
              <w:pStyle w:val="318"/>
              <w:ind w:left="150"/>
              <w:jc w:val="center"/>
              <w:rPr>
                <w:sz w:val="21"/>
              </w:rPr>
            </w:pPr>
            <w:r>
              <w:rPr>
                <w:sz w:val="21"/>
              </w:rPr>
              <w:t xml:space="preserve"> </w:t>
            </w:r>
          </w:p>
        </w:tc>
        <w:tc>
          <w:tcPr>
            <w:tcW w:w="1983" w:type="dxa"/>
          </w:tcPr>
          <w:p w14:paraId="68703E1E">
            <w:pPr>
              <w:pStyle w:val="318"/>
              <w:ind w:left="443"/>
              <w:rPr>
                <w:sz w:val="21"/>
              </w:rPr>
            </w:pPr>
            <w:r>
              <w:rPr>
                <w:sz w:val="21"/>
              </w:rPr>
              <w:t xml:space="preserve"> </w:t>
            </w:r>
          </w:p>
        </w:tc>
        <w:tc>
          <w:tcPr>
            <w:tcW w:w="5107" w:type="dxa"/>
          </w:tcPr>
          <w:p w14:paraId="382AD307">
            <w:pPr>
              <w:pStyle w:val="318"/>
              <w:rPr>
                <w:sz w:val="21"/>
              </w:rPr>
            </w:pPr>
            <w:r>
              <w:rPr>
                <w:sz w:val="21"/>
              </w:rPr>
              <w:t xml:space="preserve"> </w:t>
            </w:r>
          </w:p>
        </w:tc>
        <w:tc>
          <w:tcPr>
            <w:tcW w:w="1562" w:type="dxa"/>
          </w:tcPr>
          <w:p w14:paraId="797A8948">
            <w:pPr>
              <w:pStyle w:val="318"/>
              <w:ind w:left="457"/>
              <w:rPr>
                <w:sz w:val="21"/>
              </w:rPr>
            </w:pPr>
            <w:r>
              <w:rPr>
                <w:sz w:val="21"/>
              </w:rPr>
              <w:t xml:space="preserve"> </w:t>
            </w:r>
          </w:p>
        </w:tc>
      </w:tr>
      <w:tr w14:paraId="7A1D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5B61143F">
            <w:pPr>
              <w:pStyle w:val="318"/>
              <w:spacing w:before="90"/>
              <w:ind w:left="150"/>
              <w:jc w:val="center"/>
              <w:rPr>
                <w:sz w:val="21"/>
              </w:rPr>
            </w:pPr>
            <w:r>
              <w:rPr>
                <w:sz w:val="21"/>
              </w:rPr>
              <w:t xml:space="preserve"> </w:t>
            </w:r>
          </w:p>
        </w:tc>
        <w:tc>
          <w:tcPr>
            <w:tcW w:w="1983" w:type="dxa"/>
          </w:tcPr>
          <w:p w14:paraId="4A9AAF29">
            <w:pPr>
              <w:pStyle w:val="318"/>
              <w:spacing w:before="90"/>
              <w:ind w:left="443"/>
              <w:rPr>
                <w:sz w:val="21"/>
              </w:rPr>
            </w:pPr>
            <w:r>
              <w:rPr>
                <w:sz w:val="21"/>
              </w:rPr>
              <w:t xml:space="preserve"> </w:t>
            </w:r>
          </w:p>
        </w:tc>
        <w:tc>
          <w:tcPr>
            <w:tcW w:w="5107" w:type="dxa"/>
          </w:tcPr>
          <w:p w14:paraId="41496084">
            <w:pPr>
              <w:pStyle w:val="318"/>
              <w:spacing w:before="90"/>
              <w:rPr>
                <w:sz w:val="21"/>
              </w:rPr>
            </w:pPr>
            <w:r>
              <w:rPr>
                <w:sz w:val="21"/>
              </w:rPr>
              <w:t xml:space="preserve"> </w:t>
            </w:r>
          </w:p>
        </w:tc>
        <w:tc>
          <w:tcPr>
            <w:tcW w:w="1562" w:type="dxa"/>
          </w:tcPr>
          <w:p w14:paraId="63A630C9">
            <w:pPr>
              <w:pStyle w:val="318"/>
              <w:spacing w:before="90"/>
              <w:ind w:left="457"/>
              <w:rPr>
                <w:sz w:val="21"/>
              </w:rPr>
            </w:pPr>
            <w:r>
              <w:rPr>
                <w:sz w:val="21"/>
              </w:rPr>
              <w:t xml:space="preserve"> </w:t>
            </w:r>
          </w:p>
        </w:tc>
      </w:tr>
      <w:tr w14:paraId="276F2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68C7BAD7">
            <w:pPr>
              <w:pStyle w:val="318"/>
              <w:spacing w:line="265" w:lineRule="exact"/>
              <w:ind w:left="150"/>
              <w:jc w:val="center"/>
              <w:rPr>
                <w:sz w:val="21"/>
              </w:rPr>
            </w:pPr>
            <w:r>
              <w:rPr>
                <w:sz w:val="21"/>
              </w:rPr>
              <w:t xml:space="preserve"> </w:t>
            </w:r>
          </w:p>
        </w:tc>
        <w:tc>
          <w:tcPr>
            <w:tcW w:w="1983" w:type="dxa"/>
          </w:tcPr>
          <w:p w14:paraId="06421128">
            <w:pPr>
              <w:pStyle w:val="318"/>
              <w:spacing w:line="265" w:lineRule="exact"/>
              <w:ind w:left="443"/>
              <w:rPr>
                <w:sz w:val="21"/>
              </w:rPr>
            </w:pPr>
            <w:r>
              <w:rPr>
                <w:sz w:val="21"/>
              </w:rPr>
              <w:t xml:space="preserve"> </w:t>
            </w:r>
          </w:p>
        </w:tc>
        <w:tc>
          <w:tcPr>
            <w:tcW w:w="5107" w:type="dxa"/>
          </w:tcPr>
          <w:p w14:paraId="133CC9F1">
            <w:pPr>
              <w:pStyle w:val="318"/>
              <w:spacing w:line="265" w:lineRule="exact"/>
              <w:rPr>
                <w:sz w:val="21"/>
              </w:rPr>
            </w:pPr>
            <w:r>
              <w:rPr>
                <w:sz w:val="21"/>
              </w:rPr>
              <w:t xml:space="preserve"> </w:t>
            </w:r>
          </w:p>
        </w:tc>
        <w:tc>
          <w:tcPr>
            <w:tcW w:w="1562" w:type="dxa"/>
          </w:tcPr>
          <w:p w14:paraId="2B43AC63">
            <w:pPr>
              <w:pStyle w:val="318"/>
              <w:spacing w:line="265" w:lineRule="exact"/>
              <w:ind w:left="457"/>
              <w:rPr>
                <w:sz w:val="21"/>
              </w:rPr>
            </w:pPr>
            <w:r>
              <w:rPr>
                <w:sz w:val="21"/>
              </w:rPr>
              <w:t xml:space="preserve"> </w:t>
            </w:r>
          </w:p>
        </w:tc>
      </w:tr>
      <w:tr w14:paraId="5318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14:paraId="5EBBED89">
            <w:pPr>
              <w:pStyle w:val="318"/>
              <w:ind w:left="150"/>
              <w:jc w:val="center"/>
              <w:rPr>
                <w:sz w:val="21"/>
              </w:rPr>
            </w:pPr>
            <w:r>
              <w:rPr>
                <w:sz w:val="21"/>
              </w:rPr>
              <w:t xml:space="preserve"> </w:t>
            </w:r>
          </w:p>
        </w:tc>
        <w:tc>
          <w:tcPr>
            <w:tcW w:w="1983" w:type="dxa"/>
          </w:tcPr>
          <w:p w14:paraId="7C197D43">
            <w:pPr>
              <w:pStyle w:val="318"/>
              <w:ind w:left="443"/>
              <w:rPr>
                <w:sz w:val="21"/>
              </w:rPr>
            </w:pPr>
            <w:r>
              <w:rPr>
                <w:sz w:val="21"/>
              </w:rPr>
              <w:t xml:space="preserve"> </w:t>
            </w:r>
          </w:p>
        </w:tc>
        <w:tc>
          <w:tcPr>
            <w:tcW w:w="5107" w:type="dxa"/>
          </w:tcPr>
          <w:p w14:paraId="056D03A5">
            <w:pPr>
              <w:pStyle w:val="318"/>
              <w:rPr>
                <w:sz w:val="21"/>
              </w:rPr>
            </w:pPr>
            <w:r>
              <w:rPr>
                <w:sz w:val="21"/>
              </w:rPr>
              <w:t xml:space="preserve"> </w:t>
            </w:r>
          </w:p>
        </w:tc>
        <w:tc>
          <w:tcPr>
            <w:tcW w:w="1562" w:type="dxa"/>
          </w:tcPr>
          <w:p w14:paraId="353DBC39">
            <w:pPr>
              <w:pStyle w:val="318"/>
              <w:ind w:left="457"/>
              <w:rPr>
                <w:sz w:val="21"/>
              </w:rPr>
            </w:pPr>
            <w:r>
              <w:rPr>
                <w:sz w:val="21"/>
              </w:rPr>
              <w:t xml:space="preserve"> </w:t>
            </w:r>
          </w:p>
        </w:tc>
      </w:tr>
      <w:tr w14:paraId="758F1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542D71D0">
            <w:pPr>
              <w:pStyle w:val="318"/>
              <w:spacing w:before="90"/>
              <w:ind w:left="150"/>
              <w:jc w:val="center"/>
              <w:rPr>
                <w:sz w:val="21"/>
              </w:rPr>
            </w:pPr>
            <w:r>
              <w:rPr>
                <w:sz w:val="21"/>
              </w:rPr>
              <w:t xml:space="preserve"> </w:t>
            </w:r>
          </w:p>
        </w:tc>
        <w:tc>
          <w:tcPr>
            <w:tcW w:w="1983" w:type="dxa"/>
          </w:tcPr>
          <w:p w14:paraId="4140734C">
            <w:pPr>
              <w:pStyle w:val="318"/>
              <w:spacing w:before="90"/>
              <w:ind w:left="443"/>
              <w:rPr>
                <w:sz w:val="21"/>
              </w:rPr>
            </w:pPr>
            <w:r>
              <w:rPr>
                <w:sz w:val="21"/>
              </w:rPr>
              <w:t xml:space="preserve"> </w:t>
            </w:r>
          </w:p>
        </w:tc>
        <w:tc>
          <w:tcPr>
            <w:tcW w:w="5107" w:type="dxa"/>
          </w:tcPr>
          <w:p w14:paraId="275BFEEC">
            <w:pPr>
              <w:pStyle w:val="318"/>
              <w:spacing w:before="90"/>
              <w:rPr>
                <w:sz w:val="21"/>
              </w:rPr>
            </w:pPr>
            <w:r>
              <w:rPr>
                <w:sz w:val="21"/>
              </w:rPr>
              <w:t xml:space="preserve"> </w:t>
            </w:r>
          </w:p>
        </w:tc>
        <w:tc>
          <w:tcPr>
            <w:tcW w:w="1562" w:type="dxa"/>
          </w:tcPr>
          <w:p w14:paraId="17AF167B">
            <w:pPr>
              <w:pStyle w:val="318"/>
              <w:spacing w:before="90"/>
              <w:ind w:left="457"/>
              <w:rPr>
                <w:sz w:val="21"/>
              </w:rPr>
            </w:pPr>
            <w:r>
              <w:rPr>
                <w:sz w:val="21"/>
              </w:rPr>
              <w:t xml:space="preserve"> </w:t>
            </w:r>
          </w:p>
        </w:tc>
      </w:tr>
      <w:tr w14:paraId="58C9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886" w:type="dxa"/>
            <w:tcBorders>
              <w:bottom w:val="single" w:color="000000" w:sz="8" w:space="0"/>
            </w:tcBorders>
          </w:tcPr>
          <w:p w14:paraId="6BB99DA0">
            <w:pPr>
              <w:pStyle w:val="318"/>
              <w:spacing w:line="263" w:lineRule="exact"/>
              <w:ind w:left="150"/>
              <w:jc w:val="center"/>
              <w:rPr>
                <w:sz w:val="21"/>
              </w:rPr>
            </w:pPr>
            <w:r>
              <w:rPr>
                <w:sz w:val="21"/>
              </w:rPr>
              <w:t xml:space="preserve"> </w:t>
            </w:r>
          </w:p>
        </w:tc>
        <w:tc>
          <w:tcPr>
            <w:tcW w:w="1983" w:type="dxa"/>
            <w:tcBorders>
              <w:bottom w:val="single" w:color="000000" w:sz="8" w:space="0"/>
            </w:tcBorders>
          </w:tcPr>
          <w:p w14:paraId="7D5DA043">
            <w:pPr>
              <w:pStyle w:val="318"/>
              <w:spacing w:line="263" w:lineRule="exact"/>
              <w:ind w:left="443"/>
              <w:rPr>
                <w:sz w:val="21"/>
              </w:rPr>
            </w:pPr>
            <w:r>
              <w:rPr>
                <w:sz w:val="21"/>
              </w:rPr>
              <w:t xml:space="preserve"> </w:t>
            </w:r>
          </w:p>
        </w:tc>
        <w:tc>
          <w:tcPr>
            <w:tcW w:w="5107" w:type="dxa"/>
            <w:tcBorders>
              <w:bottom w:val="single" w:color="000000" w:sz="8" w:space="0"/>
            </w:tcBorders>
          </w:tcPr>
          <w:p w14:paraId="3963036F">
            <w:pPr>
              <w:pStyle w:val="318"/>
              <w:spacing w:line="263" w:lineRule="exact"/>
              <w:rPr>
                <w:sz w:val="21"/>
              </w:rPr>
            </w:pPr>
            <w:r>
              <w:rPr>
                <w:sz w:val="21"/>
              </w:rPr>
              <w:t xml:space="preserve"> </w:t>
            </w:r>
          </w:p>
        </w:tc>
        <w:tc>
          <w:tcPr>
            <w:tcW w:w="1562" w:type="dxa"/>
            <w:tcBorders>
              <w:bottom w:val="single" w:color="000000" w:sz="8" w:space="0"/>
            </w:tcBorders>
          </w:tcPr>
          <w:p w14:paraId="07AF3321">
            <w:pPr>
              <w:pStyle w:val="318"/>
              <w:spacing w:line="263" w:lineRule="exact"/>
              <w:ind w:left="457"/>
              <w:rPr>
                <w:sz w:val="21"/>
              </w:rPr>
            </w:pPr>
            <w:r>
              <w:rPr>
                <w:sz w:val="21"/>
              </w:rPr>
              <w:t xml:space="preserve"> </w:t>
            </w:r>
          </w:p>
        </w:tc>
      </w:tr>
      <w:tr w14:paraId="3A620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886" w:type="dxa"/>
            <w:tcBorders>
              <w:top w:val="single" w:color="000000" w:sz="8" w:space="0"/>
            </w:tcBorders>
          </w:tcPr>
          <w:p w14:paraId="7499BD6A">
            <w:pPr>
              <w:pStyle w:val="318"/>
              <w:spacing w:before="102"/>
              <w:ind w:left="150"/>
              <w:jc w:val="center"/>
              <w:rPr>
                <w:sz w:val="21"/>
              </w:rPr>
            </w:pPr>
            <w:r>
              <w:rPr>
                <w:sz w:val="21"/>
              </w:rPr>
              <w:t xml:space="preserve"> </w:t>
            </w:r>
          </w:p>
        </w:tc>
        <w:tc>
          <w:tcPr>
            <w:tcW w:w="1983" w:type="dxa"/>
            <w:tcBorders>
              <w:top w:val="single" w:color="000000" w:sz="8" w:space="0"/>
            </w:tcBorders>
          </w:tcPr>
          <w:p w14:paraId="003E7A5A">
            <w:pPr>
              <w:pStyle w:val="318"/>
              <w:spacing w:before="102"/>
              <w:ind w:left="443"/>
              <w:rPr>
                <w:sz w:val="21"/>
              </w:rPr>
            </w:pPr>
            <w:r>
              <w:rPr>
                <w:sz w:val="21"/>
              </w:rPr>
              <w:t xml:space="preserve"> </w:t>
            </w:r>
          </w:p>
        </w:tc>
        <w:tc>
          <w:tcPr>
            <w:tcW w:w="5107" w:type="dxa"/>
            <w:tcBorders>
              <w:top w:val="single" w:color="000000" w:sz="8" w:space="0"/>
            </w:tcBorders>
          </w:tcPr>
          <w:p w14:paraId="1D3E46CF">
            <w:pPr>
              <w:pStyle w:val="318"/>
              <w:spacing w:before="102"/>
              <w:rPr>
                <w:sz w:val="21"/>
              </w:rPr>
            </w:pPr>
            <w:r>
              <w:rPr>
                <w:sz w:val="21"/>
              </w:rPr>
              <w:t xml:space="preserve"> </w:t>
            </w:r>
          </w:p>
        </w:tc>
        <w:tc>
          <w:tcPr>
            <w:tcW w:w="1562" w:type="dxa"/>
            <w:tcBorders>
              <w:top w:val="single" w:color="000000" w:sz="8" w:space="0"/>
            </w:tcBorders>
          </w:tcPr>
          <w:p w14:paraId="2BA299D5">
            <w:pPr>
              <w:pStyle w:val="318"/>
              <w:spacing w:before="102"/>
              <w:ind w:left="457"/>
              <w:rPr>
                <w:sz w:val="21"/>
              </w:rPr>
            </w:pPr>
            <w:r>
              <w:rPr>
                <w:sz w:val="21"/>
              </w:rPr>
              <w:t xml:space="preserve"> </w:t>
            </w:r>
          </w:p>
        </w:tc>
      </w:tr>
      <w:tr w14:paraId="68513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4367C2D8">
            <w:pPr>
              <w:pStyle w:val="318"/>
              <w:spacing w:before="90"/>
              <w:ind w:left="150"/>
              <w:jc w:val="center"/>
              <w:rPr>
                <w:sz w:val="21"/>
              </w:rPr>
            </w:pPr>
            <w:r>
              <w:rPr>
                <w:sz w:val="21"/>
              </w:rPr>
              <w:t xml:space="preserve"> </w:t>
            </w:r>
          </w:p>
        </w:tc>
        <w:tc>
          <w:tcPr>
            <w:tcW w:w="1983" w:type="dxa"/>
          </w:tcPr>
          <w:p w14:paraId="4C59C11C">
            <w:pPr>
              <w:pStyle w:val="318"/>
              <w:spacing w:before="90"/>
              <w:ind w:left="443"/>
              <w:rPr>
                <w:sz w:val="21"/>
              </w:rPr>
            </w:pPr>
            <w:r>
              <w:rPr>
                <w:sz w:val="21"/>
              </w:rPr>
              <w:t xml:space="preserve"> </w:t>
            </w:r>
          </w:p>
        </w:tc>
        <w:tc>
          <w:tcPr>
            <w:tcW w:w="5107" w:type="dxa"/>
          </w:tcPr>
          <w:p w14:paraId="16C6B6F9">
            <w:pPr>
              <w:pStyle w:val="318"/>
              <w:spacing w:before="90"/>
              <w:rPr>
                <w:sz w:val="21"/>
              </w:rPr>
            </w:pPr>
            <w:r>
              <w:rPr>
                <w:sz w:val="21"/>
              </w:rPr>
              <w:t xml:space="preserve"> </w:t>
            </w:r>
          </w:p>
        </w:tc>
        <w:tc>
          <w:tcPr>
            <w:tcW w:w="1562" w:type="dxa"/>
          </w:tcPr>
          <w:p w14:paraId="1A257C21">
            <w:pPr>
              <w:pStyle w:val="318"/>
              <w:spacing w:before="90"/>
              <w:ind w:left="457"/>
              <w:rPr>
                <w:sz w:val="21"/>
              </w:rPr>
            </w:pPr>
            <w:r>
              <w:rPr>
                <w:sz w:val="21"/>
              </w:rPr>
              <w:t xml:space="preserve"> </w:t>
            </w:r>
          </w:p>
        </w:tc>
      </w:tr>
      <w:tr w14:paraId="54345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14:paraId="1EAB67A4">
            <w:pPr>
              <w:pStyle w:val="318"/>
              <w:spacing w:line="265" w:lineRule="exact"/>
              <w:ind w:left="150"/>
              <w:jc w:val="center"/>
              <w:rPr>
                <w:sz w:val="21"/>
              </w:rPr>
            </w:pPr>
            <w:r>
              <w:rPr>
                <w:sz w:val="21"/>
              </w:rPr>
              <w:t xml:space="preserve"> </w:t>
            </w:r>
          </w:p>
        </w:tc>
        <w:tc>
          <w:tcPr>
            <w:tcW w:w="1983" w:type="dxa"/>
          </w:tcPr>
          <w:p w14:paraId="0B27414A">
            <w:pPr>
              <w:pStyle w:val="318"/>
              <w:spacing w:line="265" w:lineRule="exact"/>
              <w:ind w:left="443"/>
              <w:rPr>
                <w:sz w:val="21"/>
              </w:rPr>
            </w:pPr>
            <w:r>
              <w:rPr>
                <w:sz w:val="21"/>
              </w:rPr>
              <w:t xml:space="preserve"> </w:t>
            </w:r>
          </w:p>
        </w:tc>
        <w:tc>
          <w:tcPr>
            <w:tcW w:w="5107" w:type="dxa"/>
          </w:tcPr>
          <w:p w14:paraId="52E4C0B5">
            <w:pPr>
              <w:pStyle w:val="318"/>
              <w:spacing w:line="265" w:lineRule="exact"/>
              <w:rPr>
                <w:sz w:val="21"/>
              </w:rPr>
            </w:pPr>
            <w:r>
              <w:rPr>
                <w:sz w:val="21"/>
              </w:rPr>
              <w:t xml:space="preserve"> </w:t>
            </w:r>
          </w:p>
        </w:tc>
        <w:tc>
          <w:tcPr>
            <w:tcW w:w="1562" w:type="dxa"/>
          </w:tcPr>
          <w:p w14:paraId="5F28D008">
            <w:pPr>
              <w:pStyle w:val="318"/>
              <w:spacing w:line="265" w:lineRule="exact"/>
              <w:ind w:left="457"/>
              <w:rPr>
                <w:sz w:val="21"/>
              </w:rPr>
            </w:pPr>
            <w:r>
              <w:rPr>
                <w:sz w:val="21"/>
              </w:rPr>
              <w:t xml:space="preserve"> </w:t>
            </w:r>
          </w:p>
        </w:tc>
      </w:tr>
      <w:tr w14:paraId="4DE74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14:paraId="01F2BDBA">
            <w:pPr>
              <w:pStyle w:val="318"/>
              <w:ind w:left="150"/>
              <w:jc w:val="center"/>
              <w:rPr>
                <w:sz w:val="21"/>
              </w:rPr>
            </w:pPr>
            <w:r>
              <w:rPr>
                <w:sz w:val="21"/>
              </w:rPr>
              <w:t xml:space="preserve"> </w:t>
            </w:r>
          </w:p>
        </w:tc>
        <w:tc>
          <w:tcPr>
            <w:tcW w:w="1983" w:type="dxa"/>
          </w:tcPr>
          <w:p w14:paraId="3022D679">
            <w:pPr>
              <w:pStyle w:val="318"/>
              <w:ind w:left="443"/>
              <w:rPr>
                <w:sz w:val="21"/>
              </w:rPr>
            </w:pPr>
            <w:r>
              <w:rPr>
                <w:sz w:val="21"/>
              </w:rPr>
              <w:t xml:space="preserve"> </w:t>
            </w:r>
          </w:p>
        </w:tc>
        <w:tc>
          <w:tcPr>
            <w:tcW w:w="5107" w:type="dxa"/>
          </w:tcPr>
          <w:p w14:paraId="40084476">
            <w:pPr>
              <w:pStyle w:val="318"/>
              <w:rPr>
                <w:sz w:val="21"/>
              </w:rPr>
            </w:pPr>
            <w:r>
              <w:rPr>
                <w:sz w:val="21"/>
              </w:rPr>
              <w:t xml:space="preserve"> </w:t>
            </w:r>
          </w:p>
        </w:tc>
        <w:tc>
          <w:tcPr>
            <w:tcW w:w="1562" w:type="dxa"/>
          </w:tcPr>
          <w:p w14:paraId="0E3BA743">
            <w:pPr>
              <w:pStyle w:val="318"/>
              <w:ind w:left="457"/>
              <w:rPr>
                <w:sz w:val="21"/>
              </w:rPr>
            </w:pPr>
            <w:r>
              <w:rPr>
                <w:sz w:val="21"/>
              </w:rPr>
              <w:t xml:space="preserve"> </w:t>
            </w:r>
          </w:p>
        </w:tc>
      </w:tr>
      <w:tr w14:paraId="3DF2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9538" w:type="dxa"/>
            <w:gridSpan w:val="4"/>
          </w:tcPr>
          <w:p w14:paraId="66CBA46E">
            <w:pPr>
              <w:pStyle w:val="318"/>
              <w:spacing w:before="90"/>
              <w:ind w:left="457"/>
              <w:rPr>
                <w:sz w:val="21"/>
              </w:rPr>
            </w:pPr>
            <w:r>
              <w:rPr>
                <w:sz w:val="21"/>
              </w:rPr>
              <w:t xml:space="preserve">小计： </w:t>
            </w:r>
          </w:p>
        </w:tc>
      </w:tr>
    </w:tbl>
    <w:p w14:paraId="706854BA">
      <w:pPr>
        <w:pStyle w:val="17"/>
        <w:rPr>
          <w:sz w:val="20"/>
        </w:rPr>
      </w:pPr>
    </w:p>
    <w:p w14:paraId="2198F8C1">
      <w:pPr>
        <w:pStyle w:val="17"/>
        <w:spacing w:before="6"/>
        <w:rPr>
          <w:sz w:val="24"/>
        </w:rPr>
      </w:pPr>
    </w:p>
    <w:p w14:paraId="364188CD">
      <w:pPr>
        <w:pStyle w:val="17"/>
        <w:ind w:left="161"/>
      </w:pPr>
      <w:r>
        <w:t xml:space="preserve"> </w:t>
      </w:r>
    </w:p>
    <w:p w14:paraId="312A1F31">
      <w:pPr>
        <w:sectPr>
          <w:pgSz w:w="11910" w:h="16850"/>
          <w:pgMar w:top="1600" w:right="0" w:bottom="1180" w:left="980" w:header="0" w:footer="996" w:gutter="0"/>
          <w:cols w:space="720" w:num="1"/>
        </w:sectPr>
      </w:pPr>
    </w:p>
    <w:p w14:paraId="2A3E90DE">
      <w:pPr>
        <w:pStyle w:val="17"/>
        <w:rPr>
          <w:sz w:val="20"/>
        </w:rPr>
      </w:pPr>
    </w:p>
    <w:p w14:paraId="17AD0C77">
      <w:pPr>
        <w:pStyle w:val="17"/>
        <w:spacing w:before="5"/>
        <w:rPr>
          <w:sz w:val="14"/>
        </w:rPr>
      </w:pPr>
    </w:p>
    <w:p w14:paraId="5F1C7D29">
      <w:pPr>
        <w:pStyle w:val="17"/>
        <w:spacing w:before="71"/>
        <w:ind w:left="326"/>
      </w:pPr>
      <w:r>
        <w:t xml:space="preserve">附件 8：廉洁从业协议 </w:t>
      </w:r>
    </w:p>
    <w:p w14:paraId="773F0CAE">
      <w:pPr>
        <w:pStyle w:val="17"/>
        <w:rPr>
          <w:sz w:val="20"/>
        </w:rPr>
      </w:pPr>
    </w:p>
    <w:p w14:paraId="7DC3583D">
      <w:pPr>
        <w:pStyle w:val="17"/>
        <w:spacing w:before="5"/>
        <w:rPr>
          <w:sz w:val="14"/>
        </w:rPr>
      </w:pPr>
    </w:p>
    <w:p w14:paraId="05C3CFC9">
      <w:pPr>
        <w:pStyle w:val="17"/>
        <w:spacing w:before="71"/>
        <w:ind w:right="707"/>
        <w:jc w:val="center"/>
      </w:pPr>
      <w:r>
        <w:t xml:space="preserve">廉洁从业协议 </w:t>
      </w:r>
    </w:p>
    <w:p w14:paraId="519ECA7A">
      <w:pPr>
        <w:pStyle w:val="17"/>
        <w:spacing w:before="8"/>
        <w:rPr>
          <w:sz w:val="20"/>
        </w:rPr>
      </w:pPr>
    </w:p>
    <w:p w14:paraId="7B89CC58">
      <w:pPr>
        <w:tabs>
          <w:tab w:val="left" w:pos="3315"/>
          <w:tab w:val="left" w:pos="5598"/>
        </w:tabs>
        <w:spacing w:line="252" w:lineRule="auto"/>
        <w:ind w:left="746" w:right="4069"/>
        <w:rPr>
          <w:rFonts w:ascii="微软雅黑" w:eastAsia="微软雅黑"/>
          <w:b/>
          <w:sz w:val="21"/>
        </w:rPr>
      </w:pPr>
      <w:r>
        <w:rPr>
          <w:lang w:val="en-US" w:bidi="ar-SA"/>
        </w:rPr>
        <w:drawing>
          <wp:anchor distT="0" distB="0" distL="0" distR="0" simplePos="0" relativeHeight="251714560" behindDoc="1" locked="0" layoutInCell="1" allowOverlap="1">
            <wp:simplePos x="0" y="0"/>
            <wp:positionH relativeFrom="page">
              <wp:posOffset>2193290</wp:posOffset>
            </wp:positionH>
            <wp:positionV relativeFrom="paragraph">
              <wp:posOffset>61595</wp:posOffset>
            </wp:positionV>
            <wp:extent cx="667385" cy="133350"/>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15584" behindDoc="1" locked="0" layoutInCell="1" allowOverlap="1">
            <wp:simplePos x="0" y="0"/>
            <wp:positionH relativeFrom="page">
              <wp:posOffset>3909695</wp:posOffset>
            </wp:positionH>
            <wp:positionV relativeFrom="paragraph">
              <wp:posOffset>61595</wp:posOffset>
            </wp:positionV>
            <wp:extent cx="400685" cy="133350"/>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lang w:val="en-US" w:bidi="ar-SA"/>
        </w:rPr>
        <w:drawing>
          <wp:anchor distT="0" distB="0" distL="0" distR="0" simplePos="0" relativeHeight="251716608" behindDoc="1" locked="0" layoutInCell="1" allowOverlap="1">
            <wp:simplePos x="0" y="0"/>
            <wp:positionH relativeFrom="page">
              <wp:posOffset>2193290</wp:posOffset>
            </wp:positionH>
            <wp:positionV relativeFrom="paragraph">
              <wp:posOffset>318770</wp:posOffset>
            </wp:positionV>
            <wp:extent cx="667385" cy="133350"/>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17632" behindDoc="1" locked="0" layoutInCell="1" allowOverlap="1">
            <wp:simplePos x="0" y="0"/>
            <wp:positionH relativeFrom="page">
              <wp:posOffset>3909695</wp:posOffset>
            </wp:positionH>
            <wp:positionV relativeFrom="paragraph">
              <wp:posOffset>318770</wp:posOffset>
            </wp:positionV>
            <wp:extent cx="400685" cy="133350"/>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sz w:val="21"/>
        </w:rPr>
        <w:t>发</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rFonts w:hint="eastAsia"/>
          <w:color w:val="000000"/>
          <w:sz w:val="21"/>
          <w:u w:val="single"/>
        </w:rPr>
        <w:t xml:space="preserve">重庆经开区开发建设有限公司 </w:t>
      </w:r>
      <w:r>
        <w:rPr>
          <w:rFonts w:hint="eastAsia" w:ascii="微软雅黑" w:eastAsia="微软雅黑"/>
          <w:b/>
          <w:w w:val="167"/>
          <w:sz w:val="21"/>
        </w:rPr>
        <w:t xml:space="preserve"> </w:t>
      </w:r>
      <w:r>
        <w:rPr>
          <w:rFonts w:hint="eastAsia" w:ascii="微软雅黑" w:eastAsia="微软雅黑"/>
          <w:b/>
          <w:spacing w:val="14"/>
          <w:w w:val="167"/>
          <w:sz w:val="21"/>
        </w:rPr>
        <w:t xml:space="preserve">                                           </w:t>
      </w:r>
      <w:r>
        <w:rPr>
          <w:rFonts w:hint="eastAsia" w:ascii="微软雅黑" w:eastAsia="微软雅黑"/>
          <w:b/>
          <w:spacing w:val="86"/>
          <w:w w:val="167"/>
          <w:sz w:val="21"/>
        </w:rPr>
        <w:t xml:space="preserve"> </w:t>
      </w:r>
      <w:r>
        <w:rPr>
          <w:rFonts w:hint="eastAsia" w:ascii="微软雅黑" w:eastAsia="微软雅黑"/>
          <w:b/>
          <w:spacing w:val="14"/>
          <w:sz w:val="21"/>
        </w:rPr>
        <w:t>承</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u w:val="single"/>
        </w:rPr>
        <w:t xml:space="preserve">                             </w:t>
      </w:r>
      <w:r>
        <w:rPr>
          <w:sz w:val="21"/>
          <w:u w:val="single"/>
        </w:rPr>
        <w:t xml:space="preserve"> </w:t>
      </w:r>
      <w:r>
        <w:rPr>
          <w:spacing w:val="1"/>
          <w:sz w:val="21"/>
          <w:u w:val="single"/>
        </w:rPr>
        <w:t xml:space="preserve"> </w:t>
      </w:r>
      <w:r>
        <w:rPr>
          <w:rFonts w:hint="eastAsia" w:ascii="微软雅黑" w:eastAsia="微软雅黑"/>
          <w:b/>
          <w:w w:val="167"/>
          <w:sz w:val="21"/>
        </w:rPr>
        <w:t xml:space="preserve"> </w:t>
      </w:r>
    </w:p>
    <w:p w14:paraId="0236A7EE">
      <w:pPr>
        <w:pStyle w:val="17"/>
        <w:spacing w:before="7"/>
        <w:rPr>
          <w:rFonts w:ascii="微软雅黑"/>
          <w:b/>
          <w:sz w:val="5"/>
        </w:rPr>
      </w:pPr>
    </w:p>
    <w:p w14:paraId="2913ABBB">
      <w:pPr>
        <w:pStyle w:val="17"/>
        <w:spacing w:before="71" w:line="415" w:lineRule="auto"/>
        <w:ind w:left="326" w:right="1103" w:firstLine="420"/>
        <w:jc w:val="both"/>
      </w:pPr>
      <w:r>
        <w:t>根据国家有关部门以及有关工程建设、廉政建设的规定，为做好工程建设中的党风廉政建设，保证</w:t>
      </w:r>
      <w:r>
        <w:rPr>
          <w:spacing w:val="-9"/>
        </w:rPr>
        <w:t>工程建设高效优质，保证建设资金的安全和有效使用以及投资效益，建设工程的项目法人</w:t>
      </w:r>
      <w:r>
        <w:t>（</w:t>
      </w:r>
      <w:r>
        <w:rPr>
          <w:spacing w:val="-9"/>
        </w:rPr>
        <w:t>以下简称“发包人”）与承包人（以下简称“承包人”），特订立如下协议。</w:t>
      </w:r>
      <w:r>
        <w:t xml:space="preserve"> </w:t>
      </w:r>
    </w:p>
    <w:p w14:paraId="02A5BD84">
      <w:pPr>
        <w:pStyle w:val="17"/>
        <w:spacing w:before="15"/>
        <w:ind w:left="746"/>
      </w:pPr>
      <w:r>
        <w:t xml:space="preserve"> 1. 发包人承包人的权利和义务 </w:t>
      </w:r>
    </w:p>
    <w:p w14:paraId="475D561B">
      <w:pPr>
        <w:pStyle w:val="17"/>
        <w:spacing w:before="4"/>
        <w:rPr>
          <w:sz w:val="15"/>
        </w:rPr>
      </w:pPr>
    </w:p>
    <w:p w14:paraId="704B3643">
      <w:pPr>
        <w:pStyle w:val="317"/>
        <w:numPr>
          <w:ilvl w:val="0"/>
          <w:numId w:val="86"/>
        </w:numPr>
        <w:tabs>
          <w:tab w:val="left" w:pos="1274"/>
        </w:tabs>
        <w:ind w:hanging="528"/>
        <w:rPr>
          <w:sz w:val="21"/>
        </w:rPr>
      </w:pPr>
      <w:r>
        <w:rPr>
          <w:spacing w:val="-1"/>
          <w:sz w:val="21"/>
        </w:rPr>
        <w:t>严格遵守党的政策规定和国家有关法律法规及相关部门的有关规定。</w:t>
      </w:r>
      <w:r>
        <w:rPr>
          <w:sz w:val="21"/>
        </w:rPr>
        <w:t xml:space="preserve"> </w:t>
      </w:r>
    </w:p>
    <w:p w14:paraId="13A759C9">
      <w:pPr>
        <w:pStyle w:val="17"/>
        <w:spacing w:before="4"/>
        <w:rPr>
          <w:sz w:val="15"/>
        </w:rPr>
      </w:pPr>
    </w:p>
    <w:p w14:paraId="49662BF3">
      <w:pPr>
        <w:pStyle w:val="317"/>
        <w:numPr>
          <w:ilvl w:val="0"/>
          <w:numId w:val="86"/>
        </w:numPr>
        <w:tabs>
          <w:tab w:val="left" w:pos="1274"/>
        </w:tabs>
        <w:ind w:hanging="528"/>
        <w:rPr>
          <w:sz w:val="21"/>
        </w:rPr>
      </w:pPr>
      <w:r>
        <w:rPr>
          <w:spacing w:val="-2"/>
          <w:sz w:val="21"/>
        </w:rPr>
        <w:t>严格执行 工程的合同文件，自觉按合同办事。</w:t>
      </w:r>
      <w:r>
        <w:rPr>
          <w:sz w:val="21"/>
        </w:rPr>
        <w:t xml:space="preserve"> </w:t>
      </w:r>
    </w:p>
    <w:p w14:paraId="7447D451">
      <w:pPr>
        <w:pStyle w:val="17"/>
        <w:spacing w:before="4"/>
        <w:rPr>
          <w:sz w:val="15"/>
        </w:rPr>
      </w:pPr>
    </w:p>
    <w:p w14:paraId="1664D2AA">
      <w:pPr>
        <w:pStyle w:val="317"/>
        <w:numPr>
          <w:ilvl w:val="0"/>
          <w:numId w:val="86"/>
        </w:numPr>
        <w:tabs>
          <w:tab w:val="left" w:pos="1274"/>
        </w:tabs>
        <w:spacing w:line="415" w:lineRule="auto"/>
        <w:ind w:left="326" w:right="1105" w:firstLine="420"/>
        <w:rPr>
          <w:sz w:val="21"/>
        </w:rPr>
      </w:pPr>
      <w:r>
        <w:rPr>
          <w:spacing w:val="-5"/>
          <w:sz w:val="21"/>
        </w:rPr>
        <w:t>双方的业务活动坚持公开、公正、诚信、透明的原则</w:t>
      </w:r>
      <w:r>
        <w:rPr>
          <w:sz w:val="21"/>
        </w:rPr>
        <w:t>（法律认定的商业秘密和合同文件另有规定除外），</w:t>
      </w:r>
      <w:r>
        <w:rPr>
          <w:spacing w:val="-1"/>
          <w:sz w:val="21"/>
        </w:rPr>
        <w:t>不得损害国家和集体利益，违反工程建设管理规章制度。</w:t>
      </w:r>
      <w:r>
        <w:rPr>
          <w:sz w:val="21"/>
        </w:rPr>
        <w:t xml:space="preserve"> </w:t>
      </w:r>
    </w:p>
    <w:p w14:paraId="6A8E62EC">
      <w:pPr>
        <w:pStyle w:val="317"/>
        <w:numPr>
          <w:ilvl w:val="0"/>
          <w:numId w:val="86"/>
        </w:numPr>
        <w:tabs>
          <w:tab w:val="left" w:pos="1274"/>
        </w:tabs>
        <w:spacing w:before="15" w:line="415" w:lineRule="auto"/>
        <w:ind w:left="326" w:right="1109" w:firstLine="420"/>
        <w:rPr>
          <w:sz w:val="21"/>
        </w:rPr>
      </w:pPr>
      <w:r>
        <w:rPr>
          <w:spacing w:val="-5"/>
          <w:sz w:val="21"/>
        </w:rPr>
        <w:t xml:space="preserve">建立健全廉政制度，开展廉政教育，设立廉政告示牌，公布举报电话，监督并认真查处违法违纪行为。 </w:t>
      </w:r>
    </w:p>
    <w:p w14:paraId="10536D51">
      <w:pPr>
        <w:pStyle w:val="317"/>
        <w:numPr>
          <w:ilvl w:val="0"/>
          <w:numId w:val="86"/>
        </w:numPr>
        <w:tabs>
          <w:tab w:val="left" w:pos="1274"/>
        </w:tabs>
        <w:spacing w:line="269" w:lineRule="exact"/>
        <w:ind w:hanging="528"/>
        <w:rPr>
          <w:sz w:val="21"/>
        </w:rPr>
      </w:pPr>
      <w:r>
        <w:rPr>
          <w:spacing w:val="-1"/>
          <w:sz w:val="21"/>
        </w:rPr>
        <w:t>发现对方在业务活动中有违反廉政规定的行为，有及时提醒对方纠正的权利和义务。</w:t>
      </w:r>
      <w:r>
        <w:rPr>
          <w:sz w:val="21"/>
        </w:rPr>
        <w:t xml:space="preserve"> </w:t>
      </w:r>
    </w:p>
    <w:p w14:paraId="7D39CF6D">
      <w:pPr>
        <w:pStyle w:val="17"/>
        <w:spacing w:before="4"/>
        <w:rPr>
          <w:sz w:val="15"/>
        </w:rPr>
      </w:pPr>
    </w:p>
    <w:p w14:paraId="638A9BBB">
      <w:pPr>
        <w:pStyle w:val="317"/>
        <w:numPr>
          <w:ilvl w:val="0"/>
          <w:numId w:val="86"/>
        </w:numPr>
        <w:tabs>
          <w:tab w:val="left" w:pos="1274"/>
        </w:tabs>
        <w:spacing w:line="415" w:lineRule="auto"/>
        <w:ind w:left="326" w:right="1119" w:firstLine="420"/>
        <w:rPr>
          <w:sz w:val="21"/>
        </w:rPr>
      </w:pPr>
      <w:r>
        <w:rPr>
          <w:spacing w:val="-3"/>
          <w:sz w:val="21"/>
        </w:rPr>
        <w:t xml:space="preserve">发现对方严重违反协议义务条款的行为，有向其上级有关部门举报、建议给予处理并要求告知处理结果的权利。 </w:t>
      </w:r>
    </w:p>
    <w:p w14:paraId="0607CFCB">
      <w:pPr>
        <w:pStyle w:val="317"/>
        <w:numPr>
          <w:ilvl w:val="0"/>
          <w:numId w:val="87"/>
        </w:numPr>
        <w:tabs>
          <w:tab w:val="left" w:pos="958"/>
        </w:tabs>
        <w:spacing w:before="15"/>
        <w:ind w:hanging="212"/>
        <w:jc w:val="left"/>
        <w:rPr>
          <w:sz w:val="21"/>
        </w:rPr>
      </w:pPr>
      <w:r>
        <w:rPr>
          <w:sz w:val="21"/>
        </w:rPr>
        <w:t xml:space="preserve">发包人的义务 </w:t>
      </w:r>
    </w:p>
    <w:p w14:paraId="320700C7">
      <w:pPr>
        <w:pStyle w:val="17"/>
        <w:spacing w:before="5"/>
        <w:rPr>
          <w:sz w:val="15"/>
        </w:rPr>
      </w:pPr>
    </w:p>
    <w:p w14:paraId="47941114">
      <w:pPr>
        <w:pStyle w:val="317"/>
        <w:numPr>
          <w:ilvl w:val="0"/>
          <w:numId w:val="88"/>
        </w:numPr>
        <w:tabs>
          <w:tab w:val="left" w:pos="1274"/>
        </w:tabs>
        <w:spacing w:line="415" w:lineRule="auto"/>
        <w:ind w:right="1119" w:firstLine="420"/>
        <w:jc w:val="left"/>
        <w:rPr>
          <w:sz w:val="21"/>
        </w:rPr>
      </w:pPr>
      <w:r>
        <w:rPr>
          <w:spacing w:val="-3"/>
          <w:sz w:val="21"/>
        </w:rPr>
        <w:t>发包人及其工作人员不得索要或接受承包人的礼金、有价证券和贵重物品，不得在承包人报</w:t>
      </w:r>
      <w:r>
        <w:rPr>
          <w:spacing w:val="-4"/>
          <w:sz w:val="21"/>
        </w:rPr>
        <w:t>销任何应由发包人或发包人工作人员个人支付的费用等。</w:t>
      </w:r>
      <w:r>
        <w:rPr>
          <w:sz w:val="21"/>
        </w:rPr>
        <w:t xml:space="preserve"> </w:t>
      </w:r>
    </w:p>
    <w:p w14:paraId="3E62E949">
      <w:pPr>
        <w:pStyle w:val="317"/>
        <w:numPr>
          <w:ilvl w:val="0"/>
          <w:numId w:val="88"/>
        </w:numPr>
        <w:tabs>
          <w:tab w:val="left" w:pos="1274"/>
        </w:tabs>
        <w:spacing w:line="415" w:lineRule="auto"/>
        <w:ind w:right="1119" w:firstLine="420"/>
        <w:jc w:val="left"/>
        <w:rPr>
          <w:sz w:val="21"/>
        </w:rPr>
      </w:pPr>
      <w:r>
        <w:rPr>
          <w:spacing w:val="-2"/>
          <w:sz w:val="21"/>
        </w:rPr>
        <w:t>发包人工作人员不得参加承包人安排的超标准宴请和娱乐活动；不得接受承包人提供的通讯</w:t>
      </w:r>
      <w:r>
        <w:rPr>
          <w:spacing w:val="-3"/>
          <w:sz w:val="21"/>
        </w:rPr>
        <w:t>工具、交通工具和高档办公用品等。</w:t>
      </w:r>
      <w:r>
        <w:rPr>
          <w:sz w:val="21"/>
        </w:rPr>
        <w:t xml:space="preserve"> </w:t>
      </w:r>
    </w:p>
    <w:p w14:paraId="707A72B9">
      <w:pPr>
        <w:pStyle w:val="317"/>
        <w:numPr>
          <w:ilvl w:val="0"/>
          <w:numId w:val="88"/>
        </w:numPr>
        <w:tabs>
          <w:tab w:val="left" w:pos="1274"/>
        </w:tabs>
        <w:spacing w:before="15" w:line="415" w:lineRule="auto"/>
        <w:ind w:right="1118" w:firstLine="420"/>
        <w:jc w:val="left"/>
        <w:rPr>
          <w:sz w:val="21"/>
        </w:rPr>
      </w:pPr>
      <w:r>
        <w:rPr>
          <w:spacing w:val="-3"/>
          <w:sz w:val="21"/>
        </w:rPr>
        <w:t>发包人及其工作人员不得要求或者接受承包人为其住房装修、婚丧嫁娶活动、配偶子女的工</w:t>
      </w:r>
      <w:r>
        <w:rPr>
          <w:spacing w:val="-4"/>
          <w:sz w:val="21"/>
        </w:rPr>
        <w:t>作安排以及出国出境、旅游等提供方便等。</w:t>
      </w:r>
      <w:r>
        <w:rPr>
          <w:sz w:val="21"/>
        </w:rPr>
        <w:t xml:space="preserve"> </w:t>
      </w:r>
    </w:p>
    <w:p w14:paraId="0D4AEAB1">
      <w:pPr>
        <w:pStyle w:val="317"/>
        <w:numPr>
          <w:ilvl w:val="0"/>
          <w:numId w:val="88"/>
        </w:numPr>
        <w:tabs>
          <w:tab w:val="left" w:pos="1274"/>
        </w:tabs>
        <w:spacing w:line="415" w:lineRule="auto"/>
        <w:ind w:right="1105" w:firstLine="420"/>
        <w:jc w:val="left"/>
        <w:rPr>
          <w:sz w:val="21"/>
        </w:rPr>
      </w:pPr>
      <w:r>
        <w:rPr>
          <w:spacing w:val="-5"/>
          <w:sz w:val="21"/>
        </w:rPr>
        <w:t xml:space="preserve">发包人工作人员及其配偶、子女不得从事与发包人工程有关的材料设备供应、工程分包、劳务等经济活动等。 </w:t>
      </w:r>
    </w:p>
    <w:p w14:paraId="75934824">
      <w:pPr>
        <w:pStyle w:val="317"/>
        <w:numPr>
          <w:ilvl w:val="0"/>
          <w:numId w:val="88"/>
        </w:numPr>
        <w:tabs>
          <w:tab w:val="left" w:pos="1274"/>
        </w:tabs>
        <w:spacing w:line="429" w:lineRule="auto"/>
        <w:ind w:right="1119" w:firstLine="420"/>
        <w:jc w:val="left"/>
        <w:rPr>
          <w:sz w:val="21"/>
        </w:rPr>
      </w:pPr>
      <w:r>
        <w:rPr>
          <w:spacing w:val="-2"/>
          <w:sz w:val="21"/>
        </w:rPr>
        <w:t xml:space="preserve">发包人及其工作人员不得以任何理由向承包人推荐分包单位或推销材料，不得要求承包人购买合同规定外的材料和设备。 </w:t>
      </w:r>
    </w:p>
    <w:p w14:paraId="353CE83F">
      <w:pPr>
        <w:spacing w:line="429" w:lineRule="auto"/>
        <w:rPr>
          <w:sz w:val="21"/>
        </w:rPr>
        <w:sectPr>
          <w:pgSz w:w="11910" w:h="16850"/>
          <w:pgMar w:top="1600" w:right="0" w:bottom="1180" w:left="980" w:header="0" w:footer="996" w:gutter="0"/>
          <w:cols w:space="720" w:num="1"/>
        </w:sectPr>
      </w:pPr>
    </w:p>
    <w:p w14:paraId="056FC623">
      <w:pPr>
        <w:pStyle w:val="317"/>
        <w:numPr>
          <w:ilvl w:val="0"/>
          <w:numId w:val="88"/>
        </w:numPr>
        <w:tabs>
          <w:tab w:val="left" w:pos="1109"/>
        </w:tabs>
        <w:spacing w:before="46" w:line="415" w:lineRule="auto"/>
        <w:ind w:left="161" w:right="1284" w:firstLine="420"/>
        <w:jc w:val="left"/>
        <w:rPr>
          <w:sz w:val="21"/>
        </w:rPr>
      </w:pPr>
      <w:r>
        <w:rPr>
          <w:spacing w:val="-5"/>
          <w:sz w:val="21"/>
        </w:rPr>
        <w:t xml:space="preserve">发包人工作人员要秉公办事，不准营私舞弊，不准利用职权从事各种个人有偿中介活动和安排个人施工队伍。 </w:t>
      </w:r>
    </w:p>
    <w:p w14:paraId="6E331FA0">
      <w:pPr>
        <w:pStyle w:val="317"/>
        <w:numPr>
          <w:ilvl w:val="0"/>
          <w:numId w:val="87"/>
        </w:numPr>
        <w:tabs>
          <w:tab w:val="left" w:pos="793"/>
        </w:tabs>
        <w:spacing w:line="269" w:lineRule="exact"/>
        <w:ind w:left="793" w:hanging="212"/>
        <w:jc w:val="left"/>
        <w:rPr>
          <w:sz w:val="21"/>
        </w:rPr>
      </w:pPr>
      <w:r>
        <w:rPr>
          <w:sz w:val="21"/>
        </w:rPr>
        <w:t xml:space="preserve">承包人义务 </w:t>
      </w:r>
    </w:p>
    <w:p w14:paraId="11D89A95">
      <w:pPr>
        <w:pStyle w:val="17"/>
        <w:spacing w:before="6"/>
        <w:rPr>
          <w:sz w:val="16"/>
        </w:rPr>
      </w:pPr>
    </w:p>
    <w:p w14:paraId="16531A19">
      <w:pPr>
        <w:pStyle w:val="317"/>
        <w:numPr>
          <w:ilvl w:val="0"/>
          <w:numId w:val="89"/>
        </w:numPr>
        <w:tabs>
          <w:tab w:val="left" w:pos="1109"/>
        </w:tabs>
        <w:spacing w:before="1"/>
        <w:ind w:hanging="528"/>
        <w:rPr>
          <w:sz w:val="21"/>
        </w:rPr>
      </w:pPr>
      <w:r>
        <w:rPr>
          <w:spacing w:val="-1"/>
          <w:sz w:val="21"/>
        </w:rPr>
        <w:t xml:space="preserve">承包人不得以任何理由向发包人及其工作人员行贿或馈赠礼金、有价证券、贵重礼品。 </w:t>
      </w:r>
    </w:p>
    <w:p w14:paraId="5D458F97">
      <w:pPr>
        <w:pStyle w:val="17"/>
        <w:spacing w:before="4"/>
        <w:rPr>
          <w:sz w:val="15"/>
        </w:rPr>
      </w:pPr>
    </w:p>
    <w:p w14:paraId="5118EB91">
      <w:pPr>
        <w:pStyle w:val="317"/>
        <w:numPr>
          <w:ilvl w:val="0"/>
          <w:numId w:val="89"/>
        </w:numPr>
        <w:tabs>
          <w:tab w:val="left" w:pos="1109"/>
        </w:tabs>
        <w:ind w:hanging="528"/>
        <w:rPr>
          <w:sz w:val="21"/>
        </w:rPr>
      </w:pPr>
      <w:r>
        <w:rPr>
          <w:spacing w:val="-1"/>
          <w:sz w:val="21"/>
        </w:rPr>
        <w:t>承包人不得以任何名义为发包人及其工作人员报销应由发包人单位或个人支付的任何费用。</w:t>
      </w:r>
      <w:r>
        <w:rPr>
          <w:sz w:val="21"/>
        </w:rPr>
        <w:t xml:space="preserve"> </w:t>
      </w:r>
    </w:p>
    <w:p w14:paraId="3061E4F2">
      <w:pPr>
        <w:pStyle w:val="17"/>
        <w:spacing w:before="4"/>
        <w:rPr>
          <w:sz w:val="15"/>
        </w:rPr>
      </w:pPr>
    </w:p>
    <w:p w14:paraId="6341F710">
      <w:pPr>
        <w:pStyle w:val="317"/>
        <w:numPr>
          <w:ilvl w:val="0"/>
          <w:numId w:val="89"/>
        </w:numPr>
        <w:tabs>
          <w:tab w:val="left" w:pos="1109"/>
        </w:tabs>
        <w:ind w:hanging="528"/>
        <w:rPr>
          <w:sz w:val="21"/>
        </w:rPr>
      </w:pPr>
      <w:r>
        <w:rPr>
          <w:spacing w:val="-1"/>
          <w:sz w:val="21"/>
        </w:rPr>
        <w:t>承包人不得以任何理由安排发包人工作人员参加超标准宴请及娱乐活动。</w:t>
      </w:r>
      <w:r>
        <w:rPr>
          <w:sz w:val="21"/>
        </w:rPr>
        <w:t xml:space="preserve"> </w:t>
      </w:r>
    </w:p>
    <w:p w14:paraId="6AB45D20">
      <w:pPr>
        <w:pStyle w:val="17"/>
        <w:spacing w:before="4"/>
        <w:rPr>
          <w:sz w:val="15"/>
        </w:rPr>
      </w:pPr>
    </w:p>
    <w:p w14:paraId="0229CC1E">
      <w:pPr>
        <w:pStyle w:val="317"/>
        <w:numPr>
          <w:ilvl w:val="0"/>
          <w:numId w:val="89"/>
        </w:numPr>
        <w:tabs>
          <w:tab w:val="left" w:pos="1109"/>
        </w:tabs>
        <w:spacing w:line="415" w:lineRule="auto"/>
        <w:ind w:left="581" w:right="1935" w:firstLine="0"/>
        <w:rPr>
          <w:sz w:val="21"/>
        </w:rPr>
      </w:pPr>
      <w:r>
        <w:rPr>
          <w:spacing w:val="-1"/>
          <w:sz w:val="21"/>
        </w:rPr>
        <w:t>承包人不得为发包人单位和个人购置或提供通讯工具、交通工具和高档办公用品等。</w:t>
      </w:r>
      <w:r>
        <w:rPr>
          <w:sz w:val="21"/>
        </w:rPr>
        <w:t>4.</w:t>
      </w:r>
      <w:r>
        <w:rPr>
          <w:spacing w:val="-1"/>
          <w:sz w:val="21"/>
        </w:rPr>
        <w:t xml:space="preserve"> 违约责任 </w:t>
      </w:r>
    </w:p>
    <w:p w14:paraId="1F305ADB">
      <w:pPr>
        <w:pStyle w:val="317"/>
        <w:numPr>
          <w:ilvl w:val="0"/>
          <w:numId w:val="90"/>
        </w:numPr>
        <w:tabs>
          <w:tab w:val="left" w:pos="1109"/>
        </w:tabs>
        <w:spacing w:before="15" w:line="415" w:lineRule="auto"/>
        <w:ind w:right="1285" w:firstLine="420"/>
        <w:jc w:val="both"/>
        <w:rPr>
          <w:sz w:val="21"/>
        </w:rPr>
      </w:pPr>
      <w:r>
        <w:rPr>
          <w:spacing w:val="-4"/>
          <w:sz w:val="21"/>
        </w:rPr>
        <w:t xml:space="preserve">发包人及其工作人员违反合同第 </w:t>
      </w:r>
      <w:r>
        <w:rPr>
          <w:sz w:val="21"/>
        </w:rPr>
        <w:t>1、2</w:t>
      </w:r>
      <w:r>
        <w:rPr>
          <w:spacing w:val="-7"/>
          <w:sz w:val="21"/>
        </w:rPr>
        <w:t xml:space="preserve"> 条，按管理权限，依据有关规定给予党纪、政纪或组织</w:t>
      </w:r>
      <w:r>
        <w:rPr>
          <w:spacing w:val="-8"/>
          <w:sz w:val="21"/>
        </w:rPr>
        <w:t>处理；涉嫌犯罪的，移交司法机关追究刑事责任；给承包人单位造成经济损失的，应予以赔偿。</w:t>
      </w:r>
      <w:r>
        <w:rPr>
          <w:sz w:val="21"/>
        </w:rPr>
        <w:t xml:space="preserve"> </w:t>
      </w:r>
    </w:p>
    <w:p w14:paraId="5FB9E6E7">
      <w:pPr>
        <w:pStyle w:val="317"/>
        <w:numPr>
          <w:ilvl w:val="0"/>
          <w:numId w:val="90"/>
        </w:numPr>
        <w:tabs>
          <w:tab w:val="left" w:pos="1109"/>
        </w:tabs>
        <w:spacing w:line="415" w:lineRule="auto"/>
        <w:ind w:right="1289" w:firstLine="420"/>
        <w:jc w:val="both"/>
        <w:rPr>
          <w:sz w:val="21"/>
        </w:rPr>
      </w:pPr>
      <w:r>
        <w:rPr>
          <w:spacing w:val="-4"/>
          <w:sz w:val="21"/>
        </w:rPr>
        <w:t xml:space="preserve">承包人及其工作人员违反合同第 </w:t>
      </w:r>
      <w:r>
        <w:rPr>
          <w:sz w:val="21"/>
        </w:rPr>
        <w:t>1、3</w:t>
      </w:r>
      <w:r>
        <w:rPr>
          <w:spacing w:val="-7"/>
          <w:sz w:val="21"/>
        </w:rPr>
        <w:t xml:space="preserve"> 条，按管理权限，依据有关规定给予党纪、政纪或组织处理；给发包人单位造成经济损失的，应予以赔偿。</w:t>
      </w:r>
      <w:r>
        <w:rPr>
          <w:sz w:val="21"/>
        </w:rPr>
        <w:t xml:space="preserve"> </w:t>
      </w:r>
    </w:p>
    <w:p w14:paraId="1E0ACBA4">
      <w:pPr>
        <w:pStyle w:val="317"/>
        <w:numPr>
          <w:ilvl w:val="0"/>
          <w:numId w:val="91"/>
        </w:numPr>
        <w:tabs>
          <w:tab w:val="left" w:pos="793"/>
        </w:tabs>
        <w:spacing w:line="422" w:lineRule="auto"/>
        <w:ind w:right="1279" w:firstLine="420"/>
        <w:jc w:val="both"/>
        <w:rPr>
          <w:sz w:val="21"/>
        </w:rPr>
      </w:pPr>
      <w:r>
        <w:rPr>
          <w:spacing w:val="-9"/>
          <w:sz w:val="21"/>
        </w:rPr>
        <w:t xml:space="preserve">双方约定：协议由双方或双方上级单位的纪检监察机关负责监督执行。由发包人或发包人上级单位的纪检监察机关约请承包人或承包人上级单位纪检监察机关对合同执行情况进行检查，提出在协议规定范围内的裁定意见。 </w:t>
      </w:r>
    </w:p>
    <w:p w14:paraId="70C029C5">
      <w:pPr>
        <w:pStyle w:val="317"/>
        <w:numPr>
          <w:ilvl w:val="0"/>
          <w:numId w:val="91"/>
        </w:numPr>
        <w:tabs>
          <w:tab w:val="left" w:pos="793"/>
        </w:tabs>
        <w:spacing w:line="259" w:lineRule="exact"/>
        <w:ind w:left="793" w:hanging="212"/>
        <w:rPr>
          <w:sz w:val="21"/>
        </w:rPr>
      </w:pPr>
      <w:r>
        <w:rPr>
          <w:spacing w:val="-1"/>
          <w:sz w:val="21"/>
        </w:rPr>
        <w:t>协议有效期为甲乙双方签署之日起至该工程项目竣工验收后止。</w:t>
      </w:r>
      <w:r>
        <w:rPr>
          <w:sz w:val="21"/>
        </w:rPr>
        <w:t xml:space="preserve"> </w:t>
      </w:r>
    </w:p>
    <w:p w14:paraId="6E228CEE">
      <w:pPr>
        <w:pStyle w:val="17"/>
        <w:spacing w:before="4"/>
        <w:rPr>
          <w:sz w:val="15"/>
        </w:rPr>
      </w:pPr>
    </w:p>
    <w:p w14:paraId="3173489B">
      <w:pPr>
        <w:pStyle w:val="317"/>
        <w:numPr>
          <w:ilvl w:val="0"/>
          <w:numId w:val="91"/>
        </w:numPr>
        <w:tabs>
          <w:tab w:val="left" w:pos="793"/>
        </w:tabs>
        <w:spacing w:before="1"/>
        <w:ind w:left="793" w:hanging="212"/>
        <w:rPr>
          <w:sz w:val="21"/>
        </w:rPr>
      </w:pPr>
      <w:r>
        <w:rPr>
          <w:spacing w:val="-10"/>
          <w:sz w:val="21"/>
        </w:rPr>
        <w:t>协议作为 工程施工合同的附件，与工程施工合同具有同等的法律效力，经合同双方签署立即生效</w:t>
      </w:r>
      <w:r>
        <w:rPr>
          <w:spacing w:val="-129"/>
          <w:sz w:val="21"/>
        </w:rPr>
        <w:t>。</w:t>
      </w:r>
      <w:r>
        <w:rPr>
          <w:sz w:val="21"/>
        </w:rPr>
        <w:t xml:space="preserve"> </w:t>
      </w:r>
    </w:p>
    <w:p w14:paraId="0FB6FE38">
      <w:pPr>
        <w:pStyle w:val="17"/>
        <w:spacing w:before="4"/>
        <w:rPr>
          <w:sz w:val="15"/>
        </w:rPr>
      </w:pPr>
    </w:p>
    <w:p w14:paraId="5AFA207A">
      <w:pPr>
        <w:pStyle w:val="17"/>
        <w:ind w:left="581"/>
      </w:pPr>
      <w:r>
        <w:t xml:space="preserve">（以下无正文） </w:t>
      </w:r>
    </w:p>
    <w:p w14:paraId="7A3AAD4F">
      <w:pPr>
        <w:pStyle w:val="17"/>
        <w:rPr>
          <w:sz w:val="20"/>
        </w:rPr>
      </w:pPr>
    </w:p>
    <w:p w14:paraId="3A7A5BA1">
      <w:pPr>
        <w:pStyle w:val="17"/>
        <w:rPr>
          <w:sz w:val="20"/>
        </w:rPr>
      </w:pPr>
    </w:p>
    <w:p w14:paraId="27915747">
      <w:pPr>
        <w:pStyle w:val="17"/>
        <w:rPr>
          <w:sz w:val="20"/>
        </w:rPr>
      </w:pPr>
    </w:p>
    <w:p w14:paraId="243EE406">
      <w:pPr>
        <w:pStyle w:val="17"/>
        <w:rPr>
          <w:sz w:val="20"/>
        </w:rPr>
      </w:pPr>
    </w:p>
    <w:p w14:paraId="6FB8E96C">
      <w:pPr>
        <w:pStyle w:val="17"/>
        <w:rPr>
          <w:sz w:val="20"/>
        </w:rPr>
      </w:pPr>
    </w:p>
    <w:p w14:paraId="0812D5D1">
      <w:pPr>
        <w:pStyle w:val="17"/>
        <w:rPr>
          <w:sz w:val="20"/>
        </w:rPr>
      </w:pPr>
    </w:p>
    <w:p w14:paraId="7444DB4B">
      <w:pPr>
        <w:pStyle w:val="17"/>
        <w:spacing w:before="8"/>
        <w:rPr>
          <w:sz w:val="18"/>
        </w:rPr>
      </w:pPr>
    </w:p>
    <w:p w14:paraId="2D9FC414">
      <w:pPr>
        <w:pStyle w:val="17"/>
        <w:spacing w:before="71"/>
        <w:ind w:left="161"/>
      </w:pPr>
      <w:r>
        <w:t>甲 方 ：</w:t>
      </w:r>
      <w:r>
        <w:rPr>
          <w:rFonts w:hint="eastAsia"/>
          <w:color w:val="000000"/>
        </w:rPr>
        <w:t>重庆经开区开发建设有限公司</w:t>
      </w:r>
      <w:r>
        <w:t xml:space="preserve"> </w:t>
      </w:r>
      <w:r>
        <w:rPr>
          <w:rFonts w:hint="eastAsia"/>
          <w:lang w:val="en-US"/>
        </w:rPr>
        <w:t xml:space="preserve">           </w:t>
      </w:r>
      <w:r>
        <w:t xml:space="preserve">乙 方 ： </w:t>
      </w:r>
    </w:p>
    <w:p w14:paraId="00A96B3B">
      <w:pPr>
        <w:pStyle w:val="17"/>
        <w:rPr>
          <w:sz w:val="20"/>
        </w:rPr>
      </w:pPr>
    </w:p>
    <w:p w14:paraId="48E41F08">
      <w:pPr>
        <w:pStyle w:val="17"/>
        <w:rPr>
          <w:sz w:val="20"/>
        </w:rPr>
      </w:pPr>
    </w:p>
    <w:p w14:paraId="76B30CF2">
      <w:pPr>
        <w:pStyle w:val="17"/>
        <w:rPr>
          <w:sz w:val="20"/>
        </w:rPr>
      </w:pPr>
    </w:p>
    <w:p w14:paraId="4285F4FB">
      <w:pPr>
        <w:pStyle w:val="17"/>
        <w:spacing w:before="9"/>
        <w:rPr>
          <w:sz w:val="23"/>
        </w:rPr>
      </w:pPr>
    </w:p>
    <w:p w14:paraId="25C252F1">
      <w:pPr>
        <w:pStyle w:val="17"/>
        <w:spacing w:before="70"/>
        <w:ind w:left="161"/>
      </w:pPr>
      <w:r>
        <w:t xml:space="preserve">法 定 代 表 人 </w:t>
      </w:r>
      <w:r>
        <w:rPr>
          <w:rFonts w:hint="eastAsia"/>
          <w:lang w:val="en-US"/>
        </w:rPr>
        <w:t xml:space="preserve">                              </w:t>
      </w:r>
      <w:r>
        <w:t xml:space="preserve">法 定 代 表 人                       </w:t>
      </w:r>
    </w:p>
    <w:p w14:paraId="777B4495">
      <w:pPr>
        <w:pStyle w:val="17"/>
        <w:rPr>
          <w:sz w:val="20"/>
        </w:rPr>
      </w:pPr>
    </w:p>
    <w:p w14:paraId="0C67EC52">
      <w:pPr>
        <w:pStyle w:val="17"/>
        <w:rPr>
          <w:sz w:val="20"/>
        </w:rPr>
      </w:pPr>
    </w:p>
    <w:p w14:paraId="49D40664">
      <w:pPr>
        <w:pStyle w:val="17"/>
        <w:rPr>
          <w:sz w:val="20"/>
        </w:rPr>
      </w:pPr>
    </w:p>
    <w:p w14:paraId="0A9045DA">
      <w:pPr>
        <w:pStyle w:val="17"/>
        <w:spacing w:before="6"/>
        <w:rPr>
          <w:sz w:val="22"/>
        </w:rPr>
      </w:pPr>
    </w:p>
    <w:p w14:paraId="07D9DFDF">
      <w:pPr>
        <w:pStyle w:val="17"/>
        <w:spacing w:before="71"/>
        <w:ind w:left="161"/>
      </w:pPr>
      <w:r>
        <w:t xml:space="preserve">或其授权的代理人： </w:t>
      </w:r>
      <w:r>
        <w:rPr>
          <w:rFonts w:hint="eastAsia"/>
          <w:lang w:val="en-US"/>
        </w:rPr>
        <w:t xml:space="preserve">                          </w:t>
      </w:r>
      <w:r>
        <w:t xml:space="preserve">或授权的代理人： </w:t>
      </w:r>
    </w:p>
    <w:p w14:paraId="53A1BF86">
      <w:pPr>
        <w:sectPr>
          <w:pgSz w:w="11910" w:h="16850"/>
          <w:pgMar w:top="1360" w:right="0" w:bottom="1180" w:left="980" w:header="0" w:footer="996" w:gutter="0"/>
          <w:cols w:space="720" w:num="1"/>
        </w:sectPr>
      </w:pPr>
    </w:p>
    <w:p w14:paraId="4D3DBEB1">
      <w:pPr>
        <w:pStyle w:val="17"/>
        <w:spacing w:before="41"/>
        <w:ind w:left="326"/>
      </w:pPr>
      <w:r>
        <w:t xml:space="preserve">附件 9：安全管理协议 </w:t>
      </w:r>
    </w:p>
    <w:p w14:paraId="59236125">
      <w:pPr>
        <w:pStyle w:val="17"/>
        <w:rPr>
          <w:sz w:val="20"/>
        </w:rPr>
      </w:pPr>
    </w:p>
    <w:p w14:paraId="649FF4FE">
      <w:pPr>
        <w:pStyle w:val="17"/>
        <w:spacing w:before="8"/>
        <w:rPr>
          <w:sz w:val="15"/>
        </w:rPr>
      </w:pPr>
    </w:p>
    <w:p w14:paraId="74108F1E">
      <w:pPr>
        <w:pStyle w:val="17"/>
        <w:spacing w:before="70"/>
        <w:ind w:right="707"/>
        <w:jc w:val="center"/>
      </w:pPr>
      <w:r>
        <w:t xml:space="preserve">安全管理协议 </w:t>
      </w:r>
    </w:p>
    <w:p w14:paraId="70773FA7">
      <w:pPr>
        <w:pStyle w:val="17"/>
        <w:spacing w:before="6"/>
        <w:rPr>
          <w:sz w:val="19"/>
        </w:rPr>
      </w:pPr>
    </w:p>
    <w:p w14:paraId="6895E8B7">
      <w:pPr>
        <w:tabs>
          <w:tab w:val="left" w:pos="3315"/>
          <w:tab w:val="left" w:pos="5598"/>
        </w:tabs>
        <w:spacing w:line="252" w:lineRule="auto"/>
        <w:ind w:left="746" w:right="4069"/>
        <w:rPr>
          <w:rFonts w:ascii="微软雅黑" w:eastAsia="微软雅黑"/>
          <w:b/>
          <w:sz w:val="21"/>
        </w:rPr>
      </w:pPr>
      <w:r>
        <w:rPr>
          <w:lang w:val="en-US" w:bidi="ar-SA"/>
        </w:rPr>
        <w:drawing>
          <wp:anchor distT="0" distB="0" distL="0" distR="0" simplePos="0" relativeHeight="251718656" behindDoc="1" locked="0" layoutInCell="1" allowOverlap="1">
            <wp:simplePos x="0" y="0"/>
            <wp:positionH relativeFrom="page">
              <wp:posOffset>2193290</wp:posOffset>
            </wp:positionH>
            <wp:positionV relativeFrom="paragraph">
              <wp:posOffset>61595</wp:posOffset>
            </wp:positionV>
            <wp:extent cx="667385" cy="133350"/>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19680" behindDoc="1" locked="0" layoutInCell="1" allowOverlap="1">
            <wp:simplePos x="0" y="0"/>
            <wp:positionH relativeFrom="page">
              <wp:posOffset>3909695</wp:posOffset>
            </wp:positionH>
            <wp:positionV relativeFrom="paragraph">
              <wp:posOffset>61595</wp:posOffset>
            </wp:positionV>
            <wp:extent cx="400685" cy="133350"/>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lang w:val="en-US" w:bidi="ar-SA"/>
        </w:rPr>
        <w:drawing>
          <wp:anchor distT="0" distB="0" distL="0" distR="0" simplePos="0" relativeHeight="251720704" behindDoc="1" locked="0" layoutInCell="1" allowOverlap="1">
            <wp:simplePos x="0" y="0"/>
            <wp:positionH relativeFrom="page">
              <wp:posOffset>2193290</wp:posOffset>
            </wp:positionH>
            <wp:positionV relativeFrom="paragraph">
              <wp:posOffset>318770</wp:posOffset>
            </wp:positionV>
            <wp:extent cx="667385" cy="133350"/>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21728" behindDoc="1" locked="0" layoutInCell="1" allowOverlap="1">
            <wp:simplePos x="0" y="0"/>
            <wp:positionH relativeFrom="page">
              <wp:posOffset>3909695</wp:posOffset>
            </wp:positionH>
            <wp:positionV relativeFrom="paragraph">
              <wp:posOffset>318770</wp:posOffset>
            </wp:positionV>
            <wp:extent cx="400685" cy="133350"/>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sz w:val="21"/>
        </w:rPr>
        <w:t>发</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rFonts w:hint="eastAsia"/>
          <w:color w:val="000000"/>
          <w:sz w:val="21"/>
          <w:u w:val="single"/>
        </w:rPr>
        <w:t>重庆经开区开发建设有限公司</w:t>
      </w:r>
      <w:r>
        <w:rPr>
          <w:spacing w:val="1"/>
          <w:sz w:val="21"/>
          <w:u w:val="single"/>
        </w:rPr>
        <w:t xml:space="preserve"> </w:t>
      </w:r>
      <w:r>
        <w:rPr>
          <w:rFonts w:hint="eastAsia" w:ascii="微软雅黑" w:eastAsia="微软雅黑"/>
          <w:b/>
          <w:w w:val="167"/>
          <w:sz w:val="21"/>
        </w:rPr>
        <w:t xml:space="preserve"> </w:t>
      </w:r>
      <w:r>
        <w:rPr>
          <w:rFonts w:hint="eastAsia" w:ascii="微软雅黑" w:eastAsia="微软雅黑"/>
          <w:b/>
          <w:spacing w:val="14"/>
          <w:w w:val="167"/>
          <w:sz w:val="21"/>
        </w:rPr>
        <w:t xml:space="preserve">                                           </w:t>
      </w:r>
      <w:r>
        <w:rPr>
          <w:rFonts w:hint="eastAsia" w:ascii="微软雅黑" w:eastAsia="微软雅黑"/>
          <w:b/>
          <w:spacing w:val="86"/>
          <w:w w:val="167"/>
          <w:sz w:val="21"/>
        </w:rPr>
        <w:t xml:space="preserve"> </w:t>
      </w:r>
      <w:r>
        <w:rPr>
          <w:rFonts w:hint="eastAsia" w:ascii="微软雅黑" w:eastAsia="微软雅黑"/>
          <w:b/>
          <w:spacing w:val="14"/>
          <w:sz w:val="21"/>
        </w:rPr>
        <w:t>承</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u w:val="single"/>
        </w:rPr>
        <w:t xml:space="preserve">                                   </w:t>
      </w:r>
      <w:r>
        <w:rPr>
          <w:sz w:val="21"/>
          <w:u w:val="single"/>
        </w:rPr>
        <w:t xml:space="preserve"> </w:t>
      </w:r>
      <w:r>
        <w:rPr>
          <w:spacing w:val="1"/>
          <w:sz w:val="21"/>
          <w:u w:val="single"/>
        </w:rPr>
        <w:t xml:space="preserve"> </w:t>
      </w:r>
      <w:r>
        <w:rPr>
          <w:rFonts w:hint="eastAsia" w:ascii="微软雅黑" w:eastAsia="微软雅黑"/>
          <w:b/>
          <w:w w:val="167"/>
          <w:sz w:val="21"/>
        </w:rPr>
        <w:t xml:space="preserve"> </w:t>
      </w:r>
    </w:p>
    <w:p w14:paraId="731CE2E8">
      <w:pPr>
        <w:pStyle w:val="17"/>
        <w:spacing w:before="7"/>
        <w:rPr>
          <w:rFonts w:ascii="微软雅黑"/>
          <w:b/>
          <w:sz w:val="5"/>
        </w:rPr>
      </w:pPr>
    </w:p>
    <w:p w14:paraId="34832FA1">
      <w:pPr>
        <w:pStyle w:val="17"/>
        <w:spacing w:before="71"/>
        <w:ind w:left="746"/>
      </w:pPr>
      <w:r>
        <w:t>为了确保实现</w:t>
      </w:r>
      <w:r>
        <w:rPr>
          <w:u w:val="single"/>
        </w:rPr>
        <w:t xml:space="preserve"> </w:t>
      </w:r>
      <w:r>
        <w:rPr>
          <w:rFonts w:hint="eastAsia"/>
          <w:u w:val="single"/>
        </w:rPr>
        <w:t>开成路、横六路道路交安提升及绿化补栽工程</w:t>
      </w:r>
      <w:r>
        <w:rPr>
          <w:u w:val="single"/>
        </w:rPr>
        <w:t xml:space="preserve"> </w:t>
      </w:r>
      <w:r>
        <w:rPr>
          <w:spacing w:val="-1"/>
        </w:rPr>
        <w:t>安全生产目标，进一步明确双方的安全管理责任，加强安全生产管理工作的</w:t>
      </w:r>
    </w:p>
    <w:p w14:paraId="32973E38">
      <w:pPr>
        <w:pStyle w:val="17"/>
        <w:rPr>
          <w:sz w:val="11"/>
        </w:rPr>
      </w:pPr>
    </w:p>
    <w:p w14:paraId="59D076DC">
      <w:pPr>
        <w:pStyle w:val="17"/>
        <w:spacing w:before="71"/>
        <w:ind w:left="326"/>
      </w:pPr>
      <w:r>
        <w:t>协调、管理力度，</w:t>
      </w:r>
      <w:r>
        <w:rPr>
          <w:u w:val="single"/>
        </w:rPr>
        <w:t xml:space="preserve"> </w:t>
      </w:r>
      <w:r>
        <w:rPr>
          <w:rFonts w:hint="eastAsia"/>
          <w:color w:val="000000"/>
          <w:u w:val="single"/>
        </w:rPr>
        <w:t>重庆经开区开发建设有限公司</w:t>
      </w:r>
      <w:r>
        <w:rPr>
          <w:u w:val="single"/>
        </w:rPr>
        <w:t xml:space="preserve"> </w:t>
      </w:r>
      <w:r>
        <w:t>（以下简称“发包人”）</w:t>
      </w:r>
      <w:r>
        <w:rPr>
          <w:spacing w:val="-3"/>
        </w:rPr>
        <w:t>与</w:t>
      </w:r>
      <w:r>
        <w:rPr>
          <w:u w:val="single"/>
        </w:rPr>
        <w:t xml:space="preserve"> </w:t>
      </w:r>
      <w:r>
        <w:rPr>
          <w:rFonts w:hint="eastAsia"/>
          <w:u w:val="single"/>
          <w:lang w:val="en-US"/>
        </w:rPr>
        <w:t xml:space="preserve">   </w:t>
      </w:r>
      <w:r>
        <w:t xml:space="preserve">（以下简称“承包人”）依据国家安全生产相关的法律、法规和安全方面的强制性国家标准或行业标准，双方同意签订该协议作为正式合同安全管理方面的补充规定，并承诺本协议具有与合同相同的法律效力。具体条款如下： </w:t>
      </w:r>
    </w:p>
    <w:p w14:paraId="4AF35185">
      <w:pPr>
        <w:pStyle w:val="17"/>
        <w:spacing w:line="269" w:lineRule="exact"/>
        <w:ind w:left="746"/>
      </w:pPr>
      <w:r>
        <w:t xml:space="preserve">一、协议有效期限 </w:t>
      </w:r>
    </w:p>
    <w:p w14:paraId="253E1C14">
      <w:pPr>
        <w:pStyle w:val="17"/>
        <w:spacing w:before="4"/>
        <w:rPr>
          <w:sz w:val="15"/>
        </w:rPr>
      </w:pPr>
    </w:p>
    <w:p w14:paraId="5B4570A6">
      <w:pPr>
        <w:pStyle w:val="17"/>
        <w:spacing w:line="429" w:lineRule="auto"/>
        <w:ind w:left="326" w:right="1129" w:firstLine="420"/>
      </w:pPr>
      <w:r>
        <w:t xml:space="preserve">本协议中所涉及的安全管理责任自合同签订之日起开始生效，至合同工程全部完工验收且经发包人与承包人签订移交协议生效后之日终止。 </w:t>
      </w:r>
    </w:p>
    <w:p w14:paraId="0B23CC5F">
      <w:pPr>
        <w:pStyle w:val="17"/>
        <w:spacing w:line="252" w:lineRule="exact"/>
        <w:ind w:left="746"/>
      </w:pPr>
      <w:r>
        <w:t xml:space="preserve">二、责任目标 </w:t>
      </w:r>
    </w:p>
    <w:p w14:paraId="6B72D788">
      <w:pPr>
        <w:pStyle w:val="17"/>
        <w:spacing w:before="4"/>
        <w:rPr>
          <w:sz w:val="15"/>
        </w:rPr>
      </w:pPr>
    </w:p>
    <w:p w14:paraId="4169B01C">
      <w:pPr>
        <w:pStyle w:val="17"/>
        <w:ind w:left="746"/>
      </w:pPr>
      <w:r>
        <w:t xml:space="preserve">（一）承包人承诺承担和履行合同和发包人所规定的安全责任，且满足要求。 </w:t>
      </w:r>
    </w:p>
    <w:p w14:paraId="3EF90A77">
      <w:pPr>
        <w:pStyle w:val="17"/>
        <w:spacing w:before="4"/>
        <w:rPr>
          <w:sz w:val="15"/>
        </w:rPr>
      </w:pPr>
    </w:p>
    <w:p w14:paraId="50EF76C7">
      <w:pPr>
        <w:pStyle w:val="17"/>
        <w:spacing w:line="415" w:lineRule="auto"/>
        <w:ind w:left="746" w:right="4443"/>
      </w:pPr>
      <w:r>
        <w:t xml:space="preserve">（二）承包人的安全控制目标是确保本工程在实施过程中： 1．不发生人身重伤事故； </w:t>
      </w:r>
    </w:p>
    <w:p w14:paraId="65B55360">
      <w:pPr>
        <w:pStyle w:val="317"/>
        <w:numPr>
          <w:ilvl w:val="1"/>
          <w:numId w:val="91"/>
        </w:numPr>
        <w:tabs>
          <w:tab w:val="left" w:pos="1064"/>
        </w:tabs>
        <w:spacing w:before="15"/>
        <w:ind w:hanging="318"/>
        <w:rPr>
          <w:sz w:val="21"/>
        </w:rPr>
      </w:pPr>
      <w:r>
        <w:rPr>
          <w:sz w:val="21"/>
        </w:rPr>
        <w:t xml:space="preserve">不发生火灾事故； </w:t>
      </w:r>
    </w:p>
    <w:p w14:paraId="426CE93D">
      <w:pPr>
        <w:pStyle w:val="17"/>
        <w:spacing w:before="4"/>
        <w:rPr>
          <w:sz w:val="15"/>
        </w:rPr>
      </w:pPr>
    </w:p>
    <w:p w14:paraId="45DF467E">
      <w:pPr>
        <w:pStyle w:val="317"/>
        <w:numPr>
          <w:ilvl w:val="1"/>
          <w:numId w:val="91"/>
        </w:numPr>
        <w:tabs>
          <w:tab w:val="left" w:pos="1064"/>
        </w:tabs>
        <w:ind w:hanging="318"/>
        <w:rPr>
          <w:sz w:val="21"/>
        </w:rPr>
      </w:pPr>
      <w:r>
        <w:rPr>
          <w:spacing w:val="-1"/>
          <w:sz w:val="21"/>
        </w:rPr>
        <w:t>不发生负有同等及以上事故责任的造成人身重伤的一般交通事故；</w:t>
      </w:r>
      <w:r>
        <w:rPr>
          <w:sz w:val="21"/>
        </w:rPr>
        <w:t xml:space="preserve"> </w:t>
      </w:r>
    </w:p>
    <w:p w14:paraId="24B80268">
      <w:pPr>
        <w:pStyle w:val="17"/>
        <w:spacing w:before="4"/>
        <w:rPr>
          <w:sz w:val="15"/>
        </w:rPr>
      </w:pPr>
    </w:p>
    <w:p w14:paraId="58801102">
      <w:pPr>
        <w:pStyle w:val="317"/>
        <w:numPr>
          <w:ilvl w:val="1"/>
          <w:numId w:val="91"/>
        </w:numPr>
        <w:tabs>
          <w:tab w:val="left" w:pos="1064"/>
        </w:tabs>
        <w:ind w:hanging="318"/>
        <w:rPr>
          <w:sz w:val="21"/>
        </w:rPr>
      </w:pPr>
      <w:r>
        <w:rPr>
          <w:sz w:val="21"/>
        </w:rPr>
        <w:t>不发生集体食物中毒事件（</w:t>
      </w:r>
      <w:r>
        <w:rPr>
          <w:spacing w:val="-17"/>
          <w:sz w:val="21"/>
        </w:rPr>
        <w:t xml:space="preserve">同时 </w:t>
      </w:r>
      <w:r>
        <w:rPr>
          <w:sz w:val="21"/>
        </w:rPr>
        <w:t>5</w:t>
      </w:r>
      <w:r>
        <w:rPr>
          <w:spacing w:val="-7"/>
          <w:sz w:val="21"/>
        </w:rPr>
        <w:t xml:space="preserve"> 人及以上的食物中毒</w:t>
      </w:r>
      <w:r>
        <w:rPr>
          <w:sz w:val="21"/>
        </w:rPr>
        <w:t xml:space="preserve">）； </w:t>
      </w:r>
    </w:p>
    <w:p w14:paraId="63E1DD40">
      <w:pPr>
        <w:pStyle w:val="17"/>
        <w:spacing w:before="4"/>
        <w:rPr>
          <w:sz w:val="15"/>
        </w:rPr>
      </w:pPr>
    </w:p>
    <w:p w14:paraId="4AADC578">
      <w:pPr>
        <w:pStyle w:val="317"/>
        <w:numPr>
          <w:ilvl w:val="1"/>
          <w:numId w:val="91"/>
        </w:numPr>
        <w:tabs>
          <w:tab w:val="left" w:pos="1064"/>
        </w:tabs>
        <w:ind w:hanging="318"/>
        <w:rPr>
          <w:sz w:val="21"/>
        </w:rPr>
      </w:pPr>
      <w:r>
        <w:rPr>
          <w:spacing w:val="-1"/>
          <w:sz w:val="21"/>
        </w:rPr>
        <w:t xml:space="preserve">不发生流行性传染病 </w:t>
      </w:r>
      <w:r>
        <w:rPr>
          <w:sz w:val="21"/>
        </w:rPr>
        <w:t>（无甲型传染病、其他常见传染病未形成多人同时患病</w:t>
      </w:r>
      <w:r>
        <w:rPr>
          <w:spacing w:val="-3"/>
          <w:sz w:val="21"/>
        </w:rPr>
        <w:t>）；</w:t>
      </w:r>
      <w:r>
        <w:rPr>
          <w:sz w:val="21"/>
        </w:rPr>
        <w:t xml:space="preserve"> </w:t>
      </w:r>
    </w:p>
    <w:p w14:paraId="3B915161">
      <w:pPr>
        <w:pStyle w:val="17"/>
        <w:spacing w:before="4"/>
        <w:rPr>
          <w:sz w:val="15"/>
        </w:rPr>
      </w:pPr>
    </w:p>
    <w:p w14:paraId="57D695F8">
      <w:pPr>
        <w:pStyle w:val="317"/>
        <w:numPr>
          <w:ilvl w:val="1"/>
          <w:numId w:val="91"/>
        </w:numPr>
        <w:tabs>
          <w:tab w:val="left" w:pos="1064"/>
        </w:tabs>
        <w:ind w:hanging="318"/>
        <w:rPr>
          <w:sz w:val="21"/>
        </w:rPr>
      </w:pPr>
      <w:r>
        <w:rPr>
          <w:sz w:val="21"/>
        </w:rPr>
        <w:t>不发生重大环境污染事件（生活、工业垃圾及其他污染物造成环境污染和大面积水土流失</w:t>
      </w:r>
      <w:r>
        <w:rPr>
          <w:spacing w:val="-5"/>
          <w:sz w:val="21"/>
        </w:rPr>
        <w:t>）；</w:t>
      </w:r>
      <w:r>
        <w:rPr>
          <w:sz w:val="21"/>
        </w:rPr>
        <w:t xml:space="preserve"> </w:t>
      </w:r>
    </w:p>
    <w:p w14:paraId="0CD2529D">
      <w:pPr>
        <w:pStyle w:val="17"/>
        <w:spacing w:before="7"/>
        <w:rPr>
          <w:sz w:val="16"/>
        </w:rPr>
      </w:pPr>
    </w:p>
    <w:p w14:paraId="17794CEE">
      <w:pPr>
        <w:pStyle w:val="317"/>
        <w:numPr>
          <w:ilvl w:val="1"/>
          <w:numId w:val="91"/>
        </w:numPr>
        <w:tabs>
          <w:tab w:val="left" w:pos="1064"/>
        </w:tabs>
        <w:spacing w:line="415" w:lineRule="auto"/>
        <w:ind w:left="326" w:right="1104" w:firstLine="420"/>
        <w:rPr>
          <w:sz w:val="21"/>
        </w:rPr>
      </w:pPr>
      <w:r>
        <w:rPr>
          <w:spacing w:val="-3"/>
          <w:sz w:val="21"/>
        </w:rPr>
        <w:t>不发生对施工区附近生产、生活造成重大影响的事件</w:t>
      </w:r>
      <w:r>
        <w:rPr>
          <w:sz w:val="21"/>
        </w:rPr>
        <w:t>（</w:t>
      </w:r>
      <w:r>
        <w:rPr>
          <w:spacing w:val="-3"/>
          <w:sz w:val="21"/>
        </w:rPr>
        <w:t xml:space="preserve">如造成重大设备损坏、重大财产损失、人员伤害等）； </w:t>
      </w:r>
    </w:p>
    <w:p w14:paraId="3AC31887">
      <w:pPr>
        <w:pStyle w:val="317"/>
        <w:numPr>
          <w:ilvl w:val="1"/>
          <w:numId w:val="91"/>
        </w:numPr>
        <w:tabs>
          <w:tab w:val="left" w:pos="1064"/>
        </w:tabs>
        <w:ind w:hanging="318"/>
        <w:rPr>
          <w:sz w:val="21"/>
        </w:rPr>
      </w:pPr>
      <w:r>
        <w:rPr>
          <w:sz w:val="21"/>
        </w:rPr>
        <w:t>不发生治安保卫事件（</w:t>
      </w:r>
      <w:r>
        <w:rPr>
          <w:spacing w:val="-5"/>
          <w:sz w:val="21"/>
        </w:rPr>
        <w:t xml:space="preserve">构成刑事拘留及以上的事件、盗窃直接损失超过 </w:t>
      </w:r>
      <w:r>
        <w:rPr>
          <w:sz w:val="21"/>
        </w:rPr>
        <w:t>1</w:t>
      </w:r>
      <w:r>
        <w:rPr>
          <w:spacing w:val="-7"/>
          <w:sz w:val="21"/>
        </w:rPr>
        <w:t xml:space="preserve"> 万元人民币的事件</w:t>
      </w:r>
      <w:r>
        <w:rPr>
          <w:sz w:val="21"/>
        </w:rPr>
        <w:t>）</w:t>
      </w:r>
      <w:r>
        <w:rPr>
          <w:spacing w:val="-108"/>
          <w:sz w:val="21"/>
        </w:rPr>
        <w:t>。</w:t>
      </w:r>
      <w:r>
        <w:rPr>
          <w:sz w:val="21"/>
        </w:rPr>
        <w:t xml:space="preserve"> </w:t>
      </w:r>
    </w:p>
    <w:p w14:paraId="6835AD5E">
      <w:pPr>
        <w:pStyle w:val="17"/>
        <w:spacing w:before="4"/>
        <w:rPr>
          <w:sz w:val="15"/>
        </w:rPr>
      </w:pPr>
    </w:p>
    <w:p w14:paraId="71AF336C">
      <w:pPr>
        <w:pStyle w:val="17"/>
        <w:spacing w:line="415" w:lineRule="auto"/>
        <w:ind w:left="746" w:right="5029"/>
      </w:pPr>
      <w:r>
        <w:t xml:space="preserve">（三）承包人承诺在施工中控制以下安全事故的发生： 1．人员轻伤事故。 </w:t>
      </w:r>
    </w:p>
    <w:p w14:paraId="2E1EB271">
      <w:pPr>
        <w:pStyle w:val="317"/>
        <w:numPr>
          <w:ilvl w:val="0"/>
          <w:numId w:val="92"/>
        </w:numPr>
        <w:tabs>
          <w:tab w:val="left" w:pos="1064"/>
        </w:tabs>
        <w:spacing w:before="15"/>
        <w:ind w:hanging="318"/>
        <w:rPr>
          <w:sz w:val="21"/>
        </w:rPr>
      </w:pPr>
      <w:r>
        <w:rPr>
          <w:spacing w:val="-1"/>
          <w:sz w:val="21"/>
        </w:rPr>
        <w:t>负有同等及以上事故责任的人身轻伤交通事故。</w:t>
      </w:r>
      <w:r>
        <w:rPr>
          <w:sz w:val="21"/>
        </w:rPr>
        <w:t xml:space="preserve"> </w:t>
      </w:r>
    </w:p>
    <w:p w14:paraId="077BFF4D">
      <w:pPr>
        <w:pStyle w:val="17"/>
        <w:spacing w:before="4"/>
        <w:rPr>
          <w:sz w:val="15"/>
        </w:rPr>
      </w:pPr>
    </w:p>
    <w:p w14:paraId="112D8936">
      <w:pPr>
        <w:pStyle w:val="317"/>
        <w:numPr>
          <w:ilvl w:val="0"/>
          <w:numId w:val="92"/>
        </w:numPr>
        <w:tabs>
          <w:tab w:val="left" w:pos="1064"/>
        </w:tabs>
        <w:spacing w:line="415" w:lineRule="auto"/>
        <w:ind w:left="746" w:right="6816" w:firstLine="0"/>
        <w:rPr>
          <w:sz w:val="21"/>
        </w:rPr>
      </w:pPr>
      <w:r>
        <w:rPr>
          <w:spacing w:val="-1"/>
          <w:sz w:val="21"/>
        </w:rPr>
        <w:t>其他安全未遂事故和异常事件。</w:t>
      </w:r>
      <w:r>
        <w:rPr>
          <w:sz w:val="21"/>
        </w:rPr>
        <w:t xml:space="preserve">三、安全责任 </w:t>
      </w:r>
    </w:p>
    <w:p w14:paraId="48B91A91">
      <w:pPr>
        <w:pStyle w:val="317"/>
        <w:numPr>
          <w:ilvl w:val="0"/>
          <w:numId w:val="93"/>
        </w:numPr>
        <w:tabs>
          <w:tab w:val="left" w:pos="1064"/>
        </w:tabs>
        <w:ind w:hanging="318"/>
        <w:jc w:val="left"/>
        <w:rPr>
          <w:sz w:val="21"/>
        </w:rPr>
      </w:pPr>
      <w:r>
        <w:rPr>
          <w:spacing w:val="-1"/>
          <w:sz w:val="21"/>
        </w:rPr>
        <w:t>承包人负有安全生产的管理责任和直接责任。</w:t>
      </w:r>
      <w:r>
        <w:rPr>
          <w:sz w:val="21"/>
        </w:rPr>
        <w:t xml:space="preserve"> </w:t>
      </w:r>
    </w:p>
    <w:p w14:paraId="26466E25">
      <w:pPr>
        <w:rPr>
          <w:sz w:val="21"/>
        </w:rPr>
        <w:sectPr>
          <w:pgSz w:w="11910" w:h="16850"/>
          <w:pgMar w:top="1440" w:right="810" w:bottom="1180" w:left="980" w:header="0" w:footer="996" w:gutter="0"/>
          <w:cols w:space="720" w:num="1"/>
        </w:sectPr>
      </w:pPr>
    </w:p>
    <w:p w14:paraId="046730A6">
      <w:pPr>
        <w:pStyle w:val="317"/>
        <w:numPr>
          <w:ilvl w:val="0"/>
          <w:numId w:val="93"/>
        </w:numPr>
        <w:tabs>
          <w:tab w:val="left" w:pos="898"/>
        </w:tabs>
        <w:spacing w:before="46"/>
        <w:ind w:left="898"/>
        <w:jc w:val="left"/>
        <w:rPr>
          <w:sz w:val="21"/>
        </w:rPr>
      </w:pPr>
      <w:r>
        <w:rPr>
          <w:spacing w:val="-1"/>
          <w:sz w:val="21"/>
        </w:rPr>
        <w:t>承包人的法人或签署合同的公司总经理或受委托的代理人对合同安全负有全面的领导责任。</w:t>
      </w:r>
      <w:r>
        <w:rPr>
          <w:sz w:val="21"/>
        </w:rPr>
        <w:t xml:space="preserve"> </w:t>
      </w:r>
    </w:p>
    <w:p w14:paraId="546FC476">
      <w:pPr>
        <w:pStyle w:val="17"/>
        <w:spacing w:before="4"/>
        <w:rPr>
          <w:sz w:val="15"/>
        </w:rPr>
      </w:pPr>
    </w:p>
    <w:p w14:paraId="46B77AAA">
      <w:pPr>
        <w:pStyle w:val="317"/>
        <w:numPr>
          <w:ilvl w:val="0"/>
          <w:numId w:val="93"/>
        </w:numPr>
        <w:tabs>
          <w:tab w:val="left" w:pos="898"/>
        </w:tabs>
        <w:ind w:left="898"/>
        <w:jc w:val="left"/>
        <w:rPr>
          <w:sz w:val="21"/>
        </w:rPr>
      </w:pPr>
      <w:r>
        <w:rPr>
          <w:spacing w:val="-1"/>
          <w:sz w:val="21"/>
        </w:rPr>
        <w:t>承包人项目经理对施工现场的安全工作负有全面的直接领导责任。</w:t>
      </w:r>
      <w:r>
        <w:rPr>
          <w:sz w:val="21"/>
        </w:rPr>
        <w:t xml:space="preserve"> </w:t>
      </w:r>
    </w:p>
    <w:p w14:paraId="7C06D147">
      <w:pPr>
        <w:pStyle w:val="17"/>
        <w:spacing w:before="4"/>
        <w:rPr>
          <w:sz w:val="15"/>
        </w:rPr>
      </w:pPr>
    </w:p>
    <w:p w14:paraId="56C9114D">
      <w:pPr>
        <w:pStyle w:val="317"/>
        <w:numPr>
          <w:ilvl w:val="0"/>
          <w:numId w:val="93"/>
        </w:numPr>
        <w:tabs>
          <w:tab w:val="left" w:pos="898"/>
        </w:tabs>
        <w:ind w:left="898"/>
        <w:jc w:val="left"/>
        <w:rPr>
          <w:sz w:val="21"/>
        </w:rPr>
      </w:pPr>
      <w:r>
        <w:rPr>
          <w:spacing w:val="-1"/>
          <w:sz w:val="21"/>
        </w:rPr>
        <w:t>承包人保证执行“谁施工、谁负责”的施工安全原则。</w:t>
      </w:r>
      <w:r>
        <w:rPr>
          <w:sz w:val="21"/>
        </w:rPr>
        <w:t xml:space="preserve"> </w:t>
      </w:r>
    </w:p>
    <w:p w14:paraId="7DC1824F">
      <w:pPr>
        <w:pStyle w:val="17"/>
        <w:spacing w:before="6"/>
        <w:rPr>
          <w:sz w:val="16"/>
        </w:rPr>
      </w:pPr>
    </w:p>
    <w:p w14:paraId="454D5C45">
      <w:pPr>
        <w:pStyle w:val="317"/>
        <w:numPr>
          <w:ilvl w:val="0"/>
          <w:numId w:val="93"/>
        </w:numPr>
        <w:tabs>
          <w:tab w:val="left" w:pos="898"/>
        </w:tabs>
        <w:spacing w:before="1"/>
        <w:ind w:left="898"/>
        <w:jc w:val="left"/>
        <w:rPr>
          <w:sz w:val="21"/>
        </w:rPr>
      </w:pPr>
      <w:r>
        <w:rPr>
          <w:spacing w:val="-2"/>
          <w:sz w:val="21"/>
        </w:rPr>
        <w:t xml:space="preserve">承包人保证服从发包人对安全工作的统一协调和管理。 </w:t>
      </w:r>
    </w:p>
    <w:p w14:paraId="4485114B">
      <w:pPr>
        <w:pStyle w:val="17"/>
        <w:spacing w:before="4"/>
        <w:rPr>
          <w:sz w:val="15"/>
        </w:rPr>
      </w:pPr>
    </w:p>
    <w:p w14:paraId="2B841139">
      <w:pPr>
        <w:pStyle w:val="317"/>
        <w:numPr>
          <w:ilvl w:val="0"/>
          <w:numId w:val="93"/>
        </w:numPr>
        <w:tabs>
          <w:tab w:val="left" w:pos="898"/>
        </w:tabs>
        <w:ind w:left="898"/>
        <w:jc w:val="left"/>
        <w:rPr>
          <w:sz w:val="21"/>
        </w:rPr>
      </w:pPr>
      <w:r>
        <w:rPr>
          <w:spacing w:val="-1"/>
          <w:sz w:val="21"/>
        </w:rPr>
        <w:t>承包人保证对本工程项目安全生产条件及其管理资源自行投入，保证安全资金的专款专用。</w:t>
      </w:r>
      <w:r>
        <w:rPr>
          <w:sz w:val="21"/>
        </w:rPr>
        <w:t xml:space="preserve"> </w:t>
      </w:r>
    </w:p>
    <w:p w14:paraId="6B1A7BF1">
      <w:pPr>
        <w:pStyle w:val="17"/>
        <w:spacing w:before="4"/>
        <w:rPr>
          <w:sz w:val="15"/>
        </w:rPr>
      </w:pPr>
    </w:p>
    <w:p w14:paraId="6E72F07F">
      <w:pPr>
        <w:pStyle w:val="317"/>
        <w:numPr>
          <w:ilvl w:val="0"/>
          <w:numId w:val="93"/>
        </w:numPr>
        <w:tabs>
          <w:tab w:val="left" w:pos="898"/>
        </w:tabs>
        <w:spacing w:line="415" w:lineRule="auto"/>
        <w:ind w:left="161" w:right="1303" w:firstLine="420"/>
        <w:jc w:val="left"/>
        <w:rPr>
          <w:sz w:val="21"/>
        </w:rPr>
      </w:pPr>
      <w:r>
        <w:rPr>
          <w:sz w:val="21"/>
        </w:rPr>
        <w:t>承包人保证建立本工程项目的安全管理体系及安全保证体系（</w:t>
      </w:r>
      <w:r>
        <w:rPr>
          <w:spacing w:val="-1"/>
          <w:sz w:val="21"/>
        </w:rPr>
        <w:t>注：项目安全管理大纲</w:t>
      </w:r>
      <w:r>
        <w:rPr>
          <w:sz w:val="21"/>
        </w:rPr>
        <w:t xml:space="preserve">/手册、管理性的程序文件等）。 </w:t>
      </w:r>
    </w:p>
    <w:p w14:paraId="744995D8">
      <w:pPr>
        <w:pStyle w:val="317"/>
        <w:numPr>
          <w:ilvl w:val="0"/>
          <w:numId w:val="93"/>
        </w:numPr>
        <w:tabs>
          <w:tab w:val="left" w:pos="898"/>
        </w:tabs>
        <w:ind w:left="898"/>
        <w:jc w:val="left"/>
        <w:rPr>
          <w:sz w:val="21"/>
        </w:rPr>
      </w:pPr>
      <w:r>
        <w:rPr>
          <w:spacing w:val="-1"/>
          <w:sz w:val="21"/>
        </w:rPr>
        <w:t>承包人保证现场的安全管理专职人员必须持有建设主管部门安全生产培训考核合格证书。</w:t>
      </w:r>
      <w:r>
        <w:rPr>
          <w:sz w:val="21"/>
        </w:rPr>
        <w:t xml:space="preserve"> </w:t>
      </w:r>
    </w:p>
    <w:p w14:paraId="13A80AAD">
      <w:pPr>
        <w:pStyle w:val="17"/>
        <w:spacing w:before="6"/>
        <w:rPr>
          <w:sz w:val="16"/>
        </w:rPr>
      </w:pPr>
    </w:p>
    <w:p w14:paraId="0A516FFD">
      <w:pPr>
        <w:pStyle w:val="317"/>
        <w:numPr>
          <w:ilvl w:val="0"/>
          <w:numId w:val="93"/>
        </w:numPr>
        <w:tabs>
          <w:tab w:val="left" w:pos="898"/>
        </w:tabs>
        <w:spacing w:line="415" w:lineRule="auto"/>
        <w:ind w:left="161" w:right="1304" w:firstLine="420"/>
        <w:jc w:val="left"/>
        <w:rPr>
          <w:sz w:val="21"/>
        </w:rPr>
      </w:pPr>
      <w:r>
        <w:rPr>
          <w:sz w:val="21"/>
        </w:rPr>
        <w:t>承包人保证为现场所有工作人员（含分包商员工及劳务人员）</w:t>
      </w:r>
      <w:r>
        <w:rPr>
          <w:spacing w:val="-1"/>
          <w:sz w:val="21"/>
        </w:rPr>
        <w:t>配备符合国家标准的有承包人和</w:t>
      </w:r>
      <w:r>
        <w:rPr>
          <w:sz w:val="21"/>
        </w:rPr>
        <w:t xml:space="preserve">/ </w:t>
      </w:r>
      <w:r>
        <w:rPr>
          <w:spacing w:val="-1"/>
          <w:sz w:val="21"/>
        </w:rPr>
        <w:t>或其下属分包商标志的个人基本劳动保护用品。</w:t>
      </w:r>
      <w:r>
        <w:rPr>
          <w:sz w:val="21"/>
        </w:rPr>
        <w:t xml:space="preserve"> </w:t>
      </w:r>
    </w:p>
    <w:p w14:paraId="0105DE34">
      <w:pPr>
        <w:pStyle w:val="317"/>
        <w:numPr>
          <w:ilvl w:val="0"/>
          <w:numId w:val="93"/>
        </w:numPr>
        <w:tabs>
          <w:tab w:val="left" w:pos="1003"/>
        </w:tabs>
        <w:spacing w:line="415" w:lineRule="auto"/>
        <w:ind w:left="161" w:right="1303" w:firstLine="420"/>
        <w:jc w:val="left"/>
        <w:rPr>
          <w:sz w:val="21"/>
        </w:rPr>
      </w:pPr>
      <w:r>
        <w:rPr>
          <w:sz w:val="21"/>
        </w:rPr>
        <w:t>承包人保证按照国家法律规定为现场所有工作人员（含分包商员工及劳务人员）</w:t>
      </w:r>
      <w:r>
        <w:rPr>
          <w:spacing w:val="-3"/>
          <w:sz w:val="21"/>
        </w:rPr>
        <w:t xml:space="preserve">购买意外伤害保险。 </w:t>
      </w:r>
    </w:p>
    <w:p w14:paraId="72B739D8">
      <w:pPr>
        <w:pStyle w:val="317"/>
        <w:numPr>
          <w:ilvl w:val="0"/>
          <w:numId w:val="93"/>
        </w:numPr>
        <w:tabs>
          <w:tab w:val="left" w:pos="1003"/>
        </w:tabs>
        <w:spacing w:line="429" w:lineRule="auto"/>
        <w:ind w:left="161" w:right="1296" w:firstLine="420"/>
        <w:jc w:val="left"/>
        <w:rPr>
          <w:sz w:val="21"/>
        </w:rPr>
      </w:pPr>
      <w:r>
        <w:rPr>
          <w:sz w:val="21"/>
        </w:rPr>
        <w:t>承包人保证施工生活营地（包括自建的和租用的营地）满足消防、安全用电、卫生防疫、防暴</w:t>
      </w:r>
      <w:r>
        <w:rPr>
          <w:spacing w:val="-1"/>
          <w:sz w:val="21"/>
        </w:rPr>
        <w:t>雨、防雷击等方面的安全要求。</w:t>
      </w:r>
      <w:r>
        <w:rPr>
          <w:sz w:val="21"/>
        </w:rPr>
        <w:t xml:space="preserve"> </w:t>
      </w:r>
    </w:p>
    <w:p w14:paraId="55622E4A">
      <w:pPr>
        <w:pStyle w:val="317"/>
        <w:numPr>
          <w:ilvl w:val="0"/>
          <w:numId w:val="93"/>
        </w:numPr>
        <w:tabs>
          <w:tab w:val="left" w:pos="1003"/>
        </w:tabs>
        <w:spacing w:line="251" w:lineRule="exact"/>
        <w:ind w:left="1003" w:hanging="422"/>
        <w:jc w:val="left"/>
        <w:rPr>
          <w:sz w:val="21"/>
        </w:rPr>
      </w:pPr>
      <w:r>
        <w:rPr>
          <w:sz w:val="21"/>
        </w:rPr>
        <w:t>承包人保证对带入现场的设备、工具、材料按照国家法规和标准进行检测、试验，并持有法定</w:t>
      </w:r>
    </w:p>
    <w:p w14:paraId="3E597B88">
      <w:pPr>
        <w:pStyle w:val="17"/>
        <w:spacing w:before="4"/>
        <w:rPr>
          <w:sz w:val="15"/>
        </w:rPr>
      </w:pPr>
    </w:p>
    <w:p w14:paraId="44C44018">
      <w:pPr>
        <w:pStyle w:val="17"/>
        <w:spacing w:line="415" w:lineRule="auto"/>
        <w:ind w:left="581" w:right="1296" w:hanging="421"/>
      </w:pPr>
      <w:r>
        <w:t>部门出具的检验证书。                                                                   13．承包人保证制订施工现场的文明施工措施，保护环境、树木和植被，保持施工现场的良好秩序</w:t>
      </w:r>
    </w:p>
    <w:p w14:paraId="0A6E9236">
      <w:pPr>
        <w:pStyle w:val="17"/>
        <w:spacing w:before="1" w:line="429" w:lineRule="auto"/>
        <w:ind w:left="581" w:right="1296" w:hanging="421"/>
      </w:pPr>
      <w:r>
        <w:t>和整洁的作业环境。                                                                     14．承包人负责在施工过程中与当地政府、周边群众及其他承包商保持良好的沟通和交流。承包人</w:t>
      </w:r>
    </w:p>
    <w:p w14:paraId="03F2C6A8">
      <w:pPr>
        <w:pStyle w:val="17"/>
        <w:spacing w:line="251" w:lineRule="exact"/>
        <w:ind w:left="161"/>
      </w:pPr>
      <w:r>
        <w:t xml:space="preserve">遇到与周边群众发生纠纷时，应负责协调工作，确保工程能够顺利进行。 </w:t>
      </w:r>
    </w:p>
    <w:p w14:paraId="0E29B2E9">
      <w:pPr>
        <w:pStyle w:val="17"/>
        <w:spacing w:before="4"/>
        <w:rPr>
          <w:sz w:val="15"/>
        </w:rPr>
      </w:pPr>
    </w:p>
    <w:p w14:paraId="40740B6D">
      <w:pPr>
        <w:pStyle w:val="17"/>
        <w:ind w:left="581"/>
      </w:pPr>
      <w:r>
        <w:t xml:space="preserve">四、接口及协调 </w:t>
      </w:r>
    </w:p>
    <w:p w14:paraId="2D634DA0">
      <w:pPr>
        <w:pStyle w:val="17"/>
        <w:spacing w:before="4"/>
        <w:rPr>
          <w:sz w:val="15"/>
        </w:rPr>
      </w:pPr>
    </w:p>
    <w:p w14:paraId="09CD8BDC">
      <w:pPr>
        <w:pStyle w:val="317"/>
        <w:numPr>
          <w:ilvl w:val="0"/>
          <w:numId w:val="94"/>
        </w:numPr>
        <w:tabs>
          <w:tab w:val="left" w:pos="898"/>
        </w:tabs>
        <w:spacing w:line="415" w:lineRule="auto"/>
        <w:ind w:right="1163" w:firstLine="420"/>
        <w:jc w:val="left"/>
        <w:rPr>
          <w:sz w:val="21"/>
        </w:rPr>
      </w:pPr>
      <w:r>
        <w:rPr>
          <w:spacing w:val="-5"/>
          <w:sz w:val="21"/>
        </w:rPr>
        <w:t>发包人委托监理公司对该工程实施监理，监理公司在安全管理方面代表发包人行使监督检查职能，承包人必须给予配合和支持。</w:t>
      </w:r>
      <w:r>
        <w:rPr>
          <w:sz w:val="21"/>
        </w:rPr>
        <w:t xml:space="preserve"> </w:t>
      </w:r>
    </w:p>
    <w:p w14:paraId="29CB73AB">
      <w:pPr>
        <w:pStyle w:val="317"/>
        <w:numPr>
          <w:ilvl w:val="0"/>
          <w:numId w:val="94"/>
        </w:numPr>
        <w:tabs>
          <w:tab w:val="left" w:pos="898"/>
        </w:tabs>
        <w:spacing w:before="15" w:line="415" w:lineRule="auto"/>
        <w:ind w:right="1300" w:firstLine="420"/>
        <w:jc w:val="left"/>
        <w:rPr>
          <w:sz w:val="21"/>
        </w:rPr>
      </w:pPr>
      <w:r>
        <w:rPr>
          <w:spacing w:val="-8"/>
          <w:sz w:val="21"/>
        </w:rPr>
        <w:t>承包人人员、车辆的出入，带入现场的设备、机具、材料，在现场使用的或直接管理的办公、生活、生产性设施的安全管理须满足发包人现场管理的基本要求。</w:t>
      </w:r>
      <w:r>
        <w:rPr>
          <w:sz w:val="21"/>
        </w:rPr>
        <w:t xml:space="preserve"> </w:t>
      </w:r>
    </w:p>
    <w:p w14:paraId="25178DD8">
      <w:pPr>
        <w:pStyle w:val="317"/>
        <w:numPr>
          <w:ilvl w:val="0"/>
          <w:numId w:val="94"/>
        </w:numPr>
        <w:tabs>
          <w:tab w:val="left" w:pos="898"/>
        </w:tabs>
        <w:spacing w:line="415" w:lineRule="auto"/>
        <w:ind w:right="1284" w:firstLine="420"/>
        <w:jc w:val="both"/>
        <w:rPr>
          <w:sz w:val="21"/>
        </w:rPr>
      </w:pPr>
      <w:r>
        <w:rPr>
          <w:spacing w:val="-3"/>
          <w:sz w:val="21"/>
        </w:rPr>
        <w:t xml:space="preserve">承包人应指定专职安全管理人员与发包人委托的监理公司接口，参与安全协调和管理。安全协调和管理的内容包括职业健康、工业安全、消防安全、卫生防疫、交通安全、环境保护、治安保卫等各方面。 </w:t>
      </w:r>
    </w:p>
    <w:p w14:paraId="0AB50EED">
      <w:pPr>
        <w:pStyle w:val="317"/>
        <w:numPr>
          <w:ilvl w:val="0"/>
          <w:numId w:val="94"/>
        </w:numPr>
        <w:tabs>
          <w:tab w:val="left" w:pos="898"/>
        </w:tabs>
        <w:spacing w:before="15" w:line="415" w:lineRule="auto"/>
        <w:ind w:right="1288" w:firstLine="420"/>
        <w:jc w:val="left"/>
        <w:rPr>
          <w:sz w:val="21"/>
        </w:rPr>
      </w:pPr>
      <w:r>
        <w:rPr>
          <w:spacing w:val="-3"/>
          <w:sz w:val="21"/>
        </w:rPr>
        <w:t>承包人的专职安全管理人员应具备协调安全工作的能力和授权。发包人委托的监理公司有权对专职安全管理人员的能力和权力做出评价，对于不能胜任的专职安全管理人员，发包人委托的监理公司有</w:t>
      </w:r>
    </w:p>
    <w:p w14:paraId="259705D6">
      <w:pPr>
        <w:spacing w:line="415" w:lineRule="auto"/>
        <w:rPr>
          <w:sz w:val="21"/>
        </w:rPr>
        <w:sectPr>
          <w:pgSz w:w="11910" w:h="16850"/>
          <w:pgMar w:top="1360" w:right="0" w:bottom="1180" w:left="980" w:header="0" w:footer="996" w:gutter="0"/>
          <w:cols w:space="720" w:num="1"/>
        </w:sectPr>
      </w:pPr>
    </w:p>
    <w:p w14:paraId="03EAD5FE">
      <w:pPr>
        <w:pStyle w:val="17"/>
        <w:spacing w:before="46"/>
        <w:ind w:left="326"/>
      </w:pPr>
      <w:r>
        <w:t xml:space="preserve">权要求承包人换人。 </w:t>
      </w:r>
    </w:p>
    <w:p w14:paraId="6D7C3E8F">
      <w:pPr>
        <w:pStyle w:val="17"/>
        <w:spacing w:before="4"/>
        <w:rPr>
          <w:sz w:val="15"/>
        </w:rPr>
      </w:pPr>
    </w:p>
    <w:p w14:paraId="0583897C">
      <w:pPr>
        <w:pStyle w:val="317"/>
        <w:numPr>
          <w:ilvl w:val="0"/>
          <w:numId w:val="94"/>
        </w:numPr>
        <w:tabs>
          <w:tab w:val="left" w:pos="1064"/>
        </w:tabs>
        <w:spacing w:line="415" w:lineRule="auto"/>
        <w:ind w:left="326" w:right="1118" w:firstLine="420"/>
        <w:jc w:val="left"/>
        <w:rPr>
          <w:sz w:val="21"/>
        </w:rPr>
      </w:pPr>
      <w:r>
        <w:rPr>
          <w:spacing w:val="-2"/>
          <w:sz w:val="21"/>
        </w:rPr>
        <w:t xml:space="preserve">承包人指定的专职安全管理人员应与发包人委托的监理公司建立联系，在业务上接受发包人委托的监理公司的协调和指导。 </w:t>
      </w:r>
    </w:p>
    <w:p w14:paraId="3760E2F4">
      <w:pPr>
        <w:pStyle w:val="317"/>
        <w:numPr>
          <w:ilvl w:val="0"/>
          <w:numId w:val="94"/>
        </w:numPr>
        <w:tabs>
          <w:tab w:val="left" w:pos="1064"/>
        </w:tabs>
        <w:spacing w:before="15" w:line="415" w:lineRule="auto"/>
        <w:ind w:left="326" w:right="998" w:firstLine="420"/>
        <w:jc w:val="left"/>
        <w:rPr>
          <w:sz w:val="21"/>
        </w:rPr>
      </w:pPr>
      <w:r>
        <w:rPr>
          <w:spacing w:val="-3"/>
          <w:sz w:val="21"/>
        </w:rPr>
        <w:t>开工后承包人的专职安全管理人员应按照发包人委托的监理公司的规定，定期报送安全月度快报、季报、年报和各种专项事故报告等。</w:t>
      </w:r>
      <w:r>
        <w:rPr>
          <w:sz w:val="21"/>
        </w:rPr>
        <w:t xml:space="preserve"> </w:t>
      </w:r>
    </w:p>
    <w:p w14:paraId="694130B9">
      <w:pPr>
        <w:pStyle w:val="317"/>
        <w:numPr>
          <w:ilvl w:val="0"/>
          <w:numId w:val="94"/>
        </w:numPr>
        <w:tabs>
          <w:tab w:val="left" w:pos="1064"/>
        </w:tabs>
        <w:spacing w:line="415" w:lineRule="auto"/>
        <w:ind w:left="746" w:right="1019" w:firstLine="0"/>
        <w:jc w:val="left"/>
        <w:rPr>
          <w:sz w:val="21"/>
        </w:rPr>
      </w:pPr>
      <w:r>
        <w:rPr>
          <w:spacing w:val="-4"/>
          <w:sz w:val="21"/>
        </w:rPr>
        <w:t>在工程实体未全部正式移交发包人施工管理部门之前，承包人依旧对施工范围内的安全管理负责</w:t>
      </w:r>
      <w:r>
        <w:rPr>
          <w:spacing w:val="-127"/>
          <w:sz w:val="21"/>
        </w:rPr>
        <w:t>。</w:t>
      </w:r>
      <w:r>
        <w:rPr>
          <w:sz w:val="21"/>
        </w:rPr>
        <w:t xml:space="preserve">五、安全资质审查 </w:t>
      </w:r>
    </w:p>
    <w:p w14:paraId="425F9681">
      <w:pPr>
        <w:pStyle w:val="17"/>
        <w:spacing w:line="427" w:lineRule="auto"/>
        <w:ind w:left="746" w:right="1441"/>
      </w:pPr>
      <w:r>
        <w:t xml:space="preserve">承包人在项目开工前 5 个工作天内向发包人委托的监理公司提供以下安全资质供审查和存档： 1．企业安全生产许可证书复印件。 </w:t>
      </w:r>
    </w:p>
    <w:p w14:paraId="07BB3D72">
      <w:pPr>
        <w:pStyle w:val="317"/>
        <w:numPr>
          <w:ilvl w:val="0"/>
          <w:numId w:val="95"/>
        </w:numPr>
        <w:tabs>
          <w:tab w:val="left" w:pos="1064"/>
        </w:tabs>
        <w:spacing w:line="257" w:lineRule="exact"/>
        <w:ind w:hanging="318"/>
        <w:rPr>
          <w:sz w:val="21"/>
        </w:rPr>
      </w:pPr>
      <w:r>
        <w:rPr>
          <w:spacing w:val="-1"/>
          <w:sz w:val="21"/>
        </w:rPr>
        <w:t>企业近三年的施工简历及安全施工业绩证明文件。</w:t>
      </w:r>
      <w:r>
        <w:rPr>
          <w:sz w:val="21"/>
        </w:rPr>
        <w:t xml:space="preserve"> </w:t>
      </w:r>
    </w:p>
    <w:p w14:paraId="433A467F">
      <w:pPr>
        <w:pStyle w:val="17"/>
        <w:spacing w:before="4"/>
        <w:rPr>
          <w:sz w:val="15"/>
        </w:rPr>
      </w:pPr>
    </w:p>
    <w:p w14:paraId="3B3F7F20">
      <w:pPr>
        <w:pStyle w:val="317"/>
        <w:numPr>
          <w:ilvl w:val="0"/>
          <w:numId w:val="95"/>
        </w:numPr>
        <w:tabs>
          <w:tab w:val="left" w:pos="1064"/>
        </w:tabs>
        <w:spacing w:line="415" w:lineRule="auto"/>
        <w:ind w:left="326" w:right="1104" w:firstLine="420"/>
        <w:rPr>
          <w:sz w:val="21"/>
        </w:rPr>
      </w:pPr>
      <w:r>
        <w:rPr>
          <w:spacing w:val="-2"/>
          <w:sz w:val="21"/>
        </w:rPr>
        <w:t>企业主要安全管理人员</w:t>
      </w:r>
      <w:r>
        <w:rPr>
          <w:sz w:val="21"/>
        </w:rPr>
        <w:t>（</w:t>
      </w:r>
      <w:r>
        <w:rPr>
          <w:spacing w:val="-4"/>
          <w:sz w:val="21"/>
        </w:rPr>
        <w:t>包括项目经理、专职安全管理人员</w:t>
      </w:r>
      <w:r>
        <w:rPr>
          <w:spacing w:val="-15"/>
          <w:sz w:val="21"/>
        </w:rPr>
        <w:t>）</w:t>
      </w:r>
      <w:r>
        <w:rPr>
          <w:sz w:val="21"/>
        </w:rPr>
        <w:t xml:space="preserve">经建设主管部门安全生产知识考核合格证书。 </w:t>
      </w:r>
    </w:p>
    <w:p w14:paraId="114CA3AF">
      <w:pPr>
        <w:pStyle w:val="317"/>
        <w:numPr>
          <w:ilvl w:val="0"/>
          <w:numId w:val="95"/>
        </w:numPr>
        <w:tabs>
          <w:tab w:val="left" w:pos="1064"/>
        </w:tabs>
        <w:ind w:hanging="318"/>
        <w:rPr>
          <w:sz w:val="21"/>
        </w:rPr>
      </w:pPr>
      <w:r>
        <w:rPr>
          <w:spacing w:val="-1"/>
          <w:sz w:val="21"/>
        </w:rPr>
        <w:t>特种作业人员资格证书。</w:t>
      </w:r>
      <w:r>
        <w:rPr>
          <w:sz w:val="21"/>
        </w:rPr>
        <w:t xml:space="preserve"> </w:t>
      </w:r>
    </w:p>
    <w:p w14:paraId="190159CC">
      <w:pPr>
        <w:pStyle w:val="17"/>
        <w:spacing w:before="7"/>
        <w:rPr>
          <w:sz w:val="16"/>
        </w:rPr>
      </w:pPr>
    </w:p>
    <w:p w14:paraId="6DB55225">
      <w:pPr>
        <w:pStyle w:val="317"/>
        <w:numPr>
          <w:ilvl w:val="0"/>
          <w:numId w:val="95"/>
        </w:numPr>
        <w:tabs>
          <w:tab w:val="left" w:pos="1064"/>
        </w:tabs>
        <w:ind w:hanging="318"/>
        <w:rPr>
          <w:sz w:val="21"/>
        </w:rPr>
      </w:pPr>
      <w:r>
        <w:rPr>
          <w:sz w:val="21"/>
        </w:rPr>
        <w:t>项目安全管理机构及其人员配备（承包人必须配有专职的安全员）</w:t>
      </w:r>
      <w:r>
        <w:rPr>
          <w:spacing w:val="-8"/>
          <w:sz w:val="21"/>
        </w:rPr>
        <w:t>。</w:t>
      </w:r>
      <w:r>
        <w:rPr>
          <w:sz w:val="21"/>
        </w:rPr>
        <w:t xml:space="preserve"> </w:t>
      </w:r>
    </w:p>
    <w:p w14:paraId="3BA6BF02">
      <w:pPr>
        <w:pStyle w:val="17"/>
        <w:spacing w:before="3"/>
        <w:rPr>
          <w:sz w:val="15"/>
        </w:rPr>
      </w:pPr>
    </w:p>
    <w:p w14:paraId="18712BBB">
      <w:pPr>
        <w:pStyle w:val="317"/>
        <w:numPr>
          <w:ilvl w:val="0"/>
          <w:numId w:val="95"/>
        </w:numPr>
        <w:tabs>
          <w:tab w:val="left" w:pos="1064"/>
        </w:tabs>
        <w:spacing w:line="415" w:lineRule="auto"/>
        <w:ind w:left="746" w:right="2402" w:firstLine="0"/>
        <w:rPr>
          <w:sz w:val="21"/>
        </w:rPr>
      </w:pPr>
      <w:r>
        <w:rPr>
          <w:sz w:val="21"/>
        </w:rPr>
        <w:t>适用于项目的安全管理体系及保证体系文件（安全管理大纲及管理程序文件）</w:t>
      </w:r>
      <w:r>
        <w:rPr>
          <w:spacing w:val="-8"/>
          <w:sz w:val="21"/>
        </w:rPr>
        <w:t>。</w:t>
      </w:r>
      <w:r>
        <w:rPr>
          <w:sz w:val="21"/>
        </w:rPr>
        <w:t xml:space="preserve">六、人员基本素质 </w:t>
      </w:r>
    </w:p>
    <w:p w14:paraId="7EA92049">
      <w:pPr>
        <w:pStyle w:val="17"/>
        <w:spacing w:before="1"/>
        <w:ind w:left="746"/>
      </w:pPr>
      <w:r>
        <w:t xml:space="preserve">承包人提供的人员必须满足下列要求： </w:t>
      </w:r>
    </w:p>
    <w:p w14:paraId="098C3D40">
      <w:pPr>
        <w:pStyle w:val="17"/>
        <w:spacing w:before="4"/>
        <w:rPr>
          <w:sz w:val="15"/>
        </w:rPr>
      </w:pPr>
    </w:p>
    <w:p w14:paraId="0BDE913E">
      <w:pPr>
        <w:pStyle w:val="317"/>
        <w:numPr>
          <w:ilvl w:val="0"/>
          <w:numId w:val="96"/>
        </w:numPr>
        <w:tabs>
          <w:tab w:val="left" w:pos="1064"/>
        </w:tabs>
        <w:spacing w:line="422" w:lineRule="auto"/>
        <w:ind w:right="1104" w:firstLine="420"/>
        <w:jc w:val="both"/>
        <w:rPr>
          <w:sz w:val="21"/>
        </w:rPr>
      </w:pPr>
      <w:r>
        <w:rPr>
          <w:spacing w:val="-6"/>
          <w:sz w:val="21"/>
        </w:rPr>
        <w:t xml:space="preserve">身体健康，无影响工作的精神疾病、无传染病和其他重大疾病；承包人需对其雇用的施工人员签发健康声明并保证其健康。其中体检证明材料（县级以上医院）和健康声明作为人员办理入场证件的必备材料。 </w:t>
      </w:r>
    </w:p>
    <w:p w14:paraId="055FFC13">
      <w:pPr>
        <w:pStyle w:val="317"/>
        <w:numPr>
          <w:ilvl w:val="0"/>
          <w:numId w:val="96"/>
        </w:numPr>
        <w:tabs>
          <w:tab w:val="left" w:pos="1064"/>
        </w:tabs>
        <w:spacing w:line="259" w:lineRule="exact"/>
        <w:ind w:left="1063" w:hanging="318"/>
        <w:rPr>
          <w:sz w:val="21"/>
        </w:rPr>
      </w:pPr>
      <w:r>
        <w:rPr>
          <w:sz w:val="21"/>
        </w:rPr>
        <w:t xml:space="preserve">无刑事案件牵连。 </w:t>
      </w:r>
    </w:p>
    <w:p w14:paraId="5D2E64FD">
      <w:pPr>
        <w:pStyle w:val="17"/>
        <w:spacing w:before="4"/>
        <w:rPr>
          <w:sz w:val="15"/>
        </w:rPr>
      </w:pPr>
    </w:p>
    <w:p w14:paraId="3FDAC5D5">
      <w:pPr>
        <w:pStyle w:val="317"/>
        <w:numPr>
          <w:ilvl w:val="0"/>
          <w:numId w:val="96"/>
        </w:numPr>
        <w:tabs>
          <w:tab w:val="left" w:pos="1064"/>
        </w:tabs>
        <w:spacing w:line="415" w:lineRule="auto"/>
        <w:ind w:left="746" w:right="5346" w:firstLine="0"/>
        <w:rPr>
          <w:sz w:val="21"/>
        </w:rPr>
      </w:pPr>
      <w:r>
        <w:rPr>
          <w:spacing w:val="-1"/>
          <w:sz w:val="21"/>
        </w:rPr>
        <w:t>无吸毒、酗酒、赌博、嫖娼等恶习及违法行为。</w:t>
      </w:r>
      <w:r>
        <w:rPr>
          <w:sz w:val="21"/>
        </w:rPr>
        <w:t xml:space="preserve">七、劳动保护 </w:t>
      </w:r>
    </w:p>
    <w:p w14:paraId="532E7B53">
      <w:pPr>
        <w:pStyle w:val="317"/>
        <w:numPr>
          <w:ilvl w:val="0"/>
          <w:numId w:val="97"/>
        </w:numPr>
        <w:tabs>
          <w:tab w:val="left" w:pos="1064"/>
        </w:tabs>
        <w:spacing w:before="15" w:line="415" w:lineRule="auto"/>
        <w:ind w:right="1104" w:firstLine="420"/>
        <w:rPr>
          <w:sz w:val="21"/>
        </w:rPr>
      </w:pPr>
      <w:r>
        <w:rPr>
          <w:spacing w:val="-1"/>
          <w:sz w:val="21"/>
        </w:rPr>
        <w:t>承包人负责为本单位任何用工形式的员工提供个人劳动保护用品</w:t>
      </w:r>
      <w:r>
        <w:rPr>
          <w:sz w:val="21"/>
        </w:rPr>
        <w:t>（</w:t>
      </w:r>
      <w:r>
        <w:rPr>
          <w:spacing w:val="-6"/>
          <w:sz w:val="21"/>
        </w:rPr>
        <w:t xml:space="preserve">包括工作服、安全帽、安全鞋等）。 </w:t>
      </w:r>
    </w:p>
    <w:p w14:paraId="6E0E1AC8">
      <w:pPr>
        <w:pStyle w:val="317"/>
        <w:numPr>
          <w:ilvl w:val="0"/>
          <w:numId w:val="97"/>
        </w:numPr>
        <w:tabs>
          <w:tab w:val="left" w:pos="1064"/>
        </w:tabs>
        <w:spacing w:line="269" w:lineRule="exact"/>
        <w:ind w:left="1063" w:hanging="318"/>
        <w:rPr>
          <w:sz w:val="21"/>
        </w:rPr>
      </w:pPr>
      <w:r>
        <w:rPr>
          <w:spacing w:val="-1"/>
          <w:sz w:val="21"/>
        </w:rPr>
        <w:t>承包人负责向特殊工种的员工提供特殊劳动保护，否则不得从事特殊工种作业。</w:t>
      </w:r>
      <w:r>
        <w:rPr>
          <w:sz w:val="21"/>
        </w:rPr>
        <w:t xml:space="preserve"> </w:t>
      </w:r>
    </w:p>
    <w:p w14:paraId="6452E7AE">
      <w:pPr>
        <w:pStyle w:val="17"/>
        <w:spacing w:before="4"/>
        <w:rPr>
          <w:sz w:val="15"/>
        </w:rPr>
      </w:pPr>
    </w:p>
    <w:p w14:paraId="49EC3027">
      <w:pPr>
        <w:pStyle w:val="317"/>
        <w:numPr>
          <w:ilvl w:val="0"/>
          <w:numId w:val="97"/>
        </w:numPr>
        <w:tabs>
          <w:tab w:val="left" w:pos="1064"/>
        </w:tabs>
        <w:ind w:left="1063" w:hanging="318"/>
        <w:rPr>
          <w:sz w:val="21"/>
        </w:rPr>
      </w:pPr>
      <w:r>
        <w:rPr>
          <w:spacing w:val="-1"/>
          <w:sz w:val="21"/>
        </w:rPr>
        <w:t>发包人委托的监理公司有权检查承包人的个人劳动保护用品是否符合国家的相应标准。</w:t>
      </w:r>
      <w:r>
        <w:rPr>
          <w:sz w:val="21"/>
        </w:rPr>
        <w:t xml:space="preserve"> </w:t>
      </w:r>
    </w:p>
    <w:p w14:paraId="3908A320">
      <w:pPr>
        <w:pStyle w:val="17"/>
        <w:spacing w:before="4"/>
        <w:rPr>
          <w:sz w:val="15"/>
        </w:rPr>
      </w:pPr>
    </w:p>
    <w:p w14:paraId="16175D4F">
      <w:pPr>
        <w:pStyle w:val="317"/>
        <w:numPr>
          <w:ilvl w:val="0"/>
          <w:numId w:val="97"/>
        </w:numPr>
        <w:tabs>
          <w:tab w:val="left" w:pos="1064"/>
        </w:tabs>
        <w:spacing w:before="1" w:line="429" w:lineRule="auto"/>
        <w:ind w:right="1133" w:firstLine="420"/>
        <w:rPr>
          <w:sz w:val="21"/>
        </w:rPr>
      </w:pPr>
      <w:r>
        <w:rPr>
          <w:sz w:val="21"/>
        </w:rPr>
        <w:t xml:space="preserve">承包人在特殊风险场所作业而需要特殊防护用品或安全仪表时，必须在上述防护用品全部到位后才能开工。 </w:t>
      </w:r>
    </w:p>
    <w:p w14:paraId="6FEBD5AD">
      <w:pPr>
        <w:pStyle w:val="317"/>
        <w:numPr>
          <w:ilvl w:val="0"/>
          <w:numId w:val="97"/>
        </w:numPr>
        <w:tabs>
          <w:tab w:val="left" w:pos="1064"/>
        </w:tabs>
        <w:spacing w:line="252" w:lineRule="exact"/>
        <w:ind w:left="1063" w:hanging="318"/>
        <w:rPr>
          <w:sz w:val="21"/>
        </w:rPr>
      </w:pPr>
      <w:r>
        <w:rPr>
          <w:spacing w:val="-1"/>
          <w:sz w:val="21"/>
        </w:rPr>
        <w:t>承包人应配备临时安全围栏、警示带、警告标志、防火布等集体防护用品。</w:t>
      </w:r>
      <w:r>
        <w:rPr>
          <w:sz w:val="21"/>
        </w:rPr>
        <w:t xml:space="preserve"> </w:t>
      </w:r>
    </w:p>
    <w:p w14:paraId="77F45113">
      <w:pPr>
        <w:spacing w:line="252" w:lineRule="exact"/>
        <w:rPr>
          <w:sz w:val="21"/>
        </w:rPr>
        <w:sectPr>
          <w:pgSz w:w="11910" w:h="16850"/>
          <w:pgMar w:top="1360" w:right="0" w:bottom="1180" w:left="980" w:header="0" w:footer="996" w:gutter="0"/>
          <w:cols w:space="720" w:num="1"/>
        </w:sectPr>
      </w:pPr>
    </w:p>
    <w:p w14:paraId="158D2BF8">
      <w:pPr>
        <w:pStyle w:val="17"/>
        <w:spacing w:before="46" w:line="415" w:lineRule="auto"/>
        <w:ind w:left="581" w:right="5089"/>
      </w:pPr>
      <w:r>
        <w:t>八、施工机具与材料                              1．</w:t>
      </w:r>
      <w:r>
        <w:rPr>
          <w:spacing w:val="-1"/>
        </w:rPr>
        <w:t>承包人对带入现场的施工机械和工器具的安全负责。</w:t>
      </w:r>
      <w:r>
        <w:t xml:space="preserve"> </w:t>
      </w:r>
    </w:p>
    <w:p w14:paraId="3E09C6D6">
      <w:pPr>
        <w:pStyle w:val="317"/>
        <w:numPr>
          <w:ilvl w:val="0"/>
          <w:numId w:val="98"/>
        </w:numPr>
        <w:tabs>
          <w:tab w:val="left" w:pos="898"/>
        </w:tabs>
        <w:spacing w:line="429" w:lineRule="auto"/>
        <w:ind w:right="1285" w:firstLine="420"/>
        <w:rPr>
          <w:sz w:val="21"/>
        </w:rPr>
      </w:pPr>
      <w:r>
        <w:rPr>
          <w:spacing w:val="-5"/>
          <w:sz w:val="21"/>
        </w:rPr>
        <w:t>对于承包人带入现场的特殊工器具，如起重设备、索具、机动车辆、压缩气瓶等，承包人必须按</w:t>
      </w:r>
      <w:r>
        <w:rPr>
          <w:spacing w:val="-6"/>
          <w:sz w:val="21"/>
        </w:rPr>
        <w:t>国家法规和标准进行检测、试验，并持有法定部门出具的检验证书。</w:t>
      </w:r>
      <w:r>
        <w:rPr>
          <w:sz w:val="21"/>
        </w:rPr>
        <w:t xml:space="preserve"> </w:t>
      </w:r>
    </w:p>
    <w:p w14:paraId="72B7CFC3">
      <w:pPr>
        <w:pStyle w:val="317"/>
        <w:numPr>
          <w:ilvl w:val="0"/>
          <w:numId w:val="98"/>
        </w:numPr>
        <w:tabs>
          <w:tab w:val="left" w:pos="898"/>
        </w:tabs>
        <w:spacing w:line="252" w:lineRule="exact"/>
        <w:ind w:left="898" w:hanging="317"/>
        <w:rPr>
          <w:sz w:val="21"/>
        </w:rPr>
      </w:pPr>
      <w:r>
        <w:rPr>
          <w:spacing w:val="-5"/>
          <w:sz w:val="21"/>
        </w:rPr>
        <w:t>对于不属于法定检测的工器具，承包人也必须建立相应的管理、检测制度，这些工器具包括登高</w:t>
      </w:r>
    </w:p>
    <w:p w14:paraId="3570B545">
      <w:pPr>
        <w:pStyle w:val="17"/>
        <w:spacing w:before="4"/>
        <w:rPr>
          <w:sz w:val="15"/>
        </w:rPr>
      </w:pPr>
    </w:p>
    <w:p w14:paraId="354470E1">
      <w:pPr>
        <w:pStyle w:val="17"/>
        <w:spacing w:line="415" w:lineRule="auto"/>
        <w:ind w:left="581" w:right="5406" w:hanging="421"/>
      </w:pPr>
      <w:r>
        <w:t xml:space="preserve">工具、脚手架材料、电动工具、安全防护设备及用具等。九、开工前安全条件检查 </w:t>
      </w:r>
    </w:p>
    <w:p w14:paraId="3EB6BB62">
      <w:pPr>
        <w:pStyle w:val="317"/>
        <w:numPr>
          <w:ilvl w:val="0"/>
          <w:numId w:val="99"/>
        </w:numPr>
        <w:tabs>
          <w:tab w:val="left" w:pos="898"/>
        </w:tabs>
        <w:spacing w:line="422" w:lineRule="auto"/>
        <w:ind w:right="1272" w:firstLine="420"/>
        <w:jc w:val="both"/>
        <w:rPr>
          <w:sz w:val="21"/>
        </w:rPr>
      </w:pPr>
      <w:r>
        <w:rPr>
          <w:spacing w:val="-4"/>
          <w:sz w:val="21"/>
        </w:rPr>
        <w:t xml:space="preserve">发包人委托的监理公司将在合同生效后，工程项目正式开工 </w:t>
      </w:r>
      <w:r>
        <w:rPr>
          <w:sz w:val="21"/>
        </w:rPr>
        <w:t>5</w:t>
      </w:r>
      <w:r>
        <w:rPr>
          <w:spacing w:val="-9"/>
          <w:sz w:val="21"/>
        </w:rPr>
        <w:t xml:space="preserve"> 个工作日前，依据合同安全条款的要求逐项对承包人安全准备情况进行检查。不满足开工安全条件时，承包人将不得开工，由此产生的工期和成本的影响，由承包人自行负责。</w:t>
      </w:r>
      <w:r>
        <w:rPr>
          <w:sz w:val="21"/>
        </w:rPr>
        <w:t xml:space="preserve"> </w:t>
      </w:r>
    </w:p>
    <w:p w14:paraId="00EB9C36">
      <w:pPr>
        <w:pStyle w:val="317"/>
        <w:numPr>
          <w:ilvl w:val="0"/>
          <w:numId w:val="99"/>
        </w:numPr>
        <w:tabs>
          <w:tab w:val="left" w:pos="898"/>
        </w:tabs>
        <w:spacing w:line="415" w:lineRule="auto"/>
        <w:ind w:right="1270" w:firstLine="420"/>
        <w:jc w:val="both"/>
        <w:rPr>
          <w:sz w:val="21"/>
        </w:rPr>
      </w:pPr>
      <w:r>
        <w:rPr>
          <w:spacing w:val="-4"/>
          <w:sz w:val="21"/>
        </w:rPr>
        <w:t>开工前安全条件检查的基本内容包括：安全管理体系建设、安全资金投入、危险源识别和安全风险分析、施工机械的安全状况、安全工器具和材料、安全培训教材和教员、专职安全人员的到岗情况、</w:t>
      </w:r>
      <w:r>
        <w:rPr>
          <w:spacing w:val="-5"/>
          <w:sz w:val="21"/>
        </w:rPr>
        <w:t>培训的有效性、人员控制、个人劳动保护用品配备等内容。</w:t>
      </w:r>
      <w:r>
        <w:rPr>
          <w:sz w:val="21"/>
        </w:rPr>
        <w:t xml:space="preserve"> </w:t>
      </w:r>
    </w:p>
    <w:p w14:paraId="5B72303D">
      <w:pPr>
        <w:pStyle w:val="317"/>
        <w:numPr>
          <w:ilvl w:val="0"/>
          <w:numId w:val="99"/>
        </w:numPr>
        <w:tabs>
          <w:tab w:val="left" w:pos="898"/>
        </w:tabs>
        <w:spacing w:before="5" w:line="415" w:lineRule="auto"/>
        <w:ind w:right="1270" w:firstLine="420"/>
        <w:rPr>
          <w:sz w:val="21"/>
        </w:rPr>
      </w:pPr>
      <w:r>
        <w:rPr>
          <w:spacing w:val="-4"/>
          <w:sz w:val="21"/>
        </w:rPr>
        <w:t>发包人委托的监理公司检查发现的缺陷，承包人应在规定期限内完成整改。对于重大缺陷，发包</w:t>
      </w:r>
      <w:r>
        <w:rPr>
          <w:spacing w:val="-5"/>
          <w:sz w:val="21"/>
        </w:rPr>
        <w:t>人委托的监理公司有权要求承包人推迟开工，由此对工期产生的影响或经济损失，由承包人承担。</w:t>
      </w:r>
      <w:r>
        <w:rPr>
          <w:sz w:val="21"/>
        </w:rPr>
        <w:t xml:space="preserve"> </w:t>
      </w:r>
    </w:p>
    <w:p w14:paraId="07272C2E">
      <w:pPr>
        <w:pStyle w:val="17"/>
        <w:spacing w:line="415" w:lineRule="auto"/>
        <w:ind w:left="581" w:right="4248"/>
      </w:pPr>
      <w:r>
        <w:t>十、安全监督                                            1．</w:t>
      </w:r>
      <w:r>
        <w:rPr>
          <w:spacing w:val="-1"/>
        </w:rPr>
        <w:t>承包人应配备有满足项目安全管理需要的专职安全管理人员。</w:t>
      </w:r>
      <w:r>
        <w:t xml:space="preserve"> </w:t>
      </w:r>
    </w:p>
    <w:p w14:paraId="4CF92CA3">
      <w:pPr>
        <w:pStyle w:val="317"/>
        <w:numPr>
          <w:ilvl w:val="0"/>
          <w:numId w:val="100"/>
        </w:numPr>
        <w:tabs>
          <w:tab w:val="left" w:pos="898"/>
        </w:tabs>
        <w:ind w:hanging="317"/>
        <w:rPr>
          <w:sz w:val="21"/>
        </w:rPr>
      </w:pPr>
      <w:r>
        <w:rPr>
          <w:spacing w:val="-1"/>
          <w:sz w:val="21"/>
        </w:rPr>
        <w:t>承包人的专职安全管理人员必须持建设主管部门颁发的安全生产知识考核合格证书。</w:t>
      </w:r>
      <w:r>
        <w:rPr>
          <w:sz w:val="21"/>
        </w:rPr>
        <w:t xml:space="preserve"> </w:t>
      </w:r>
    </w:p>
    <w:p w14:paraId="621EF87F">
      <w:pPr>
        <w:pStyle w:val="17"/>
        <w:spacing w:before="6"/>
        <w:rPr>
          <w:sz w:val="16"/>
        </w:rPr>
      </w:pPr>
    </w:p>
    <w:p w14:paraId="072B73DA">
      <w:pPr>
        <w:pStyle w:val="317"/>
        <w:numPr>
          <w:ilvl w:val="0"/>
          <w:numId w:val="100"/>
        </w:numPr>
        <w:tabs>
          <w:tab w:val="left" w:pos="898"/>
        </w:tabs>
        <w:spacing w:line="415" w:lineRule="auto"/>
        <w:ind w:left="161" w:right="1284" w:firstLine="420"/>
        <w:rPr>
          <w:sz w:val="21"/>
        </w:rPr>
      </w:pPr>
      <w:r>
        <w:rPr>
          <w:sz w:val="21"/>
        </w:rPr>
        <w:t xml:space="preserve">承包人的专职安全管理人员在业务上接受发包人委托的监理公司和发包人安全管理部门的协调和指导。 </w:t>
      </w:r>
    </w:p>
    <w:p w14:paraId="66A06FC8">
      <w:pPr>
        <w:pStyle w:val="317"/>
        <w:numPr>
          <w:ilvl w:val="0"/>
          <w:numId w:val="100"/>
        </w:numPr>
        <w:tabs>
          <w:tab w:val="left" w:pos="898"/>
        </w:tabs>
        <w:spacing w:line="269" w:lineRule="exact"/>
        <w:ind w:hanging="317"/>
        <w:rPr>
          <w:sz w:val="21"/>
        </w:rPr>
      </w:pPr>
      <w:r>
        <w:rPr>
          <w:spacing w:val="-7"/>
          <w:sz w:val="21"/>
        </w:rPr>
        <w:t>承包人应建立班前安全交底制度；施工期间坚持开展安全检查和日常安全监督并形成相应的记录</w:t>
      </w:r>
      <w:r>
        <w:rPr>
          <w:spacing w:val="-126"/>
          <w:sz w:val="21"/>
        </w:rPr>
        <w:t>。</w:t>
      </w:r>
      <w:r>
        <w:rPr>
          <w:sz w:val="21"/>
        </w:rPr>
        <w:t xml:space="preserve"> </w:t>
      </w:r>
    </w:p>
    <w:p w14:paraId="4400CC94">
      <w:pPr>
        <w:pStyle w:val="17"/>
        <w:spacing w:before="5"/>
        <w:rPr>
          <w:sz w:val="15"/>
        </w:rPr>
      </w:pPr>
    </w:p>
    <w:p w14:paraId="2B33ED22">
      <w:pPr>
        <w:pStyle w:val="317"/>
        <w:numPr>
          <w:ilvl w:val="0"/>
          <w:numId w:val="100"/>
        </w:numPr>
        <w:tabs>
          <w:tab w:val="left" w:pos="898"/>
        </w:tabs>
        <w:spacing w:line="415" w:lineRule="auto"/>
        <w:ind w:left="161" w:right="1286" w:firstLine="420"/>
        <w:rPr>
          <w:sz w:val="21"/>
        </w:rPr>
      </w:pPr>
      <w:r>
        <w:rPr>
          <w:spacing w:val="-3"/>
          <w:sz w:val="21"/>
        </w:rPr>
        <w:t xml:space="preserve">承包人应在每个作业区任命兼职安全员，赋予兼职安全员相应的授权和义务，并对兼职安全员进行定期考核。 </w:t>
      </w:r>
    </w:p>
    <w:p w14:paraId="1D2199AD">
      <w:pPr>
        <w:pStyle w:val="317"/>
        <w:numPr>
          <w:ilvl w:val="0"/>
          <w:numId w:val="100"/>
        </w:numPr>
        <w:tabs>
          <w:tab w:val="left" w:pos="898"/>
        </w:tabs>
        <w:spacing w:before="15"/>
        <w:ind w:hanging="317"/>
        <w:rPr>
          <w:sz w:val="21"/>
        </w:rPr>
      </w:pPr>
      <w:r>
        <w:rPr>
          <w:spacing w:val="-1"/>
          <w:sz w:val="21"/>
        </w:rPr>
        <w:t>承包人应接受和配合发包人专业部门及委托的监理公司的监督与安全评价。</w:t>
      </w:r>
      <w:r>
        <w:rPr>
          <w:sz w:val="21"/>
        </w:rPr>
        <w:t xml:space="preserve"> </w:t>
      </w:r>
    </w:p>
    <w:p w14:paraId="54AD4FED">
      <w:pPr>
        <w:pStyle w:val="17"/>
        <w:spacing w:before="4"/>
        <w:rPr>
          <w:sz w:val="15"/>
        </w:rPr>
      </w:pPr>
    </w:p>
    <w:p w14:paraId="551602D3">
      <w:pPr>
        <w:pStyle w:val="317"/>
        <w:numPr>
          <w:ilvl w:val="0"/>
          <w:numId w:val="100"/>
        </w:numPr>
        <w:tabs>
          <w:tab w:val="left" w:pos="898"/>
        </w:tabs>
        <w:spacing w:line="415" w:lineRule="auto"/>
        <w:ind w:left="161" w:right="1199" w:firstLine="420"/>
        <w:rPr>
          <w:sz w:val="21"/>
        </w:rPr>
      </w:pPr>
      <w:r>
        <w:rPr>
          <w:spacing w:val="-2"/>
          <w:sz w:val="21"/>
        </w:rPr>
        <w:t>发包人和委托的监理公司有权对承包人履行安全管理协议的情况进行监督，并有权对违章行为实</w:t>
      </w:r>
      <w:r>
        <w:rPr>
          <w:spacing w:val="-3"/>
          <w:sz w:val="21"/>
        </w:rPr>
        <w:t>行停工和处罚，处罚情况将通知承包人。涉及经济处罚时将直接通知合同管理部门从合同结算中扣除。</w:t>
      </w:r>
      <w:r>
        <w:rPr>
          <w:sz w:val="21"/>
        </w:rPr>
        <w:t xml:space="preserve"> </w:t>
      </w:r>
    </w:p>
    <w:p w14:paraId="1AD350D0">
      <w:pPr>
        <w:pStyle w:val="17"/>
        <w:spacing w:line="269" w:lineRule="exact"/>
        <w:ind w:left="581"/>
      </w:pPr>
      <w:r>
        <w:t xml:space="preserve">十一、安全培训与授权 </w:t>
      </w:r>
    </w:p>
    <w:p w14:paraId="162F7EA3">
      <w:pPr>
        <w:pStyle w:val="17"/>
        <w:spacing w:before="4"/>
        <w:rPr>
          <w:sz w:val="15"/>
        </w:rPr>
      </w:pPr>
    </w:p>
    <w:p w14:paraId="609162DE">
      <w:pPr>
        <w:pStyle w:val="317"/>
        <w:numPr>
          <w:ilvl w:val="0"/>
          <w:numId w:val="101"/>
        </w:numPr>
        <w:tabs>
          <w:tab w:val="left" w:pos="898"/>
        </w:tabs>
        <w:spacing w:line="422" w:lineRule="auto"/>
        <w:ind w:right="1284" w:firstLine="420"/>
        <w:jc w:val="both"/>
        <w:rPr>
          <w:sz w:val="21"/>
        </w:rPr>
      </w:pPr>
      <w:r>
        <w:rPr>
          <w:spacing w:val="-3"/>
          <w:sz w:val="21"/>
        </w:rPr>
        <w:t>承包人所有特殊工种人员必须持证上岗，发包人和发包人委托的监理公司有权对其进行抽查。</w:t>
      </w:r>
      <w:r>
        <w:rPr>
          <w:spacing w:val="-1"/>
          <w:sz w:val="21"/>
        </w:rPr>
        <w:t xml:space="preserve">承包人要建立特殊工种定期培训和检查计划，这些工种包括但不限于：机动车驾驶员、焊工、起重工、电工等。 </w:t>
      </w:r>
    </w:p>
    <w:p w14:paraId="0B57162C">
      <w:pPr>
        <w:spacing w:line="422" w:lineRule="auto"/>
        <w:jc w:val="both"/>
        <w:rPr>
          <w:sz w:val="21"/>
        </w:rPr>
        <w:sectPr>
          <w:pgSz w:w="11910" w:h="16850"/>
          <w:pgMar w:top="1360" w:right="0" w:bottom="1180" w:left="980" w:header="0" w:footer="996" w:gutter="0"/>
          <w:cols w:space="720" w:num="1"/>
        </w:sectPr>
      </w:pPr>
    </w:p>
    <w:p w14:paraId="774968F8">
      <w:pPr>
        <w:pStyle w:val="317"/>
        <w:numPr>
          <w:ilvl w:val="0"/>
          <w:numId w:val="101"/>
        </w:numPr>
        <w:tabs>
          <w:tab w:val="left" w:pos="1064"/>
        </w:tabs>
        <w:spacing w:before="46"/>
        <w:ind w:left="1063" w:hanging="318"/>
        <w:jc w:val="left"/>
        <w:rPr>
          <w:sz w:val="21"/>
        </w:rPr>
      </w:pPr>
      <w:r>
        <w:rPr>
          <w:spacing w:val="-7"/>
          <w:sz w:val="21"/>
        </w:rPr>
        <w:t>承包人应在特殊工种之外的其他工种中，筛选出高风险工种，并对其开展针对性的专题安全培训</w:t>
      </w:r>
      <w:r>
        <w:rPr>
          <w:spacing w:val="-126"/>
          <w:sz w:val="21"/>
        </w:rPr>
        <w:t>。</w:t>
      </w:r>
      <w:r>
        <w:rPr>
          <w:sz w:val="21"/>
        </w:rPr>
        <w:t xml:space="preserve"> </w:t>
      </w:r>
    </w:p>
    <w:p w14:paraId="76295298">
      <w:pPr>
        <w:pStyle w:val="17"/>
        <w:spacing w:before="4"/>
        <w:rPr>
          <w:sz w:val="15"/>
        </w:rPr>
      </w:pPr>
    </w:p>
    <w:p w14:paraId="67690CC8">
      <w:pPr>
        <w:pStyle w:val="317"/>
        <w:numPr>
          <w:ilvl w:val="0"/>
          <w:numId w:val="101"/>
        </w:numPr>
        <w:tabs>
          <w:tab w:val="left" w:pos="1064"/>
        </w:tabs>
        <w:spacing w:line="415" w:lineRule="auto"/>
        <w:ind w:left="326" w:right="1130" w:firstLine="420"/>
        <w:jc w:val="left"/>
        <w:rPr>
          <w:sz w:val="21"/>
        </w:rPr>
      </w:pPr>
      <w:r>
        <w:rPr>
          <w:spacing w:val="-1"/>
          <w:sz w:val="21"/>
        </w:rPr>
        <w:t xml:space="preserve">承包人应组织 “入场培训”和考核。发包人委托的监理公司有权监督培训、考核情况或组织抽查考核。 </w:t>
      </w:r>
    </w:p>
    <w:p w14:paraId="074D7CCA">
      <w:pPr>
        <w:pStyle w:val="317"/>
        <w:numPr>
          <w:ilvl w:val="0"/>
          <w:numId w:val="101"/>
        </w:numPr>
        <w:tabs>
          <w:tab w:val="left" w:pos="1064"/>
        </w:tabs>
        <w:spacing w:before="15" w:line="415" w:lineRule="auto"/>
        <w:ind w:left="326" w:right="1139" w:firstLine="420"/>
        <w:jc w:val="left"/>
        <w:rPr>
          <w:sz w:val="21"/>
        </w:rPr>
      </w:pPr>
      <w:r>
        <w:rPr>
          <w:spacing w:val="-1"/>
          <w:sz w:val="21"/>
        </w:rPr>
        <w:t>承包人应建立安全培训和考核机制，编制培训教材和培训滚动计划。承包人应组织安全考试</w:t>
      </w:r>
      <w:r>
        <w:rPr>
          <w:sz w:val="21"/>
        </w:rPr>
        <w:t>/考</w:t>
      </w:r>
      <w:r>
        <w:rPr>
          <w:spacing w:val="-1"/>
          <w:sz w:val="21"/>
        </w:rPr>
        <w:t>核，建立培训考核记录，发包人委托的监理公司有权查看这些记录。</w:t>
      </w:r>
      <w:r>
        <w:rPr>
          <w:sz w:val="21"/>
        </w:rPr>
        <w:t xml:space="preserve"> </w:t>
      </w:r>
    </w:p>
    <w:p w14:paraId="5E5DB50D">
      <w:pPr>
        <w:pStyle w:val="17"/>
        <w:ind w:left="746"/>
      </w:pPr>
      <w:r>
        <w:t xml:space="preserve">十二、职业健康与卫生防疫 </w:t>
      </w:r>
    </w:p>
    <w:p w14:paraId="7CB13158">
      <w:pPr>
        <w:pStyle w:val="17"/>
        <w:spacing w:before="4"/>
        <w:rPr>
          <w:sz w:val="15"/>
        </w:rPr>
      </w:pPr>
    </w:p>
    <w:p w14:paraId="593E034D">
      <w:pPr>
        <w:pStyle w:val="317"/>
        <w:numPr>
          <w:ilvl w:val="0"/>
          <w:numId w:val="102"/>
        </w:numPr>
        <w:tabs>
          <w:tab w:val="left" w:pos="1064"/>
        </w:tabs>
        <w:spacing w:line="415" w:lineRule="auto"/>
        <w:ind w:right="1120" w:firstLine="420"/>
        <w:rPr>
          <w:sz w:val="21"/>
        </w:rPr>
      </w:pPr>
      <w:r>
        <w:rPr>
          <w:spacing w:val="-4"/>
          <w:sz w:val="21"/>
        </w:rPr>
        <w:t>承包人应有特殊健康检查制度，预防有禁忌症患者从事有关职业，如恐高症患者不得从事高空</w:t>
      </w:r>
      <w:r>
        <w:rPr>
          <w:spacing w:val="-5"/>
          <w:sz w:val="21"/>
        </w:rPr>
        <w:t>作业，患有心血管疾病的人员不得从事繁重的体力劳动，特殊工种人员的体检应符合国家的规定。</w:t>
      </w:r>
      <w:r>
        <w:rPr>
          <w:sz w:val="21"/>
        </w:rPr>
        <w:t xml:space="preserve"> </w:t>
      </w:r>
    </w:p>
    <w:p w14:paraId="6966C527">
      <w:pPr>
        <w:pStyle w:val="317"/>
        <w:numPr>
          <w:ilvl w:val="0"/>
          <w:numId w:val="102"/>
        </w:numPr>
        <w:tabs>
          <w:tab w:val="left" w:pos="1064"/>
        </w:tabs>
        <w:spacing w:before="15"/>
        <w:ind w:left="1063" w:hanging="318"/>
        <w:rPr>
          <w:sz w:val="21"/>
        </w:rPr>
      </w:pPr>
      <w:r>
        <w:rPr>
          <w:spacing w:val="-1"/>
          <w:sz w:val="21"/>
        </w:rPr>
        <w:t>承包人应保证卫生防疫基本设施的投入，以满足医疗、急救的要求，建立外部医疗支持渠道。</w:t>
      </w:r>
      <w:r>
        <w:rPr>
          <w:sz w:val="21"/>
        </w:rPr>
        <w:t xml:space="preserve"> </w:t>
      </w:r>
    </w:p>
    <w:p w14:paraId="17927AD5">
      <w:pPr>
        <w:pStyle w:val="17"/>
        <w:spacing w:before="4"/>
        <w:rPr>
          <w:sz w:val="15"/>
        </w:rPr>
      </w:pPr>
    </w:p>
    <w:p w14:paraId="1CE54CD5">
      <w:pPr>
        <w:pStyle w:val="317"/>
        <w:numPr>
          <w:ilvl w:val="0"/>
          <w:numId w:val="102"/>
        </w:numPr>
        <w:tabs>
          <w:tab w:val="left" w:pos="1064"/>
        </w:tabs>
        <w:spacing w:line="415" w:lineRule="auto"/>
        <w:ind w:right="1104" w:firstLine="420"/>
        <w:jc w:val="both"/>
        <w:rPr>
          <w:sz w:val="21"/>
        </w:rPr>
      </w:pPr>
      <w:r>
        <w:rPr>
          <w:spacing w:val="-5"/>
          <w:sz w:val="21"/>
        </w:rPr>
        <w:t>应建立卫生防疫措施计划，做好生活区和施工区的卫生防疫工作；制定和执行保证饮水卫生、饮食卫生、环境卫生和预防集体食物中毒的措施；有灭蚊、灭鼠和消毒的专项工作计划；有针对性地制订</w:t>
      </w:r>
      <w:r>
        <w:rPr>
          <w:spacing w:val="-19"/>
          <w:sz w:val="21"/>
        </w:rPr>
        <w:t xml:space="preserve">预防 </w:t>
      </w:r>
      <w:r>
        <w:rPr>
          <w:sz w:val="21"/>
        </w:rPr>
        <w:t>SARS</w:t>
      </w:r>
      <w:r>
        <w:rPr>
          <w:spacing w:val="-1"/>
          <w:sz w:val="21"/>
        </w:rPr>
        <w:t>、禽流感、疟疾、霍乱、肠道传染病、肝炎、</w:t>
      </w:r>
      <w:r>
        <w:rPr>
          <w:sz w:val="21"/>
        </w:rPr>
        <w:t>H1N1</w:t>
      </w:r>
      <w:r>
        <w:rPr>
          <w:spacing w:val="-7"/>
          <w:sz w:val="21"/>
        </w:rPr>
        <w:t xml:space="preserve"> 流感等疾病的措施。 </w:t>
      </w:r>
    </w:p>
    <w:p w14:paraId="37A96D28">
      <w:pPr>
        <w:pStyle w:val="17"/>
        <w:ind w:left="746"/>
      </w:pPr>
      <w:r>
        <w:t xml:space="preserve">十三、文明施工与环保要求 </w:t>
      </w:r>
    </w:p>
    <w:p w14:paraId="1F0159F9">
      <w:pPr>
        <w:pStyle w:val="17"/>
        <w:spacing w:before="6"/>
        <w:rPr>
          <w:sz w:val="16"/>
        </w:rPr>
      </w:pPr>
    </w:p>
    <w:p w14:paraId="4BCD418E">
      <w:pPr>
        <w:pStyle w:val="317"/>
        <w:numPr>
          <w:ilvl w:val="0"/>
          <w:numId w:val="103"/>
        </w:numPr>
        <w:tabs>
          <w:tab w:val="left" w:pos="1064"/>
        </w:tabs>
        <w:spacing w:before="1" w:line="415" w:lineRule="auto"/>
        <w:ind w:right="1119" w:firstLine="420"/>
        <w:rPr>
          <w:sz w:val="21"/>
        </w:rPr>
      </w:pPr>
      <w:r>
        <w:rPr>
          <w:spacing w:val="-3"/>
          <w:sz w:val="21"/>
        </w:rPr>
        <w:t>承包人需制订施工现场的文明施工措施，保持良好的施工现场秩序。施工现场的物料堆放要摆</w:t>
      </w:r>
      <w:r>
        <w:rPr>
          <w:spacing w:val="-4"/>
          <w:sz w:val="21"/>
        </w:rPr>
        <w:t>放整齐，安全标志和宣传标志要清楚醒目，废料、废物要分类收集，安全通道要畅通。</w:t>
      </w:r>
      <w:r>
        <w:rPr>
          <w:sz w:val="21"/>
        </w:rPr>
        <w:t xml:space="preserve"> </w:t>
      </w:r>
    </w:p>
    <w:p w14:paraId="5598A8E0">
      <w:pPr>
        <w:pStyle w:val="317"/>
        <w:numPr>
          <w:ilvl w:val="0"/>
          <w:numId w:val="103"/>
        </w:numPr>
        <w:tabs>
          <w:tab w:val="left" w:pos="1064"/>
        </w:tabs>
        <w:spacing w:line="269" w:lineRule="exact"/>
        <w:ind w:left="1063" w:hanging="318"/>
        <w:rPr>
          <w:sz w:val="21"/>
        </w:rPr>
      </w:pPr>
      <w:r>
        <w:rPr>
          <w:spacing w:val="-1"/>
          <w:sz w:val="21"/>
        </w:rPr>
        <w:t>承包人作业时应避免建筑材料抛洒、飞扬、流淌；应尽可能降低噪音、震动。</w:t>
      </w:r>
      <w:r>
        <w:rPr>
          <w:sz w:val="21"/>
        </w:rPr>
        <w:t xml:space="preserve"> </w:t>
      </w:r>
    </w:p>
    <w:p w14:paraId="70EB397A">
      <w:pPr>
        <w:pStyle w:val="17"/>
        <w:spacing w:before="4"/>
        <w:rPr>
          <w:sz w:val="15"/>
        </w:rPr>
      </w:pPr>
    </w:p>
    <w:p w14:paraId="68B5401D">
      <w:pPr>
        <w:pStyle w:val="317"/>
        <w:numPr>
          <w:ilvl w:val="0"/>
          <w:numId w:val="103"/>
        </w:numPr>
        <w:tabs>
          <w:tab w:val="left" w:pos="1064"/>
        </w:tabs>
        <w:spacing w:line="415" w:lineRule="auto"/>
        <w:ind w:right="1119" w:firstLine="420"/>
        <w:rPr>
          <w:sz w:val="21"/>
        </w:rPr>
      </w:pPr>
      <w:r>
        <w:rPr>
          <w:spacing w:val="-3"/>
          <w:sz w:val="21"/>
        </w:rPr>
        <w:t>承包人应根据实际需要，在施工现场布置临时卫生设施</w:t>
      </w:r>
      <w:r>
        <w:rPr>
          <w:sz w:val="21"/>
        </w:rPr>
        <w:t>（</w:t>
      </w:r>
      <w:r>
        <w:rPr>
          <w:spacing w:val="-4"/>
          <w:sz w:val="21"/>
        </w:rPr>
        <w:t>洗手间、卫生间等</w:t>
      </w:r>
      <w:r>
        <w:rPr>
          <w:spacing w:val="-15"/>
          <w:sz w:val="21"/>
        </w:rPr>
        <w:t>）</w:t>
      </w:r>
      <w:r>
        <w:rPr>
          <w:spacing w:val="-4"/>
          <w:sz w:val="21"/>
        </w:rPr>
        <w:t>，施工作业不破坏环境卫生，不污染现场环境。</w:t>
      </w:r>
      <w:r>
        <w:rPr>
          <w:sz w:val="21"/>
        </w:rPr>
        <w:t xml:space="preserve"> </w:t>
      </w:r>
    </w:p>
    <w:p w14:paraId="2396B6DF">
      <w:pPr>
        <w:pStyle w:val="317"/>
        <w:numPr>
          <w:ilvl w:val="0"/>
          <w:numId w:val="103"/>
        </w:numPr>
        <w:tabs>
          <w:tab w:val="left" w:pos="1064"/>
        </w:tabs>
        <w:spacing w:before="15" w:line="415" w:lineRule="auto"/>
        <w:ind w:right="1104" w:firstLine="420"/>
        <w:rPr>
          <w:sz w:val="21"/>
        </w:rPr>
      </w:pPr>
      <w:r>
        <w:rPr>
          <w:spacing w:val="-4"/>
          <w:sz w:val="21"/>
        </w:rPr>
        <w:t>承包人在施工中应充分重视对环境的保护，保护绿色植被，保护古树。施工如需伤害古树，必须</w:t>
      </w:r>
      <w:r>
        <w:rPr>
          <w:spacing w:val="-5"/>
          <w:sz w:val="21"/>
        </w:rPr>
        <w:t>报告发包人委托的监理公司，在未得到指令前，禁止擅自伤害古树。</w:t>
      </w:r>
      <w:r>
        <w:rPr>
          <w:sz w:val="21"/>
        </w:rPr>
        <w:t xml:space="preserve"> </w:t>
      </w:r>
    </w:p>
    <w:p w14:paraId="4A1F9E75">
      <w:pPr>
        <w:pStyle w:val="317"/>
        <w:numPr>
          <w:ilvl w:val="0"/>
          <w:numId w:val="103"/>
        </w:numPr>
        <w:tabs>
          <w:tab w:val="left" w:pos="1064"/>
        </w:tabs>
        <w:spacing w:line="415" w:lineRule="auto"/>
        <w:ind w:right="1119" w:firstLine="420"/>
        <w:jc w:val="both"/>
        <w:rPr>
          <w:sz w:val="21"/>
        </w:rPr>
      </w:pPr>
      <w:r>
        <w:rPr>
          <w:spacing w:val="-3"/>
          <w:sz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r>
        <w:rPr>
          <w:sz w:val="21"/>
        </w:rPr>
        <w:t xml:space="preserve"> </w:t>
      </w:r>
    </w:p>
    <w:p w14:paraId="0CDFB862">
      <w:pPr>
        <w:pStyle w:val="317"/>
        <w:numPr>
          <w:ilvl w:val="0"/>
          <w:numId w:val="103"/>
        </w:numPr>
        <w:tabs>
          <w:tab w:val="left" w:pos="1064"/>
        </w:tabs>
        <w:spacing w:before="15"/>
        <w:ind w:left="1063" w:hanging="318"/>
        <w:rPr>
          <w:sz w:val="21"/>
        </w:rPr>
      </w:pPr>
      <w:r>
        <w:rPr>
          <w:spacing w:val="-1"/>
          <w:sz w:val="21"/>
        </w:rPr>
        <w:t>承包人在施工中应禁止向环境，排放工业污水、生活污水、废油或其他有害物质。</w:t>
      </w:r>
      <w:r>
        <w:rPr>
          <w:sz w:val="21"/>
        </w:rPr>
        <w:t xml:space="preserve"> </w:t>
      </w:r>
    </w:p>
    <w:p w14:paraId="6427ABEE">
      <w:pPr>
        <w:pStyle w:val="17"/>
        <w:spacing w:before="4"/>
        <w:rPr>
          <w:sz w:val="15"/>
        </w:rPr>
      </w:pPr>
    </w:p>
    <w:p w14:paraId="2ABA8C16">
      <w:pPr>
        <w:pStyle w:val="317"/>
        <w:numPr>
          <w:ilvl w:val="0"/>
          <w:numId w:val="103"/>
        </w:numPr>
        <w:tabs>
          <w:tab w:val="left" w:pos="1064"/>
        </w:tabs>
        <w:spacing w:line="415" w:lineRule="auto"/>
        <w:ind w:right="1130" w:firstLine="420"/>
        <w:jc w:val="both"/>
        <w:rPr>
          <w:sz w:val="21"/>
        </w:rPr>
      </w:pPr>
      <w:r>
        <w:rPr>
          <w:spacing w:val="-1"/>
          <w:sz w:val="21"/>
        </w:rPr>
        <w:t>承包人在施工中应防止水土流失，应及时对裸露的地基、边坡、开挖出来的沙</w:t>
      </w:r>
      <w:r>
        <w:rPr>
          <w:sz w:val="21"/>
        </w:rPr>
        <w:t>/土以及砂、石、水泥等建筑材料予以保护，防止风刮扬尘，雨水冲刷，流入下水道、排洪沟。如因防护不及时而造成大</w:t>
      </w:r>
      <w:r>
        <w:rPr>
          <w:spacing w:val="-1"/>
          <w:sz w:val="21"/>
        </w:rPr>
        <w:t>量水土流失、淤塞道路、沟道或污染环境的，承包人应承担清淤、清扫以及相应的赔偿责任。</w:t>
      </w:r>
      <w:r>
        <w:rPr>
          <w:sz w:val="21"/>
        </w:rPr>
        <w:t xml:space="preserve"> </w:t>
      </w:r>
    </w:p>
    <w:p w14:paraId="70E58BBD">
      <w:pPr>
        <w:pStyle w:val="17"/>
        <w:spacing w:line="269" w:lineRule="exact"/>
        <w:ind w:left="746"/>
      </w:pPr>
      <w:r>
        <w:t xml:space="preserve">十四、工程风险管理与事故预防 </w:t>
      </w:r>
    </w:p>
    <w:p w14:paraId="1FCAFAD8">
      <w:pPr>
        <w:pStyle w:val="17"/>
        <w:spacing w:before="6"/>
        <w:rPr>
          <w:sz w:val="16"/>
        </w:rPr>
      </w:pPr>
    </w:p>
    <w:p w14:paraId="335C9C42">
      <w:pPr>
        <w:pStyle w:val="17"/>
        <w:ind w:left="746"/>
      </w:pPr>
      <w:r>
        <w:t xml:space="preserve">（一）基本要求 </w:t>
      </w:r>
    </w:p>
    <w:p w14:paraId="0D518472">
      <w:pPr>
        <w:pStyle w:val="17"/>
        <w:spacing w:before="4"/>
        <w:rPr>
          <w:sz w:val="15"/>
        </w:rPr>
      </w:pPr>
    </w:p>
    <w:p w14:paraId="0620EFDD">
      <w:pPr>
        <w:pStyle w:val="17"/>
        <w:spacing w:before="1"/>
        <w:ind w:left="746"/>
      </w:pPr>
      <w:r>
        <w:t>1．承包人应对施工过程进行全面、深入的危险源识别和风险分析。在施工安全组织设计中提供危险</w:t>
      </w:r>
    </w:p>
    <w:p w14:paraId="5A2A6ABA">
      <w:pPr>
        <w:sectPr>
          <w:pgSz w:w="11910" w:h="16850"/>
          <w:pgMar w:top="1360" w:right="0" w:bottom="1180" w:left="980" w:header="0" w:footer="996" w:gutter="0"/>
          <w:cols w:space="720" w:num="1"/>
        </w:sectPr>
      </w:pPr>
    </w:p>
    <w:p w14:paraId="77673948">
      <w:pPr>
        <w:pStyle w:val="17"/>
        <w:spacing w:before="46"/>
        <w:ind w:left="161"/>
      </w:pPr>
      <w:r>
        <w:t xml:space="preserve">源及重要危险源清单、作业风险分析报告，该报告应包括（但不限于）如下信息： </w:t>
      </w:r>
    </w:p>
    <w:p w14:paraId="45B4B9E7">
      <w:pPr>
        <w:pStyle w:val="17"/>
        <w:spacing w:before="4"/>
        <w:rPr>
          <w:sz w:val="15"/>
        </w:rPr>
      </w:pPr>
    </w:p>
    <w:p w14:paraId="4CD992EB">
      <w:pPr>
        <w:pStyle w:val="317"/>
        <w:numPr>
          <w:ilvl w:val="0"/>
          <w:numId w:val="104"/>
        </w:numPr>
        <w:tabs>
          <w:tab w:val="left" w:pos="1109"/>
        </w:tabs>
        <w:ind w:hanging="528"/>
        <w:rPr>
          <w:sz w:val="21"/>
        </w:rPr>
      </w:pPr>
      <w:r>
        <w:rPr>
          <w:spacing w:val="-1"/>
          <w:sz w:val="21"/>
        </w:rPr>
        <w:t>高风险作业和工种清单：作业名称、类别和数量、主要事故风险。</w:t>
      </w:r>
      <w:r>
        <w:rPr>
          <w:sz w:val="21"/>
        </w:rPr>
        <w:t xml:space="preserve"> </w:t>
      </w:r>
    </w:p>
    <w:p w14:paraId="474DFB7E">
      <w:pPr>
        <w:pStyle w:val="17"/>
        <w:spacing w:before="4"/>
        <w:rPr>
          <w:sz w:val="15"/>
        </w:rPr>
      </w:pPr>
    </w:p>
    <w:p w14:paraId="7F936EFF">
      <w:pPr>
        <w:pStyle w:val="317"/>
        <w:numPr>
          <w:ilvl w:val="0"/>
          <w:numId w:val="104"/>
        </w:numPr>
        <w:tabs>
          <w:tab w:val="left" w:pos="1109"/>
        </w:tabs>
        <w:ind w:hanging="528"/>
        <w:rPr>
          <w:sz w:val="21"/>
        </w:rPr>
      </w:pPr>
      <w:r>
        <w:rPr>
          <w:spacing w:val="-1"/>
          <w:sz w:val="21"/>
        </w:rPr>
        <w:t>施工能源和机械的种类、数量和主要事故风险。</w:t>
      </w:r>
      <w:r>
        <w:rPr>
          <w:sz w:val="21"/>
        </w:rPr>
        <w:t xml:space="preserve"> </w:t>
      </w:r>
    </w:p>
    <w:p w14:paraId="2C0838CF">
      <w:pPr>
        <w:pStyle w:val="17"/>
        <w:spacing w:before="6"/>
        <w:rPr>
          <w:sz w:val="16"/>
        </w:rPr>
      </w:pPr>
    </w:p>
    <w:p w14:paraId="7C1BEE40">
      <w:pPr>
        <w:pStyle w:val="317"/>
        <w:numPr>
          <w:ilvl w:val="0"/>
          <w:numId w:val="104"/>
        </w:numPr>
        <w:tabs>
          <w:tab w:val="left" w:pos="1109"/>
        </w:tabs>
        <w:spacing w:before="1"/>
        <w:ind w:hanging="528"/>
        <w:rPr>
          <w:sz w:val="21"/>
        </w:rPr>
      </w:pPr>
      <w:r>
        <w:rPr>
          <w:spacing w:val="-1"/>
          <w:sz w:val="21"/>
        </w:rPr>
        <w:t>施工作业条件的类型和主要事故风险。</w:t>
      </w:r>
      <w:r>
        <w:rPr>
          <w:sz w:val="21"/>
        </w:rPr>
        <w:t xml:space="preserve"> </w:t>
      </w:r>
    </w:p>
    <w:p w14:paraId="3E882011">
      <w:pPr>
        <w:pStyle w:val="17"/>
        <w:spacing w:before="4"/>
        <w:rPr>
          <w:sz w:val="15"/>
        </w:rPr>
      </w:pPr>
    </w:p>
    <w:p w14:paraId="36D93D2A">
      <w:pPr>
        <w:pStyle w:val="317"/>
        <w:numPr>
          <w:ilvl w:val="0"/>
          <w:numId w:val="104"/>
        </w:numPr>
        <w:tabs>
          <w:tab w:val="left" w:pos="1109"/>
        </w:tabs>
        <w:ind w:hanging="528"/>
        <w:rPr>
          <w:sz w:val="21"/>
        </w:rPr>
      </w:pPr>
      <w:r>
        <w:rPr>
          <w:sz w:val="21"/>
        </w:rPr>
        <w:t>主要工艺过程（或施工活动）</w:t>
      </w:r>
      <w:r>
        <w:rPr>
          <w:spacing w:val="-1"/>
          <w:sz w:val="21"/>
        </w:rPr>
        <w:t>的类别及其相关的事故风险。</w:t>
      </w:r>
      <w:r>
        <w:rPr>
          <w:sz w:val="21"/>
        </w:rPr>
        <w:t xml:space="preserve"> </w:t>
      </w:r>
    </w:p>
    <w:p w14:paraId="77DD8179">
      <w:pPr>
        <w:pStyle w:val="17"/>
        <w:spacing w:before="4"/>
        <w:rPr>
          <w:sz w:val="15"/>
        </w:rPr>
      </w:pPr>
    </w:p>
    <w:p w14:paraId="1D8A7666">
      <w:pPr>
        <w:pStyle w:val="317"/>
        <w:numPr>
          <w:ilvl w:val="0"/>
          <w:numId w:val="104"/>
        </w:numPr>
        <w:tabs>
          <w:tab w:val="left" w:pos="1109"/>
        </w:tabs>
        <w:ind w:hanging="528"/>
        <w:rPr>
          <w:sz w:val="21"/>
        </w:rPr>
      </w:pPr>
      <w:r>
        <w:rPr>
          <w:sz w:val="21"/>
        </w:rPr>
        <w:t>主要火灾危险（可燃物、点火源）</w:t>
      </w:r>
      <w:r>
        <w:rPr>
          <w:spacing w:val="-4"/>
          <w:sz w:val="21"/>
        </w:rPr>
        <w:t>。</w:t>
      </w:r>
      <w:r>
        <w:rPr>
          <w:sz w:val="21"/>
        </w:rPr>
        <w:t xml:space="preserve"> </w:t>
      </w:r>
    </w:p>
    <w:p w14:paraId="21480E86">
      <w:pPr>
        <w:pStyle w:val="17"/>
        <w:spacing w:before="4"/>
        <w:rPr>
          <w:sz w:val="15"/>
        </w:rPr>
      </w:pPr>
    </w:p>
    <w:p w14:paraId="3FF993F3">
      <w:pPr>
        <w:pStyle w:val="317"/>
        <w:numPr>
          <w:ilvl w:val="0"/>
          <w:numId w:val="104"/>
        </w:numPr>
        <w:tabs>
          <w:tab w:val="left" w:pos="1109"/>
        </w:tabs>
        <w:ind w:hanging="528"/>
        <w:rPr>
          <w:sz w:val="21"/>
        </w:rPr>
      </w:pPr>
      <w:r>
        <w:rPr>
          <w:sz w:val="21"/>
        </w:rPr>
        <w:t>主要自然灾害（洪水、大风、雷暴、暴雨、地质灾害等）</w:t>
      </w:r>
      <w:r>
        <w:rPr>
          <w:spacing w:val="-6"/>
          <w:sz w:val="21"/>
        </w:rPr>
        <w:t>。</w:t>
      </w:r>
      <w:r>
        <w:rPr>
          <w:sz w:val="21"/>
        </w:rPr>
        <w:t xml:space="preserve"> </w:t>
      </w:r>
    </w:p>
    <w:p w14:paraId="2BE954CB">
      <w:pPr>
        <w:pStyle w:val="17"/>
        <w:spacing w:before="4"/>
        <w:rPr>
          <w:sz w:val="15"/>
        </w:rPr>
      </w:pPr>
    </w:p>
    <w:p w14:paraId="59C0F8F2">
      <w:pPr>
        <w:pStyle w:val="317"/>
        <w:numPr>
          <w:ilvl w:val="0"/>
          <w:numId w:val="104"/>
        </w:numPr>
        <w:tabs>
          <w:tab w:val="left" w:pos="1109"/>
        </w:tabs>
        <w:spacing w:before="1"/>
        <w:ind w:hanging="528"/>
        <w:rPr>
          <w:sz w:val="21"/>
        </w:rPr>
      </w:pPr>
      <w:r>
        <w:rPr>
          <w:sz w:val="21"/>
        </w:rPr>
        <w:t>主要环境保护事件（</w:t>
      </w:r>
      <w:r>
        <w:rPr>
          <w:spacing w:val="-1"/>
          <w:sz w:val="21"/>
        </w:rPr>
        <w:t>有害垃圾、机械的跑冒滴漏、原材料流失、水土流失等</w:t>
      </w:r>
      <w:r>
        <w:rPr>
          <w:sz w:val="21"/>
        </w:rPr>
        <w:t xml:space="preserve">）。 </w:t>
      </w:r>
    </w:p>
    <w:p w14:paraId="69142D08">
      <w:pPr>
        <w:pStyle w:val="17"/>
        <w:spacing w:before="5"/>
        <w:rPr>
          <w:sz w:val="16"/>
        </w:rPr>
      </w:pPr>
    </w:p>
    <w:p w14:paraId="00703E93">
      <w:pPr>
        <w:pStyle w:val="317"/>
        <w:numPr>
          <w:ilvl w:val="0"/>
          <w:numId w:val="104"/>
        </w:numPr>
        <w:tabs>
          <w:tab w:val="left" w:pos="1109"/>
        </w:tabs>
        <w:spacing w:line="415" w:lineRule="auto"/>
        <w:ind w:left="581" w:right="1516" w:firstLine="0"/>
        <w:rPr>
          <w:sz w:val="21"/>
        </w:rPr>
      </w:pPr>
      <w:r>
        <w:rPr>
          <w:sz w:val="21"/>
        </w:rPr>
        <w:t>其 他 。                                                                     2．</w:t>
      </w:r>
      <w:r>
        <w:rPr>
          <w:spacing w:val="-1"/>
          <w:sz w:val="21"/>
        </w:rPr>
        <w:t>承包人应针对识别出的危险源制定有针对性的事故预防措施并确保在施工中得到有效落实。</w:t>
      </w:r>
      <w:r>
        <w:rPr>
          <w:sz w:val="21"/>
        </w:rPr>
        <w:t xml:space="preserve"> </w:t>
      </w:r>
    </w:p>
    <w:p w14:paraId="435F24D9">
      <w:pPr>
        <w:pStyle w:val="17"/>
        <w:spacing w:before="1" w:line="415" w:lineRule="auto"/>
        <w:ind w:left="161" w:right="1284" w:firstLine="420"/>
      </w:pPr>
      <w:r>
        <w:rPr>
          <w:spacing w:val="-23"/>
        </w:rPr>
        <w:t>3</w:t>
      </w:r>
      <w:r>
        <w:rPr>
          <w:spacing w:val="-7"/>
        </w:rPr>
        <w:t>．承包人应建立日常施工活动的动态作业风险分析和安全交底制度。该制度应明确规定风险分析的方法、责任和交底的内容、时间及记录。</w:t>
      </w:r>
      <w:r>
        <w:t xml:space="preserve"> </w:t>
      </w:r>
    </w:p>
    <w:p w14:paraId="6976A651">
      <w:pPr>
        <w:pStyle w:val="17"/>
        <w:ind w:left="581"/>
      </w:pPr>
      <w:r>
        <w:t xml:space="preserve">（二）现场作业基本安全条件 </w:t>
      </w:r>
    </w:p>
    <w:p w14:paraId="79802861">
      <w:pPr>
        <w:pStyle w:val="17"/>
        <w:spacing w:before="6"/>
        <w:rPr>
          <w:sz w:val="16"/>
        </w:rPr>
      </w:pPr>
    </w:p>
    <w:p w14:paraId="5F9EBF7C">
      <w:pPr>
        <w:pStyle w:val="17"/>
        <w:spacing w:line="415" w:lineRule="auto"/>
        <w:ind w:left="161" w:right="1295" w:firstLine="420"/>
        <w:jc w:val="both"/>
      </w:pPr>
      <w:r>
        <w:t xml:space="preserve">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 </w:t>
      </w:r>
    </w:p>
    <w:p w14:paraId="0E93C64D">
      <w:pPr>
        <w:pStyle w:val="17"/>
        <w:spacing w:line="269" w:lineRule="exact"/>
        <w:ind w:left="581"/>
      </w:pPr>
      <w:r>
        <w:t xml:space="preserve">十五、事故报告与应急救援 </w:t>
      </w:r>
    </w:p>
    <w:p w14:paraId="00857B70">
      <w:pPr>
        <w:pStyle w:val="17"/>
        <w:spacing w:before="4"/>
        <w:rPr>
          <w:sz w:val="15"/>
        </w:rPr>
      </w:pPr>
    </w:p>
    <w:p w14:paraId="33D41A1B">
      <w:pPr>
        <w:pStyle w:val="317"/>
        <w:numPr>
          <w:ilvl w:val="0"/>
          <w:numId w:val="105"/>
        </w:numPr>
        <w:tabs>
          <w:tab w:val="left" w:pos="898"/>
        </w:tabs>
        <w:spacing w:line="429" w:lineRule="auto"/>
        <w:ind w:right="1270" w:firstLine="420"/>
        <w:jc w:val="left"/>
        <w:rPr>
          <w:sz w:val="21"/>
        </w:rPr>
      </w:pPr>
      <w:r>
        <w:rPr>
          <w:spacing w:val="-4"/>
          <w:sz w:val="21"/>
        </w:rPr>
        <w:t xml:space="preserve">承包人应制定对于未遂事故及以上级别的安全事件和事故，定期报送安全月度快报、季报、年报和各种专项事故报告等。 </w:t>
      </w:r>
    </w:p>
    <w:p w14:paraId="17EFD1B3">
      <w:pPr>
        <w:pStyle w:val="317"/>
        <w:numPr>
          <w:ilvl w:val="0"/>
          <w:numId w:val="105"/>
        </w:numPr>
        <w:tabs>
          <w:tab w:val="left" w:pos="898"/>
        </w:tabs>
        <w:spacing w:line="251" w:lineRule="exact"/>
        <w:ind w:left="898" w:hanging="317"/>
        <w:jc w:val="left"/>
        <w:rPr>
          <w:sz w:val="21"/>
        </w:rPr>
      </w:pPr>
      <w:r>
        <w:rPr>
          <w:spacing w:val="-7"/>
          <w:sz w:val="21"/>
        </w:rPr>
        <w:t>承包人应建立安全事故统计记录、未遂事故统计记录、违章统计记录，并根据统计情况进行分析，</w:t>
      </w:r>
    </w:p>
    <w:p w14:paraId="481100F0">
      <w:pPr>
        <w:pStyle w:val="17"/>
        <w:spacing w:before="4"/>
        <w:rPr>
          <w:sz w:val="15"/>
        </w:rPr>
      </w:pPr>
    </w:p>
    <w:p w14:paraId="465711B0">
      <w:pPr>
        <w:pStyle w:val="17"/>
        <w:spacing w:before="1"/>
        <w:ind w:left="161"/>
      </w:pPr>
      <w:r>
        <w:t xml:space="preserve">并就分析结果制定相应的预防措施。 </w:t>
      </w:r>
    </w:p>
    <w:p w14:paraId="60A00177">
      <w:pPr>
        <w:pStyle w:val="17"/>
        <w:spacing w:before="4"/>
        <w:rPr>
          <w:sz w:val="15"/>
        </w:rPr>
      </w:pPr>
    </w:p>
    <w:p w14:paraId="6D2C3487">
      <w:pPr>
        <w:pStyle w:val="317"/>
        <w:numPr>
          <w:ilvl w:val="0"/>
          <w:numId w:val="105"/>
        </w:numPr>
        <w:tabs>
          <w:tab w:val="left" w:pos="898"/>
        </w:tabs>
        <w:spacing w:line="415" w:lineRule="auto"/>
        <w:ind w:right="1164" w:firstLine="420"/>
        <w:jc w:val="left"/>
        <w:rPr>
          <w:sz w:val="21"/>
        </w:rPr>
      </w:pPr>
      <w:r>
        <w:rPr>
          <w:spacing w:val="-7"/>
          <w:sz w:val="21"/>
        </w:rPr>
        <w:t>承包人应建立事故应急救援机制，明确事故处置的基本原则，即现场发生事故时，首先抢救生命，向救援组织报警，并采取措施限制事故扩大。</w:t>
      </w:r>
      <w:r>
        <w:rPr>
          <w:sz w:val="21"/>
        </w:rPr>
        <w:t xml:space="preserve"> </w:t>
      </w:r>
    </w:p>
    <w:p w14:paraId="2A5FD0DA">
      <w:pPr>
        <w:pStyle w:val="317"/>
        <w:numPr>
          <w:ilvl w:val="0"/>
          <w:numId w:val="105"/>
        </w:numPr>
        <w:tabs>
          <w:tab w:val="left" w:pos="898"/>
        </w:tabs>
        <w:spacing w:before="15"/>
        <w:ind w:left="898" w:hanging="317"/>
        <w:jc w:val="left"/>
        <w:rPr>
          <w:sz w:val="21"/>
        </w:rPr>
      </w:pPr>
      <w:r>
        <w:rPr>
          <w:spacing w:val="-1"/>
          <w:sz w:val="21"/>
        </w:rPr>
        <w:t>承包人应建立相应的应急响应组织，以便能迅速处理突发意外。</w:t>
      </w:r>
      <w:r>
        <w:rPr>
          <w:sz w:val="21"/>
        </w:rPr>
        <w:t xml:space="preserve"> </w:t>
      </w:r>
    </w:p>
    <w:p w14:paraId="4D1AB274">
      <w:pPr>
        <w:pStyle w:val="17"/>
        <w:spacing w:before="4"/>
        <w:rPr>
          <w:sz w:val="15"/>
        </w:rPr>
      </w:pPr>
    </w:p>
    <w:p w14:paraId="5D5CD1DE">
      <w:pPr>
        <w:pStyle w:val="317"/>
        <w:numPr>
          <w:ilvl w:val="0"/>
          <w:numId w:val="105"/>
        </w:numPr>
        <w:tabs>
          <w:tab w:val="left" w:pos="898"/>
        </w:tabs>
        <w:spacing w:line="415" w:lineRule="auto"/>
        <w:ind w:right="1196" w:firstLine="420"/>
        <w:jc w:val="left"/>
        <w:rPr>
          <w:sz w:val="21"/>
        </w:rPr>
      </w:pPr>
      <w:r>
        <w:rPr>
          <w:spacing w:val="-1"/>
          <w:sz w:val="21"/>
        </w:rPr>
        <w:t>承包人应建立专项应急响应预案，包括重大人身伤亡事故的救护预案、火灾响应预案、“四防” 预案（防风、防冻、防雷、防暴雨）</w:t>
      </w:r>
      <w:r>
        <w:rPr>
          <w:spacing w:val="-2"/>
          <w:sz w:val="21"/>
        </w:rPr>
        <w:t>、重大疫病防护预案、环境污染防护预案、地质灾害防护预案等。</w:t>
      </w:r>
      <w:r>
        <w:rPr>
          <w:sz w:val="21"/>
        </w:rPr>
        <w:t xml:space="preserve"> </w:t>
      </w:r>
    </w:p>
    <w:p w14:paraId="7AF9F3EC">
      <w:pPr>
        <w:pStyle w:val="317"/>
        <w:numPr>
          <w:ilvl w:val="0"/>
          <w:numId w:val="105"/>
        </w:numPr>
        <w:tabs>
          <w:tab w:val="left" w:pos="898"/>
        </w:tabs>
        <w:spacing w:line="269" w:lineRule="exact"/>
        <w:ind w:left="898" w:hanging="317"/>
        <w:jc w:val="left"/>
        <w:rPr>
          <w:sz w:val="21"/>
        </w:rPr>
      </w:pPr>
      <w:r>
        <w:rPr>
          <w:spacing w:val="-1"/>
          <w:sz w:val="21"/>
        </w:rPr>
        <w:t>承包人应对应急预案进行适当演练，保证应急预案的可操作性。</w:t>
      </w:r>
      <w:r>
        <w:rPr>
          <w:sz w:val="21"/>
        </w:rPr>
        <w:t xml:space="preserve"> </w:t>
      </w:r>
    </w:p>
    <w:p w14:paraId="263829B0">
      <w:pPr>
        <w:pStyle w:val="17"/>
        <w:spacing w:before="4"/>
        <w:rPr>
          <w:sz w:val="15"/>
        </w:rPr>
      </w:pPr>
    </w:p>
    <w:p w14:paraId="42B2F1D9">
      <w:pPr>
        <w:pStyle w:val="317"/>
        <w:numPr>
          <w:ilvl w:val="0"/>
          <w:numId w:val="105"/>
        </w:numPr>
        <w:tabs>
          <w:tab w:val="left" w:pos="898"/>
        </w:tabs>
        <w:ind w:left="898" w:hanging="317"/>
        <w:jc w:val="left"/>
        <w:rPr>
          <w:sz w:val="21"/>
        </w:rPr>
      </w:pPr>
      <w:r>
        <w:rPr>
          <w:spacing w:val="-1"/>
          <w:sz w:val="21"/>
        </w:rPr>
        <w:t>在工地的其他施工单位发生重大事故时，承包人应无条件立即配合、支持事故抢险。</w:t>
      </w:r>
      <w:r>
        <w:rPr>
          <w:sz w:val="21"/>
        </w:rPr>
        <w:t xml:space="preserve"> </w:t>
      </w:r>
    </w:p>
    <w:p w14:paraId="105B948D">
      <w:pPr>
        <w:pStyle w:val="17"/>
        <w:spacing w:before="7"/>
        <w:rPr>
          <w:sz w:val="16"/>
        </w:rPr>
      </w:pPr>
    </w:p>
    <w:p w14:paraId="69EEAC30">
      <w:pPr>
        <w:pStyle w:val="317"/>
        <w:numPr>
          <w:ilvl w:val="0"/>
          <w:numId w:val="105"/>
        </w:numPr>
        <w:tabs>
          <w:tab w:val="left" w:pos="898"/>
        </w:tabs>
        <w:spacing w:line="415" w:lineRule="auto"/>
        <w:ind w:right="1270" w:firstLine="420"/>
        <w:jc w:val="left"/>
        <w:rPr>
          <w:sz w:val="21"/>
        </w:rPr>
      </w:pPr>
      <w:r>
        <w:rPr>
          <w:spacing w:val="-4"/>
          <w:sz w:val="21"/>
        </w:rPr>
        <w:t xml:space="preserve">承包人必须为事故处置支付各项费用，包括受伤者的抚恤、补偿等费用，并按合同要求赔偿对发包人造成的损失。 </w:t>
      </w:r>
    </w:p>
    <w:p w14:paraId="68BAE345">
      <w:pPr>
        <w:spacing w:line="415" w:lineRule="auto"/>
        <w:rPr>
          <w:sz w:val="21"/>
        </w:rPr>
        <w:sectPr>
          <w:pgSz w:w="11910" w:h="16850"/>
          <w:pgMar w:top="1360" w:right="0" w:bottom="1180" w:left="980" w:header="0" w:footer="996" w:gutter="0"/>
          <w:cols w:space="720" w:num="1"/>
        </w:sectPr>
      </w:pPr>
    </w:p>
    <w:p w14:paraId="03055AF3">
      <w:pPr>
        <w:pStyle w:val="317"/>
        <w:numPr>
          <w:ilvl w:val="0"/>
          <w:numId w:val="105"/>
        </w:numPr>
        <w:tabs>
          <w:tab w:val="left" w:pos="1064"/>
        </w:tabs>
        <w:spacing w:before="46"/>
        <w:ind w:left="1063" w:hanging="318"/>
        <w:jc w:val="left"/>
        <w:rPr>
          <w:sz w:val="21"/>
        </w:rPr>
      </w:pPr>
      <w:r>
        <w:rPr>
          <w:spacing w:val="-1"/>
          <w:sz w:val="21"/>
        </w:rPr>
        <w:t>由于发包人原因而造成的事故，发包人应负责按事故的具体损失情况给予承包人经济赔偿。</w:t>
      </w:r>
      <w:r>
        <w:rPr>
          <w:sz w:val="21"/>
        </w:rPr>
        <w:t xml:space="preserve"> </w:t>
      </w:r>
    </w:p>
    <w:p w14:paraId="17A4D657">
      <w:pPr>
        <w:pStyle w:val="17"/>
        <w:spacing w:before="4"/>
        <w:rPr>
          <w:sz w:val="15"/>
        </w:rPr>
      </w:pPr>
    </w:p>
    <w:p w14:paraId="6BFB9C86">
      <w:pPr>
        <w:pStyle w:val="317"/>
        <w:numPr>
          <w:ilvl w:val="0"/>
          <w:numId w:val="105"/>
        </w:numPr>
        <w:tabs>
          <w:tab w:val="left" w:pos="1169"/>
        </w:tabs>
        <w:spacing w:line="415" w:lineRule="auto"/>
        <w:ind w:left="326" w:right="1136" w:firstLine="420"/>
        <w:jc w:val="left"/>
        <w:rPr>
          <w:sz w:val="21"/>
        </w:rPr>
      </w:pPr>
      <w:r>
        <w:rPr>
          <w:spacing w:val="-1"/>
          <w:sz w:val="21"/>
        </w:rPr>
        <w:t>涉及承包人员工的伤害事故，承包人除要报告发包人委托的监理公司外，还应负责按照国家、</w:t>
      </w:r>
      <w:r>
        <w:rPr>
          <w:spacing w:val="-2"/>
          <w:sz w:val="21"/>
        </w:rPr>
        <w:t>行业和本单位上级公司的要求，上报事故。</w:t>
      </w:r>
      <w:r>
        <w:rPr>
          <w:sz w:val="21"/>
        </w:rPr>
        <w:t xml:space="preserve"> </w:t>
      </w:r>
    </w:p>
    <w:p w14:paraId="1DA18076">
      <w:pPr>
        <w:pStyle w:val="17"/>
        <w:spacing w:before="15"/>
        <w:ind w:left="746"/>
      </w:pPr>
      <w:r>
        <w:t xml:space="preserve">十六、安全业绩考核 </w:t>
      </w:r>
    </w:p>
    <w:p w14:paraId="11B8AD19">
      <w:pPr>
        <w:pStyle w:val="17"/>
        <w:spacing w:before="4"/>
        <w:rPr>
          <w:sz w:val="15"/>
        </w:rPr>
      </w:pPr>
    </w:p>
    <w:p w14:paraId="2E1BFCBA">
      <w:pPr>
        <w:pStyle w:val="17"/>
        <w:spacing w:line="415" w:lineRule="auto"/>
        <w:ind w:left="326" w:right="1129" w:firstLine="420"/>
      </w:pPr>
      <w:r>
        <w:rPr>
          <w:lang w:val="en-US" w:bidi="ar-SA"/>
        </w:rPr>
        <mc:AlternateContent>
          <mc:Choice Requires="wps">
            <w:drawing>
              <wp:anchor distT="0" distB="0" distL="114300" distR="114300" simplePos="0" relativeHeight="251723776" behindDoc="0" locked="0" layoutInCell="1" allowOverlap="1">
                <wp:simplePos x="0" y="0"/>
                <wp:positionH relativeFrom="page">
                  <wp:posOffset>1602105</wp:posOffset>
                </wp:positionH>
                <wp:positionV relativeFrom="paragraph">
                  <wp:posOffset>523875</wp:posOffset>
                </wp:positionV>
                <wp:extent cx="4468495" cy="1259205"/>
                <wp:effectExtent l="0" t="0" r="0" b="0"/>
                <wp:wrapNone/>
                <wp:docPr id="1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4468495" cy="1259205"/>
                        </a:xfrm>
                        <a:prstGeom prst="rect">
                          <a:avLst/>
                        </a:prstGeom>
                        <a:noFill/>
                        <a:ln>
                          <a:noFill/>
                        </a:ln>
                      </wps:spPr>
                      <wps:txbx>
                        <w:txbxContent>
                          <w:tbl>
                            <w:tblPr>
                              <w:tblStyle w:val="46"/>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3770"/>
                            </w:tblGrid>
                            <w:tr w14:paraId="3AB7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14:paraId="062980CB">
                                  <w:pPr>
                                    <w:pStyle w:val="318"/>
                                    <w:ind w:left="533"/>
                                    <w:rPr>
                                      <w:sz w:val="21"/>
                                    </w:rPr>
                                  </w:pPr>
                                  <w:r>
                                    <w:rPr>
                                      <w:sz w:val="21"/>
                                    </w:rPr>
                                    <w:t xml:space="preserve">事件类型 </w:t>
                                  </w:r>
                                </w:p>
                              </w:tc>
                              <w:tc>
                                <w:tcPr>
                                  <w:tcW w:w="3770" w:type="dxa"/>
                                </w:tcPr>
                                <w:p w14:paraId="6F707F08">
                                  <w:pPr>
                                    <w:pStyle w:val="318"/>
                                    <w:ind w:left="532"/>
                                    <w:rPr>
                                      <w:sz w:val="21"/>
                                    </w:rPr>
                                  </w:pPr>
                                  <w:r>
                                    <w:rPr>
                                      <w:sz w:val="21"/>
                                    </w:rPr>
                                    <w:t xml:space="preserve">违约金额 </w:t>
                                  </w:r>
                                </w:p>
                              </w:tc>
                            </w:tr>
                            <w:tr w14:paraId="4F2B7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245" w:type="dxa"/>
                                </w:tcPr>
                                <w:p w14:paraId="0EF13C93">
                                  <w:pPr>
                                    <w:pStyle w:val="318"/>
                                    <w:ind w:left="533"/>
                                    <w:rPr>
                                      <w:sz w:val="21"/>
                                    </w:rPr>
                                  </w:pPr>
                                  <w:r>
                                    <w:rPr>
                                      <w:sz w:val="21"/>
                                    </w:rPr>
                                    <w:t xml:space="preserve">较大事故 </w:t>
                                  </w:r>
                                </w:p>
                              </w:tc>
                              <w:tc>
                                <w:tcPr>
                                  <w:tcW w:w="3770" w:type="dxa"/>
                                </w:tcPr>
                                <w:p w14:paraId="5D3F20DB">
                                  <w:pPr>
                                    <w:pStyle w:val="318"/>
                                    <w:ind w:left="427"/>
                                    <w:rPr>
                                      <w:sz w:val="21"/>
                                    </w:rPr>
                                  </w:pPr>
                                  <w:r>
                                    <w:rPr>
                                      <w:sz w:val="21"/>
                                    </w:rPr>
                                    <w:t xml:space="preserve">签约合同价的 0.5‰ </w:t>
                                  </w:r>
                                </w:p>
                              </w:tc>
                            </w:tr>
                            <w:tr w14:paraId="4DF6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14:paraId="7A0569F5">
                                  <w:pPr>
                                    <w:pStyle w:val="318"/>
                                    <w:spacing w:before="120"/>
                                    <w:ind w:left="533"/>
                                    <w:rPr>
                                      <w:sz w:val="21"/>
                                    </w:rPr>
                                  </w:pPr>
                                  <w:r>
                                    <w:rPr>
                                      <w:sz w:val="21"/>
                                    </w:rPr>
                                    <w:t xml:space="preserve">重大事故 </w:t>
                                  </w:r>
                                </w:p>
                              </w:tc>
                              <w:tc>
                                <w:tcPr>
                                  <w:tcW w:w="3770" w:type="dxa"/>
                                </w:tcPr>
                                <w:p w14:paraId="48920BD2">
                                  <w:pPr>
                                    <w:pStyle w:val="318"/>
                                    <w:spacing w:before="120"/>
                                    <w:ind w:left="427"/>
                                    <w:rPr>
                                      <w:sz w:val="21"/>
                                    </w:rPr>
                                  </w:pPr>
                                  <w:r>
                                    <w:rPr>
                                      <w:sz w:val="21"/>
                                    </w:rPr>
                                    <w:t xml:space="preserve">签约合同价的 2‰ </w:t>
                                  </w:r>
                                </w:p>
                              </w:tc>
                            </w:tr>
                            <w:tr w14:paraId="77E78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14:paraId="00D14B88">
                                  <w:pPr>
                                    <w:pStyle w:val="318"/>
                                    <w:ind w:left="533"/>
                                    <w:rPr>
                                      <w:sz w:val="21"/>
                                    </w:rPr>
                                  </w:pPr>
                                  <w:r>
                                    <w:rPr>
                                      <w:sz w:val="21"/>
                                    </w:rPr>
                                    <w:t xml:space="preserve">特别重大事故 </w:t>
                                  </w:r>
                                </w:p>
                              </w:tc>
                              <w:tc>
                                <w:tcPr>
                                  <w:tcW w:w="3770" w:type="dxa"/>
                                </w:tcPr>
                                <w:p w14:paraId="0126CDF3">
                                  <w:pPr>
                                    <w:pStyle w:val="318"/>
                                    <w:ind w:left="427"/>
                                    <w:rPr>
                                      <w:sz w:val="21"/>
                                    </w:rPr>
                                  </w:pPr>
                                  <w:r>
                                    <w:rPr>
                                      <w:sz w:val="21"/>
                                    </w:rPr>
                                    <w:t xml:space="preserve">签约合同价的 4‰ </w:t>
                                  </w:r>
                                </w:p>
                              </w:tc>
                            </w:tr>
                          </w:tbl>
                          <w:p w14:paraId="08F890D6">
                            <w:pPr>
                              <w:pStyle w:val="17"/>
                            </w:pPr>
                          </w:p>
                        </w:txbxContent>
                      </wps:txbx>
                      <wps:bodyPr rot="0" vert="horz" wrap="square" lIns="0" tIns="0" rIns="0" bIns="0" anchor="t" anchorCtr="0" upright="1">
                        <a:noAutofit/>
                      </wps:bodyPr>
                    </wps:wsp>
                  </a:graphicData>
                </a:graphic>
              </wp:anchor>
            </w:drawing>
          </mc:Choice>
          <mc:Fallback>
            <w:pict>
              <v:shape id="Text Box 24" o:spid="_x0000_s1026" o:spt="202" type="#_x0000_t202" style="position:absolute;left:0pt;margin-left:126.15pt;margin-top:41.25pt;height:99.15pt;width:351.85pt;mso-position-horizontal-relative:page;z-index:251723776;mso-width-relative:page;mso-height-relative:page;" filled="f" stroked="f" coordsize="21600,21600" o:gfxdata="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FE5p2AAAAAoBAAAPAAAAAAAAAAEAIAAAACIAAABkcnMvZG93&#10;bnJldi54bWxQSwECFAAUAAAACACHTuJAxs4r8QACAAAHBAAADgAAAAAAAAABACAAAAAnAQAAZHJz&#10;L2Uyb0RvYy54bWxQSwUGAAAAAAYABgBZAQAAmQUAAAAA&#10;">
                <v:fill on="f" focussize="0,0"/>
                <v:stroke on="f"/>
                <v:imagedata o:title=""/>
                <o:lock v:ext="edit" aspectratio="f"/>
                <v:textbox inset="0mm,0mm,0mm,0mm">
                  <w:txbxContent>
                    <w:tbl>
                      <w:tblPr>
                        <w:tblStyle w:val="46"/>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3770"/>
                      </w:tblGrid>
                      <w:tr w14:paraId="3AB7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14:paraId="062980CB">
                            <w:pPr>
                              <w:pStyle w:val="318"/>
                              <w:ind w:left="533"/>
                              <w:rPr>
                                <w:sz w:val="21"/>
                              </w:rPr>
                            </w:pPr>
                            <w:r>
                              <w:rPr>
                                <w:sz w:val="21"/>
                              </w:rPr>
                              <w:t xml:space="preserve">事件类型 </w:t>
                            </w:r>
                          </w:p>
                        </w:tc>
                        <w:tc>
                          <w:tcPr>
                            <w:tcW w:w="3770" w:type="dxa"/>
                          </w:tcPr>
                          <w:p w14:paraId="6F707F08">
                            <w:pPr>
                              <w:pStyle w:val="318"/>
                              <w:ind w:left="532"/>
                              <w:rPr>
                                <w:sz w:val="21"/>
                              </w:rPr>
                            </w:pPr>
                            <w:r>
                              <w:rPr>
                                <w:sz w:val="21"/>
                              </w:rPr>
                              <w:t xml:space="preserve">违约金额 </w:t>
                            </w:r>
                          </w:p>
                        </w:tc>
                      </w:tr>
                      <w:tr w14:paraId="4F2B7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245" w:type="dxa"/>
                          </w:tcPr>
                          <w:p w14:paraId="0EF13C93">
                            <w:pPr>
                              <w:pStyle w:val="318"/>
                              <w:ind w:left="533"/>
                              <w:rPr>
                                <w:sz w:val="21"/>
                              </w:rPr>
                            </w:pPr>
                            <w:r>
                              <w:rPr>
                                <w:sz w:val="21"/>
                              </w:rPr>
                              <w:t xml:space="preserve">较大事故 </w:t>
                            </w:r>
                          </w:p>
                        </w:tc>
                        <w:tc>
                          <w:tcPr>
                            <w:tcW w:w="3770" w:type="dxa"/>
                          </w:tcPr>
                          <w:p w14:paraId="5D3F20DB">
                            <w:pPr>
                              <w:pStyle w:val="318"/>
                              <w:ind w:left="427"/>
                              <w:rPr>
                                <w:sz w:val="21"/>
                              </w:rPr>
                            </w:pPr>
                            <w:r>
                              <w:rPr>
                                <w:sz w:val="21"/>
                              </w:rPr>
                              <w:t xml:space="preserve">签约合同价的 0.5‰ </w:t>
                            </w:r>
                          </w:p>
                        </w:tc>
                      </w:tr>
                      <w:tr w14:paraId="4DF6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14:paraId="7A0569F5">
                            <w:pPr>
                              <w:pStyle w:val="318"/>
                              <w:spacing w:before="120"/>
                              <w:ind w:left="533"/>
                              <w:rPr>
                                <w:sz w:val="21"/>
                              </w:rPr>
                            </w:pPr>
                            <w:r>
                              <w:rPr>
                                <w:sz w:val="21"/>
                              </w:rPr>
                              <w:t xml:space="preserve">重大事故 </w:t>
                            </w:r>
                          </w:p>
                        </w:tc>
                        <w:tc>
                          <w:tcPr>
                            <w:tcW w:w="3770" w:type="dxa"/>
                          </w:tcPr>
                          <w:p w14:paraId="48920BD2">
                            <w:pPr>
                              <w:pStyle w:val="318"/>
                              <w:spacing w:before="120"/>
                              <w:ind w:left="427"/>
                              <w:rPr>
                                <w:sz w:val="21"/>
                              </w:rPr>
                            </w:pPr>
                            <w:r>
                              <w:rPr>
                                <w:sz w:val="21"/>
                              </w:rPr>
                              <w:t xml:space="preserve">签约合同价的 2‰ </w:t>
                            </w:r>
                          </w:p>
                        </w:tc>
                      </w:tr>
                      <w:tr w14:paraId="77E78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14:paraId="00D14B88">
                            <w:pPr>
                              <w:pStyle w:val="318"/>
                              <w:ind w:left="533"/>
                              <w:rPr>
                                <w:sz w:val="21"/>
                              </w:rPr>
                            </w:pPr>
                            <w:r>
                              <w:rPr>
                                <w:sz w:val="21"/>
                              </w:rPr>
                              <w:t xml:space="preserve">特别重大事故 </w:t>
                            </w:r>
                          </w:p>
                        </w:tc>
                        <w:tc>
                          <w:tcPr>
                            <w:tcW w:w="3770" w:type="dxa"/>
                          </w:tcPr>
                          <w:p w14:paraId="0126CDF3">
                            <w:pPr>
                              <w:pStyle w:val="318"/>
                              <w:ind w:left="427"/>
                              <w:rPr>
                                <w:sz w:val="21"/>
                              </w:rPr>
                            </w:pPr>
                            <w:r>
                              <w:rPr>
                                <w:sz w:val="21"/>
                              </w:rPr>
                              <w:t xml:space="preserve">签约合同价的 4‰ </w:t>
                            </w:r>
                          </w:p>
                        </w:tc>
                      </w:tr>
                    </w:tbl>
                    <w:p w14:paraId="08F890D6">
                      <w:pPr>
                        <w:pStyle w:val="17"/>
                      </w:pPr>
                    </w:p>
                  </w:txbxContent>
                </v:textbox>
              </v:shape>
            </w:pict>
          </mc:Fallback>
        </mc:AlternateContent>
      </w:r>
      <w:r>
        <w:t xml:space="preserve">为了落实安全管理的责任，承包人在施工过程中发生安全事故时，承包人除应按国家有关规定承担责任和处罚外，发包人还将按照以下标准进行考核： </w:t>
      </w:r>
    </w:p>
    <w:p w14:paraId="561D52AA">
      <w:pPr>
        <w:pStyle w:val="17"/>
        <w:rPr>
          <w:sz w:val="20"/>
        </w:rPr>
      </w:pPr>
    </w:p>
    <w:p w14:paraId="49966DC8">
      <w:pPr>
        <w:pStyle w:val="17"/>
        <w:rPr>
          <w:sz w:val="20"/>
        </w:rPr>
      </w:pPr>
    </w:p>
    <w:p w14:paraId="78314AAB">
      <w:pPr>
        <w:pStyle w:val="17"/>
        <w:rPr>
          <w:sz w:val="20"/>
        </w:rPr>
      </w:pPr>
    </w:p>
    <w:p w14:paraId="467BBCF0">
      <w:pPr>
        <w:pStyle w:val="17"/>
        <w:rPr>
          <w:sz w:val="20"/>
        </w:rPr>
      </w:pPr>
    </w:p>
    <w:p w14:paraId="48CEC5CA">
      <w:pPr>
        <w:pStyle w:val="17"/>
        <w:rPr>
          <w:sz w:val="20"/>
        </w:rPr>
      </w:pPr>
    </w:p>
    <w:p w14:paraId="34326868">
      <w:pPr>
        <w:pStyle w:val="17"/>
        <w:rPr>
          <w:sz w:val="20"/>
        </w:rPr>
      </w:pPr>
    </w:p>
    <w:p w14:paraId="4C4148FE">
      <w:pPr>
        <w:pStyle w:val="17"/>
        <w:rPr>
          <w:sz w:val="20"/>
        </w:rPr>
      </w:pPr>
    </w:p>
    <w:p w14:paraId="3AD82880">
      <w:pPr>
        <w:pStyle w:val="17"/>
        <w:spacing w:before="9"/>
        <w:rPr>
          <w:sz w:val="14"/>
        </w:rPr>
      </w:pPr>
    </w:p>
    <w:p w14:paraId="0D34C391">
      <w:pPr>
        <w:pStyle w:val="317"/>
        <w:numPr>
          <w:ilvl w:val="0"/>
          <w:numId w:val="106"/>
        </w:numPr>
        <w:tabs>
          <w:tab w:val="left" w:pos="1274"/>
        </w:tabs>
        <w:ind w:hanging="528"/>
        <w:rPr>
          <w:sz w:val="21"/>
        </w:rPr>
      </w:pPr>
      <w:r>
        <w:rPr>
          <w:spacing w:val="-9"/>
          <w:sz w:val="21"/>
        </w:rPr>
        <w:t xml:space="preserve">较大事故，是指造成 </w:t>
      </w:r>
      <w:r>
        <w:rPr>
          <w:sz w:val="21"/>
        </w:rPr>
        <w:t>3</w:t>
      </w:r>
      <w:r>
        <w:rPr>
          <w:spacing w:val="-19"/>
          <w:sz w:val="21"/>
        </w:rPr>
        <w:t xml:space="preserve"> 人以上 </w:t>
      </w:r>
      <w:r>
        <w:rPr>
          <w:spacing w:val="-8"/>
          <w:sz w:val="21"/>
        </w:rPr>
        <w:t>10</w:t>
      </w:r>
      <w:r>
        <w:rPr>
          <w:spacing w:val="-14"/>
          <w:sz w:val="21"/>
        </w:rPr>
        <w:t xml:space="preserve"> 人以下死亡，或者 </w:t>
      </w:r>
      <w:r>
        <w:rPr>
          <w:sz w:val="21"/>
        </w:rPr>
        <w:t>10</w:t>
      </w:r>
      <w:r>
        <w:rPr>
          <w:spacing w:val="-22"/>
          <w:sz w:val="21"/>
        </w:rPr>
        <w:t xml:space="preserve"> 人以上 </w:t>
      </w:r>
      <w:r>
        <w:rPr>
          <w:sz w:val="21"/>
        </w:rPr>
        <w:t>50</w:t>
      </w:r>
      <w:r>
        <w:rPr>
          <w:spacing w:val="-14"/>
          <w:sz w:val="21"/>
        </w:rPr>
        <w:t xml:space="preserve"> 人以下重伤，或者 </w:t>
      </w:r>
      <w:r>
        <w:rPr>
          <w:spacing w:val="-4"/>
          <w:sz w:val="21"/>
        </w:rPr>
        <w:t>1000</w:t>
      </w:r>
      <w:r>
        <w:rPr>
          <w:spacing w:val="-16"/>
          <w:sz w:val="21"/>
        </w:rPr>
        <w:t xml:space="preserve"> 万元</w:t>
      </w:r>
    </w:p>
    <w:p w14:paraId="1E203DE0">
      <w:pPr>
        <w:pStyle w:val="17"/>
        <w:spacing w:before="4"/>
        <w:rPr>
          <w:sz w:val="15"/>
        </w:rPr>
      </w:pPr>
    </w:p>
    <w:p w14:paraId="32EE62AA">
      <w:pPr>
        <w:pStyle w:val="17"/>
        <w:ind w:left="326"/>
      </w:pPr>
      <w:r>
        <w:t xml:space="preserve">以上 5000 万元以下直接经济损失的事故； </w:t>
      </w:r>
    </w:p>
    <w:p w14:paraId="5026D16A">
      <w:pPr>
        <w:pStyle w:val="17"/>
        <w:spacing w:before="4"/>
        <w:rPr>
          <w:sz w:val="15"/>
        </w:rPr>
      </w:pPr>
    </w:p>
    <w:p w14:paraId="24F82DF1">
      <w:pPr>
        <w:pStyle w:val="317"/>
        <w:numPr>
          <w:ilvl w:val="0"/>
          <w:numId w:val="106"/>
        </w:numPr>
        <w:tabs>
          <w:tab w:val="left" w:pos="1274"/>
        </w:tabs>
        <w:ind w:hanging="528"/>
        <w:rPr>
          <w:sz w:val="21"/>
        </w:rPr>
      </w:pPr>
      <w:r>
        <w:rPr>
          <w:spacing w:val="-5"/>
          <w:sz w:val="21"/>
        </w:rPr>
        <w:t xml:space="preserve">重大事故，是指造成 </w:t>
      </w:r>
      <w:r>
        <w:rPr>
          <w:sz w:val="21"/>
        </w:rPr>
        <w:t>10</w:t>
      </w:r>
      <w:r>
        <w:rPr>
          <w:spacing w:val="-19"/>
          <w:sz w:val="21"/>
        </w:rPr>
        <w:t xml:space="preserve"> 人以上 </w:t>
      </w:r>
      <w:r>
        <w:rPr>
          <w:sz w:val="21"/>
        </w:rPr>
        <w:t>30</w:t>
      </w:r>
      <w:r>
        <w:rPr>
          <w:spacing w:val="-11"/>
          <w:sz w:val="21"/>
        </w:rPr>
        <w:t xml:space="preserve"> 人以下死亡，或者 </w:t>
      </w:r>
      <w:r>
        <w:rPr>
          <w:sz w:val="21"/>
        </w:rPr>
        <w:t>50</w:t>
      </w:r>
      <w:r>
        <w:rPr>
          <w:spacing w:val="-19"/>
          <w:sz w:val="21"/>
        </w:rPr>
        <w:t xml:space="preserve"> 人以上 </w:t>
      </w:r>
      <w:r>
        <w:rPr>
          <w:sz w:val="21"/>
        </w:rPr>
        <w:t>100</w:t>
      </w:r>
      <w:r>
        <w:rPr>
          <w:spacing w:val="-12"/>
          <w:sz w:val="21"/>
        </w:rPr>
        <w:t xml:space="preserve"> 人以下重伤，或者 </w:t>
      </w:r>
      <w:r>
        <w:rPr>
          <w:sz w:val="21"/>
        </w:rPr>
        <w:t>5000</w:t>
      </w:r>
    </w:p>
    <w:p w14:paraId="33AEF6D5">
      <w:pPr>
        <w:pStyle w:val="17"/>
        <w:spacing w:before="4"/>
        <w:rPr>
          <w:sz w:val="15"/>
        </w:rPr>
      </w:pPr>
    </w:p>
    <w:p w14:paraId="578250A3">
      <w:pPr>
        <w:pStyle w:val="17"/>
        <w:ind w:left="326"/>
      </w:pPr>
      <w:r>
        <w:t xml:space="preserve">万元以上 1 亿元以下直接经济损失的事故； </w:t>
      </w:r>
    </w:p>
    <w:p w14:paraId="20B52FAB">
      <w:pPr>
        <w:pStyle w:val="17"/>
        <w:spacing w:before="4"/>
        <w:rPr>
          <w:sz w:val="15"/>
        </w:rPr>
      </w:pPr>
    </w:p>
    <w:p w14:paraId="7D5F678D">
      <w:pPr>
        <w:pStyle w:val="317"/>
        <w:numPr>
          <w:ilvl w:val="0"/>
          <w:numId w:val="106"/>
        </w:numPr>
        <w:tabs>
          <w:tab w:val="left" w:pos="1274"/>
        </w:tabs>
        <w:ind w:hanging="528"/>
        <w:rPr>
          <w:sz w:val="21"/>
        </w:rPr>
      </w:pPr>
      <w:r>
        <w:rPr>
          <w:spacing w:val="-7"/>
          <w:sz w:val="21"/>
        </w:rPr>
        <w:t xml:space="preserve">特别重大事故，是指造成 </w:t>
      </w:r>
      <w:r>
        <w:rPr>
          <w:sz w:val="21"/>
        </w:rPr>
        <w:t>30</w:t>
      </w:r>
      <w:r>
        <w:rPr>
          <w:spacing w:val="-12"/>
          <w:sz w:val="21"/>
        </w:rPr>
        <w:t xml:space="preserve"> 人以上死亡，或者 </w:t>
      </w:r>
      <w:r>
        <w:rPr>
          <w:spacing w:val="-5"/>
          <w:sz w:val="21"/>
        </w:rPr>
        <w:t>100</w:t>
      </w:r>
      <w:r>
        <w:rPr>
          <w:spacing w:val="-11"/>
          <w:sz w:val="21"/>
        </w:rPr>
        <w:t xml:space="preserve"> 人以上重伤</w:t>
      </w:r>
      <w:r>
        <w:rPr>
          <w:sz w:val="21"/>
        </w:rPr>
        <w:t>（</w:t>
      </w:r>
      <w:r>
        <w:rPr>
          <w:spacing w:val="-2"/>
          <w:sz w:val="21"/>
        </w:rPr>
        <w:t>包括急性工业中毒，下同</w:t>
      </w:r>
      <w:r>
        <w:rPr>
          <w:spacing w:val="-8"/>
          <w:sz w:val="21"/>
        </w:rPr>
        <w:t>），</w:t>
      </w:r>
    </w:p>
    <w:p w14:paraId="1814486F">
      <w:pPr>
        <w:pStyle w:val="17"/>
        <w:spacing w:before="6"/>
        <w:rPr>
          <w:sz w:val="16"/>
        </w:rPr>
      </w:pPr>
    </w:p>
    <w:p w14:paraId="49FD4BB8">
      <w:pPr>
        <w:pStyle w:val="17"/>
        <w:ind w:left="326"/>
      </w:pPr>
      <w:r>
        <w:t xml:space="preserve">或者 1 亿元以上直接经济损失的事故； </w:t>
      </w:r>
    </w:p>
    <w:p w14:paraId="023350D5">
      <w:pPr>
        <w:pStyle w:val="317"/>
        <w:numPr>
          <w:ilvl w:val="0"/>
          <w:numId w:val="106"/>
        </w:numPr>
        <w:tabs>
          <w:tab w:val="left" w:pos="1274"/>
        </w:tabs>
        <w:spacing w:before="137"/>
        <w:ind w:hanging="528"/>
        <w:rPr>
          <w:sz w:val="21"/>
        </w:rPr>
      </w:pPr>
      <w:r>
        <w:rPr>
          <w:spacing w:val="-1"/>
          <w:sz w:val="21"/>
        </w:rPr>
        <w:t>所称的“以上”包括本数，所称的“以下”不包括本数。</w:t>
      </w:r>
      <w:r>
        <w:rPr>
          <w:sz w:val="21"/>
        </w:rPr>
        <w:t xml:space="preserve"> </w:t>
      </w:r>
    </w:p>
    <w:p w14:paraId="4E09B3A4">
      <w:pPr>
        <w:pStyle w:val="317"/>
        <w:numPr>
          <w:ilvl w:val="0"/>
          <w:numId w:val="106"/>
        </w:numPr>
        <w:tabs>
          <w:tab w:val="left" w:pos="1274"/>
        </w:tabs>
        <w:spacing w:before="91"/>
        <w:ind w:hanging="528"/>
        <w:rPr>
          <w:sz w:val="21"/>
        </w:rPr>
      </w:pPr>
      <w:r>
        <w:rPr>
          <w:spacing w:val="-2"/>
          <w:sz w:val="21"/>
        </w:rPr>
        <w:t xml:space="preserve">如整个施工过程未发生以上安全事故，则给予承包人建安费总额的 </w:t>
      </w:r>
      <w:r>
        <w:rPr>
          <w:sz w:val="21"/>
        </w:rPr>
        <w:t xml:space="preserve">1‰的安全奖励。 </w:t>
      </w:r>
    </w:p>
    <w:p w14:paraId="2C8D8FBA">
      <w:pPr>
        <w:pStyle w:val="17"/>
        <w:spacing w:before="91" w:line="314" w:lineRule="auto"/>
        <w:ind w:left="326" w:right="1129" w:firstLine="420"/>
        <w:jc w:val="both"/>
      </w:pPr>
      <w: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642D347C">
      <w:pPr>
        <w:pStyle w:val="17"/>
        <w:spacing w:before="9"/>
        <w:ind w:left="746"/>
      </w:pPr>
      <w:r>
        <w:t xml:space="preserve">十七、协议条款的修订 </w:t>
      </w:r>
    </w:p>
    <w:p w14:paraId="107E44DE">
      <w:pPr>
        <w:pStyle w:val="17"/>
        <w:spacing w:before="91"/>
        <w:ind w:left="746"/>
      </w:pPr>
      <w:r>
        <w:t xml:space="preserve">在项目实施过程中，经双方友好协商，本协议的有关条款也可做出相应的修改。 </w:t>
      </w:r>
    </w:p>
    <w:p w14:paraId="45C8489D">
      <w:pPr>
        <w:pStyle w:val="17"/>
        <w:spacing w:before="91" w:line="321" w:lineRule="auto"/>
        <w:ind w:left="326" w:right="1045" w:firstLine="420"/>
      </w:pPr>
      <w:r>
        <w:t xml:space="preserve">本工程安全管理协议，由发包人、承包人双方在施工承包合同签订后 7 天内共同签署，作为施工合同附件。 </w:t>
      </w:r>
    </w:p>
    <w:p w14:paraId="589D5B1C">
      <w:pPr>
        <w:pStyle w:val="17"/>
        <w:spacing w:before="60"/>
        <w:ind w:left="746"/>
      </w:pPr>
      <w:r>
        <w:rPr>
          <w:spacing w:val="40"/>
        </w:rPr>
        <w:t>发 包 人</w:t>
      </w:r>
      <w:r>
        <w:t>（公章）：</w:t>
      </w:r>
      <w:r>
        <w:rPr>
          <w:u w:val="single"/>
        </w:rPr>
        <w:t xml:space="preserve"> </w:t>
      </w:r>
      <w:r>
        <w:rPr>
          <w:rFonts w:hint="eastAsia"/>
          <w:color w:val="000000"/>
          <w:u w:val="single"/>
        </w:rPr>
        <w:t>重庆经开区开发建设有限公司</w:t>
      </w:r>
      <w:r>
        <w:t xml:space="preserve"> </w:t>
      </w:r>
    </w:p>
    <w:p w14:paraId="110E70A7">
      <w:pPr>
        <w:pStyle w:val="17"/>
        <w:spacing w:before="11"/>
        <w:rPr>
          <w:sz w:val="9"/>
        </w:rPr>
      </w:pPr>
    </w:p>
    <w:p w14:paraId="49EEDCF5">
      <w:pPr>
        <w:pStyle w:val="17"/>
        <w:spacing w:before="70"/>
        <w:ind w:left="746"/>
      </w:pPr>
      <w:r>
        <w:rPr>
          <w:spacing w:val="-1"/>
        </w:rPr>
        <w:t>法定代表人</w:t>
      </w:r>
      <w:r>
        <w:t>（签字）：</w:t>
      </w:r>
      <w:r>
        <w:rPr>
          <w:u w:val="single"/>
        </w:rPr>
        <w:t xml:space="preserve">                      </w:t>
      </w:r>
      <w:r>
        <w:rPr>
          <w:spacing w:val="3"/>
          <w:u w:val="single"/>
        </w:rPr>
        <w:t xml:space="preserve"> </w:t>
      </w:r>
      <w:r>
        <w:t xml:space="preserve">   </w:t>
      </w:r>
    </w:p>
    <w:p w14:paraId="2BCBC2B0">
      <w:pPr>
        <w:pStyle w:val="17"/>
        <w:spacing w:before="10"/>
        <w:rPr>
          <w:sz w:val="9"/>
        </w:rPr>
      </w:pPr>
    </w:p>
    <w:p w14:paraId="455B4B8B">
      <w:pPr>
        <w:pStyle w:val="17"/>
        <w:spacing w:before="71"/>
        <w:ind w:left="746"/>
      </w:pPr>
      <w:r>
        <w:t>或其委托代理人（签字）：</w:t>
      </w:r>
      <w:r>
        <w:rPr>
          <w:u w:val="single"/>
        </w:rPr>
        <w:t xml:space="preserve">                   </w:t>
      </w:r>
      <w:r>
        <w:t xml:space="preserve">   </w:t>
      </w:r>
    </w:p>
    <w:p w14:paraId="798B087F">
      <w:pPr>
        <w:pStyle w:val="17"/>
        <w:rPr>
          <w:sz w:val="20"/>
        </w:rPr>
      </w:pPr>
    </w:p>
    <w:p w14:paraId="4AD126F3">
      <w:pPr>
        <w:pStyle w:val="17"/>
        <w:spacing w:before="4"/>
        <w:rPr>
          <w:sz w:val="27"/>
        </w:rPr>
      </w:pPr>
    </w:p>
    <w:p w14:paraId="68200CB9">
      <w:pPr>
        <w:pStyle w:val="17"/>
        <w:spacing w:before="71"/>
        <w:ind w:left="746"/>
      </w:pPr>
      <w:r>
        <w:rPr>
          <w:spacing w:val="40"/>
        </w:rPr>
        <w:t>承 包 人</w:t>
      </w:r>
      <w:r>
        <w:t>（公章）：</w:t>
      </w:r>
      <w:r>
        <w:rPr>
          <w:u w:val="single"/>
        </w:rPr>
        <w:t xml:space="preserve"> </w:t>
      </w:r>
      <w:r>
        <w:rPr>
          <w:rFonts w:hint="eastAsia"/>
          <w:u w:val="single"/>
          <w:lang w:val="en-US"/>
        </w:rPr>
        <w:t xml:space="preserve"> </w:t>
      </w:r>
      <w:r>
        <w:rPr>
          <w:u w:val="single"/>
          <w:lang w:val="en-US"/>
        </w:rPr>
        <w:t xml:space="preserve">                     </w:t>
      </w:r>
      <w:r>
        <w:t xml:space="preserve"> </w:t>
      </w:r>
    </w:p>
    <w:p w14:paraId="6A264BFF">
      <w:pPr>
        <w:pStyle w:val="17"/>
        <w:spacing w:before="10"/>
        <w:rPr>
          <w:sz w:val="9"/>
        </w:rPr>
      </w:pPr>
    </w:p>
    <w:p w14:paraId="0DF7B0D2">
      <w:pPr>
        <w:pStyle w:val="17"/>
        <w:spacing w:before="71"/>
        <w:ind w:left="746"/>
      </w:pPr>
      <w:r>
        <w:rPr>
          <w:spacing w:val="-1"/>
        </w:rPr>
        <w:t>法定代表人</w:t>
      </w:r>
      <w:r>
        <w:t>（签字）：</w:t>
      </w:r>
      <w:r>
        <w:rPr>
          <w:u w:val="single"/>
        </w:rPr>
        <w:t xml:space="preserve">                      </w:t>
      </w:r>
      <w:r>
        <w:rPr>
          <w:spacing w:val="3"/>
          <w:u w:val="single"/>
        </w:rPr>
        <w:t xml:space="preserve"> </w:t>
      </w:r>
      <w:r>
        <w:t xml:space="preserve"> </w:t>
      </w:r>
    </w:p>
    <w:p w14:paraId="381B2969">
      <w:pPr>
        <w:pStyle w:val="17"/>
        <w:spacing w:before="10"/>
        <w:rPr>
          <w:sz w:val="9"/>
        </w:rPr>
      </w:pPr>
    </w:p>
    <w:p w14:paraId="207158ED">
      <w:pPr>
        <w:pStyle w:val="17"/>
        <w:spacing w:before="71"/>
        <w:ind w:left="746"/>
      </w:pPr>
      <w:r>
        <w:t>或其委托代理人（签字）：</w:t>
      </w:r>
      <w:r>
        <w:rPr>
          <w:u w:val="single"/>
        </w:rPr>
        <w:t xml:space="preserve">                   </w:t>
      </w:r>
      <w:r>
        <w:t xml:space="preserve"> </w:t>
      </w:r>
    </w:p>
    <w:p w14:paraId="3DBA51AA">
      <w:pPr>
        <w:sectPr>
          <w:pgSz w:w="11910" w:h="16850"/>
          <w:pgMar w:top="1360" w:right="0" w:bottom="1180" w:left="980" w:header="0" w:footer="996" w:gutter="0"/>
          <w:cols w:space="720" w:num="1"/>
        </w:sectPr>
      </w:pPr>
    </w:p>
    <w:p w14:paraId="6E980452">
      <w:pPr>
        <w:pStyle w:val="17"/>
        <w:spacing w:before="11"/>
        <w:rPr>
          <w:sz w:val="16"/>
        </w:rPr>
      </w:pPr>
    </w:p>
    <w:p w14:paraId="0E2F95DF">
      <w:pPr>
        <w:pStyle w:val="17"/>
        <w:spacing w:before="71"/>
        <w:ind w:left="161"/>
      </w:pPr>
      <w:r>
        <w:t xml:space="preserve">附件 10 保障农民工工资支付协议 </w:t>
      </w:r>
    </w:p>
    <w:p w14:paraId="73C0BB40">
      <w:pPr>
        <w:pStyle w:val="17"/>
        <w:rPr>
          <w:sz w:val="20"/>
        </w:rPr>
      </w:pPr>
    </w:p>
    <w:p w14:paraId="1FCE3EB5">
      <w:pPr>
        <w:pStyle w:val="17"/>
        <w:spacing w:before="7"/>
        <w:rPr>
          <w:sz w:val="15"/>
        </w:rPr>
      </w:pPr>
    </w:p>
    <w:p w14:paraId="606CC6C2">
      <w:pPr>
        <w:pStyle w:val="17"/>
        <w:spacing w:before="71"/>
        <w:ind w:right="1039"/>
        <w:jc w:val="center"/>
      </w:pPr>
      <w:r>
        <w:t xml:space="preserve">保障农民工工资支付协议 </w:t>
      </w:r>
    </w:p>
    <w:p w14:paraId="07DFD54C">
      <w:pPr>
        <w:pStyle w:val="17"/>
        <w:spacing w:before="8"/>
        <w:rPr>
          <w:sz w:val="24"/>
        </w:rPr>
      </w:pPr>
    </w:p>
    <w:p w14:paraId="7C76B8F7">
      <w:pPr>
        <w:pStyle w:val="17"/>
        <w:spacing w:before="1"/>
        <w:ind w:left="161"/>
      </w:pPr>
      <w:r>
        <w:t xml:space="preserve"> 发 包 人 ：</w:t>
      </w:r>
      <w:r>
        <w:rPr>
          <w:rFonts w:hint="eastAsia"/>
          <w:color w:val="000000"/>
          <w:u w:val="single"/>
        </w:rPr>
        <w:t>重庆经开区开发建设有限公司</w:t>
      </w:r>
      <w:r>
        <w:t xml:space="preserve">（ 发 包 人 ） </w:t>
      </w:r>
    </w:p>
    <w:p w14:paraId="565396D8">
      <w:pPr>
        <w:pStyle w:val="17"/>
        <w:spacing w:before="8"/>
        <w:rPr>
          <w:sz w:val="15"/>
        </w:rPr>
      </w:pPr>
    </w:p>
    <w:p w14:paraId="27C2DAFA">
      <w:pPr>
        <w:pStyle w:val="17"/>
        <w:spacing w:before="71"/>
        <w:ind w:left="161"/>
      </w:pPr>
      <w:r>
        <w:t xml:space="preserve"> 承 包 人 ：</w:t>
      </w:r>
      <w:r>
        <w:rPr>
          <w:rFonts w:hint="eastAsia"/>
          <w:u w:val="single"/>
          <w:lang w:val="en-US"/>
        </w:rPr>
        <w:t xml:space="preserve"> </w:t>
      </w:r>
      <w:r>
        <w:rPr>
          <w:u w:val="single"/>
          <w:lang w:val="en-US"/>
        </w:rPr>
        <w:t xml:space="preserve">                         </w:t>
      </w:r>
      <w:r>
        <w:rPr>
          <w:rFonts w:hint="eastAsia"/>
          <w:u w:val="single"/>
          <w:lang w:val="en-US"/>
        </w:rPr>
        <w:t xml:space="preserve"> </w:t>
      </w:r>
      <w:r>
        <w:t xml:space="preserve">（ 承 包 人 ） </w:t>
      </w:r>
    </w:p>
    <w:p w14:paraId="70D65374">
      <w:pPr>
        <w:pStyle w:val="17"/>
        <w:spacing w:before="6"/>
        <w:rPr>
          <w:sz w:val="14"/>
        </w:rPr>
      </w:pPr>
    </w:p>
    <w:p w14:paraId="6CA6A2D2">
      <w:pPr>
        <w:pStyle w:val="17"/>
        <w:spacing w:before="71"/>
        <w:ind w:left="581"/>
      </w:pPr>
      <w:r>
        <w:t>为贯彻落实《国务院办公厅关于全面治理拖欠农民工工资问题的意见》（国办发〔2016〕1 号），</w:t>
      </w:r>
    </w:p>
    <w:p w14:paraId="2DAD111F">
      <w:pPr>
        <w:pStyle w:val="17"/>
        <w:spacing w:before="4"/>
        <w:rPr>
          <w:sz w:val="15"/>
        </w:rPr>
      </w:pPr>
    </w:p>
    <w:p w14:paraId="0E8E8C27">
      <w:pPr>
        <w:pStyle w:val="17"/>
        <w:spacing w:line="415" w:lineRule="auto"/>
        <w:ind w:left="161" w:right="1153"/>
      </w:pPr>
      <w:r>
        <w:t>《重庆市人民政府办公厅关于全面治理拖欠农民工工资问题的实施意见》（</w:t>
      </w:r>
      <w:r>
        <w:rPr>
          <w:spacing w:val="-2"/>
        </w:rPr>
        <w:t>渝府办发〔</w:t>
      </w:r>
      <w:r>
        <w:rPr>
          <w:spacing w:val="-4"/>
        </w:rPr>
        <w:t>2016</w:t>
      </w:r>
      <w:r>
        <w:t>〕101</w:t>
      </w:r>
      <w:r>
        <w:rPr>
          <w:spacing w:val="-23"/>
        </w:rPr>
        <w:t xml:space="preserve"> 号</w:t>
      </w:r>
      <w:r>
        <w:t xml:space="preserve">）， 健全预防和解决拖欠农民工工资问题的长效机制，切实保障农民工劳动报酬权益，维护社会公平正义， </w:t>
      </w:r>
      <w:r>
        <w:rPr>
          <w:spacing w:val="-1"/>
        </w:rPr>
        <w:t>促进社会和谐稳定。经甲、乙双方结合实际情况，友好协商，达成如下协议：</w:t>
      </w:r>
      <w:r>
        <w:t xml:space="preserve"> </w:t>
      </w:r>
    </w:p>
    <w:p w14:paraId="3713C34B">
      <w:pPr>
        <w:pStyle w:val="17"/>
        <w:spacing w:before="15" w:line="415" w:lineRule="auto"/>
        <w:ind w:left="161" w:right="1279" w:firstLine="420"/>
        <w:jc w:val="both"/>
      </w:pPr>
      <w:r>
        <w:t xml:space="preserve">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 </w:t>
      </w:r>
    </w:p>
    <w:p w14:paraId="7926A444">
      <w:pPr>
        <w:pStyle w:val="17"/>
        <w:spacing w:line="427" w:lineRule="auto"/>
        <w:ind w:left="161" w:right="1281" w:firstLine="420"/>
        <w:jc w:val="both"/>
      </w:pPr>
      <w:r>
        <w:t>二、由于工程进度款申报和审查需一定时间，其与农民工工资发放时间存在一定时间的延后，承包</w:t>
      </w:r>
      <w:r>
        <w:rPr>
          <w:spacing w:val="-5"/>
        </w:rPr>
        <w:t xml:space="preserve">人应具有垫付不低于 </w:t>
      </w:r>
      <w:r>
        <w:t>3</w:t>
      </w:r>
      <w:r>
        <w:rPr>
          <w:spacing w:val="-7"/>
        </w:rPr>
        <w:t xml:space="preserve"> 个月农民工工资能力。承包人在本补充协议签订后申请的第一笔工程进度款时应</w:t>
      </w:r>
    </w:p>
    <w:p w14:paraId="54C25B34">
      <w:pPr>
        <w:pStyle w:val="17"/>
        <w:spacing w:line="415" w:lineRule="auto"/>
        <w:ind w:left="161" w:right="1280"/>
        <w:jc w:val="both"/>
      </w:pPr>
      <w:r>
        <w:rPr>
          <w:spacing w:val="-6"/>
        </w:rPr>
        <w:t xml:space="preserve">出具垫付不低于 </w:t>
      </w:r>
      <w:r>
        <w:t>3</w:t>
      </w:r>
      <w:r>
        <w:rPr>
          <w:spacing w:val="-7"/>
        </w:rPr>
        <w:t xml:space="preserve"> 个月农民工工资的书面承诺给发包人。发包人将承包人是否做出承诺作为支付工程进度款的前提条件之一。 </w:t>
      </w:r>
    </w:p>
    <w:p w14:paraId="1C5FEDDA">
      <w:pPr>
        <w:pStyle w:val="17"/>
        <w:spacing w:line="422" w:lineRule="auto"/>
        <w:ind w:left="161" w:right="1276" w:firstLine="420"/>
        <w:jc w:val="both"/>
      </w:pPr>
      <w:r>
        <w:rPr>
          <w:spacing w:val="-6"/>
        </w:rPr>
        <w:t xml:space="preserve">三、承包人每月 </w:t>
      </w:r>
      <w:r>
        <w:t>10</w:t>
      </w:r>
      <w:r>
        <w:rPr>
          <w:spacing w:val="-7"/>
        </w:rPr>
        <w:t xml:space="preserve"> 日前将本月作业班组、班组人数、农民工身份信息等报监理单位，</w:t>
      </w:r>
      <w:r>
        <w:rPr>
          <w:spacing w:val="-3"/>
        </w:rPr>
        <w:t>10</w:t>
      </w:r>
      <w:r>
        <w:rPr>
          <w:spacing w:val="-23"/>
        </w:rPr>
        <w:t xml:space="preserve"> 日</w:t>
      </w:r>
      <w:r>
        <w:t>～15</w:t>
      </w:r>
      <w:r>
        <w:rPr>
          <w:spacing w:val="-23"/>
        </w:rPr>
        <w:t xml:space="preserve"> 日分别以作业班组为小组，每小组自行选举产生一名农民工代表，监理单位应全程监督，选举结果与当期</w:t>
      </w:r>
      <w:r>
        <w:rPr>
          <w:spacing w:val="-22"/>
        </w:rPr>
        <w:t>工程款支付申请一并报送发包人。</w:t>
      </w:r>
      <w:r>
        <w:t xml:space="preserve"> </w:t>
      </w:r>
    </w:p>
    <w:p w14:paraId="47FF024A">
      <w:pPr>
        <w:pStyle w:val="17"/>
        <w:spacing w:line="259" w:lineRule="exact"/>
        <w:ind w:left="581"/>
        <w:jc w:val="both"/>
      </w:pPr>
      <w:r>
        <w:t xml:space="preserve">四、若发现承包人有下列事项的，发包人在支付当期进度款时暂扣当期应支付进度款 5%比例的款项。 </w:t>
      </w:r>
    </w:p>
    <w:p w14:paraId="751BA668">
      <w:pPr>
        <w:pStyle w:val="17"/>
        <w:spacing w:before="5"/>
        <w:rPr>
          <w:sz w:val="14"/>
        </w:rPr>
      </w:pPr>
    </w:p>
    <w:p w14:paraId="3E9D79CB">
      <w:pPr>
        <w:pStyle w:val="17"/>
        <w:ind w:left="161"/>
      </w:pPr>
      <w:r>
        <w:t xml:space="preserve">    （一）现场检查发现项目存在拖欠农民工工资情况并经核查属实的； </w:t>
      </w:r>
    </w:p>
    <w:p w14:paraId="0B3F9148">
      <w:pPr>
        <w:pStyle w:val="17"/>
        <w:spacing w:before="4"/>
        <w:rPr>
          <w:sz w:val="15"/>
        </w:rPr>
      </w:pPr>
    </w:p>
    <w:p w14:paraId="0E25E142">
      <w:pPr>
        <w:pStyle w:val="17"/>
        <w:ind w:left="581"/>
      </w:pPr>
      <w:r>
        <w:t xml:space="preserve">（二）相关行政管理部门检查发现存在拖欠农民工工资情况并经核查属实的； </w:t>
      </w:r>
    </w:p>
    <w:p w14:paraId="6F43681D">
      <w:pPr>
        <w:pStyle w:val="17"/>
        <w:spacing w:before="4"/>
        <w:rPr>
          <w:sz w:val="15"/>
        </w:rPr>
      </w:pPr>
    </w:p>
    <w:p w14:paraId="0DD1EA12">
      <w:pPr>
        <w:pStyle w:val="17"/>
        <w:ind w:left="161"/>
      </w:pPr>
      <w:r>
        <w:t xml:space="preserve">    （三）有拖欠农民工工资投诉事项并经核查属实的。 </w:t>
      </w:r>
    </w:p>
    <w:p w14:paraId="27FC7B60">
      <w:pPr>
        <w:pStyle w:val="17"/>
        <w:spacing w:before="6"/>
        <w:rPr>
          <w:sz w:val="16"/>
        </w:rPr>
      </w:pPr>
    </w:p>
    <w:p w14:paraId="4FBB1908">
      <w:pPr>
        <w:pStyle w:val="17"/>
        <w:spacing w:before="1"/>
        <w:ind w:left="161"/>
      </w:pPr>
      <w:r>
        <w:t xml:space="preserve">    五、对发现的存在拖欠农民工工资事项，承包人应在 3 天内限时整改，并将整改措施和结果报发包</w:t>
      </w:r>
    </w:p>
    <w:p w14:paraId="6FDF2809">
      <w:pPr>
        <w:pStyle w:val="17"/>
        <w:spacing w:before="3"/>
        <w:rPr>
          <w:sz w:val="15"/>
        </w:rPr>
      </w:pPr>
    </w:p>
    <w:p w14:paraId="155AE259">
      <w:pPr>
        <w:pStyle w:val="17"/>
        <w:spacing w:line="415" w:lineRule="auto"/>
        <w:ind w:left="161" w:right="1211"/>
      </w:pPr>
      <w:r>
        <w:t xml:space="preserve">人审查，经发包人批准同意后，在下一期工程进度款支付中返还暂扣的工程款；如承包人未在 3 天内限时整改，暂扣工程款将继续扣留，直至整改完毕。暂扣款不计息。 </w:t>
      </w:r>
    </w:p>
    <w:p w14:paraId="7D08B2E0">
      <w:pPr>
        <w:pStyle w:val="17"/>
        <w:spacing w:line="415" w:lineRule="auto"/>
        <w:ind w:left="581" w:right="1830"/>
      </w:pPr>
      <w:r>
        <w:t xml:space="preserve">六、本协议经双方法定代表人或委托代理人签字并加盖公章后生效，履行完毕后自然失效。附件： </w:t>
      </w:r>
    </w:p>
    <w:p w14:paraId="01F3B3B5">
      <w:pPr>
        <w:spacing w:line="415" w:lineRule="auto"/>
        <w:sectPr>
          <w:pgSz w:w="11910" w:h="16850"/>
          <w:pgMar w:top="1600" w:right="0" w:bottom="1180" w:left="980" w:header="0" w:footer="996" w:gutter="0"/>
          <w:cols w:space="720" w:num="1"/>
        </w:sectPr>
      </w:pPr>
    </w:p>
    <w:p w14:paraId="07983BF3">
      <w:pPr>
        <w:pStyle w:val="17"/>
        <w:spacing w:before="46"/>
        <w:ind w:left="746"/>
      </w:pPr>
      <w:r>
        <w:t xml:space="preserve">1、关于农民工工资发放情况的说明表 </w:t>
      </w:r>
    </w:p>
    <w:p w14:paraId="4D36CD8D">
      <w:pPr>
        <w:pStyle w:val="17"/>
        <w:rPr>
          <w:sz w:val="20"/>
        </w:rPr>
      </w:pPr>
    </w:p>
    <w:p w14:paraId="365F8B6A">
      <w:pPr>
        <w:pStyle w:val="17"/>
        <w:rPr>
          <w:sz w:val="20"/>
        </w:rPr>
      </w:pPr>
    </w:p>
    <w:p w14:paraId="197E6F6D">
      <w:pPr>
        <w:pStyle w:val="17"/>
        <w:rPr>
          <w:sz w:val="20"/>
        </w:rPr>
      </w:pPr>
    </w:p>
    <w:p w14:paraId="4258F04D">
      <w:pPr>
        <w:pStyle w:val="17"/>
        <w:rPr>
          <w:sz w:val="20"/>
        </w:rPr>
      </w:pPr>
    </w:p>
    <w:p w14:paraId="7D1FE576">
      <w:pPr>
        <w:pStyle w:val="17"/>
        <w:rPr>
          <w:sz w:val="20"/>
        </w:rPr>
      </w:pPr>
    </w:p>
    <w:p w14:paraId="0E64D2F1">
      <w:pPr>
        <w:pStyle w:val="17"/>
        <w:rPr>
          <w:sz w:val="20"/>
        </w:rPr>
      </w:pPr>
    </w:p>
    <w:p w14:paraId="56628125">
      <w:pPr>
        <w:pStyle w:val="17"/>
        <w:spacing w:before="1"/>
        <w:rPr>
          <w:sz w:val="28"/>
        </w:rPr>
      </w:pPr>
    </w:p>
    <w:p w14:paraId="6358D0F4">
      <w:pPr>
        <w:pStyle w:val="17"/>
        <w:spacing w:before="71"/>
        <w:ind w:left="746"/>
      </w:pPr>
      <w:r>
        <w:t xml:space="preserve">（以下无正文） </w:t>
      </w:r>
    </w:p>
    <w:p w14:paraId="579F57ED">
      <w:pPr>
        <w:pStyle w:val="17"/>
        <w:rPr>
          <w:sz w:val="20"/>
        </w:rPr>
      </w:pPr>
    </w:p>
    <w:p w14:paraId="152E8601">
      <w:pPr>
        <w:pStyle w:val="17"/>
        <w:rPr>
          <w:sz w:val="20"/>
        </w:rPr>
      </w:pPr>
    </w:p>
    <w:p w14:paraId="7506324F">
      <w:pPr>
        <w:pStyle w:val="17"/>
        <w:rPr>
          <w:sz w:val="20"/>
        </w:rPr>
      </w:pPr>
    </w:p>
    <w:p w14:paraId="3976918B">
      <w:pPr>
        <w:pStyle w:val="17"/>
        <w:rPr>
          <w:sz w:val="20"/>
        </w:rPr>
      </w:pPr>
    </w:p>
    <w:p w14:paraId="171B61A2">
      <w:pPr>
        <w:pStyle w:val="17"/>
        <w:rPr>
          <w:sz w:val="20"/>
        </w:rPr>
      </w:pPr>
    </w:p>
    <w:p w14:paraId="17CF400E">
      <w:pPr>
        <w:pStyle w:val="17"/>
        <w:spacing w:before="4"/>
        <w:rPr>
          <w:sz w:val="29"/>
        </w:rPr>
      </w:pPr>
    </w:p>
    <w:p w14:paraId="42419E2E">
      <w:pPr>
        <w:pStyle w:val="17"/>
        <w:spacing w:before="71"/>
        <w:ind w:left="326"/>
      </w:pPr>
      <w:r>
        <w:t>发包人：</w:t>
      </w:r>
      <w:r>
        <w:rPr>
          <w:u w:val="single"/>
        </w:rPr>
        <w:t xml:space="preserve"> </w:t>
      </w:r>
      <w:r>
        <w:rPr>
          <w:rFonts w:hint="eastAsia"/>
          <w:color w:val="000000"/>
          <w:u w:val="single"/>
        </w:rPr>
        <w:t>重庆经开区开发建设有限公司</w:t>
      </w:r>
      <w:r>
        <w:t xml:space="preserve">（发包人） </w:t>
      </w:r>
    </w:p>
    <w:p w14:paraId="0E1A2043">
      <w:pPr>
        <w:pStyle w:val="17"/>
        <w:spacing w:before="10"/>
        <w:rPr>
          <w:sz w:val="9"/>
        </w:rPr>
      </w:pPr>
    </w:p>
    <w:p w14:paraId="3488BF4D">
      <w:pPr>
        <w:pStyle w:val="17"/>
        <w:spacing w:before="71"/>
        <w:ind w:left="326"/>
      </w:pPr>
      <w:r>
        <w:t>法定代表人：</w:t>
      </w:r>
      <w:r>
        <w:rPr>
          <w:u w:val="single"/>
        </w:rPr>
        <w:t xml:space="preserve">    </w:t>
      </w:r>
      <w:r>
        <w:rPr>
          <w:rFonts w:hint="eastAsia"/>
          <w:u w:val="single"/>
          <w:lang w:val="en-US"/>
        </w:rPr>
        <w:t xml:space="preserve">     </w:t>
      </w:r>
      <w:r>
        <w:rPr>
          <w:u w:val="single"/>
        </w:rPr>
        <w:t xml:space="preserve">   </w:t>
      </w:r>
      <w:r>
        <w:t xml:space="preserve"> </w:t>
      </w:r>
    </w:p>
    <w:p w14:paraId="6BDFAE54">
      <w:pPr>
        <w:pStyle w:val="17"/>
        <w:spacing w:before="10"/>
        <w:rPr>
          <w:sz w:val="9"/>
        </w:rPr>
      </w:pPr>
    </w:p>
    <w:p w14:paraId="4ABCA8D5">
      <w:pPr>
        <w:pStyle w:val="17"/>
        <w:spacing w:before="71"/>
        <w:ind w:left="326"/>
      </w:pPr>
      <w:r>
        <w:t>或委托代理人：</w:t>
      </w:r>
      <w:r>
        <w:rPr>
          <w:u w:val="single"/>
        </w:rPr>
        <w:t xml:space="preserve">     </w:t>
      </w:r>
      <w:r>
        <w:rPr>
          <w:rFonts w:hint="eastAsia"/>
          <w:u w:val="single"/>
          <w:lang w:val="en-US"/>
        </w:rPr>
        <w:t xml:space="preserve">     </w:t>
      </w:r>
      <w:r>
        <w:rPr>
          <w:u w:val="single"/>
        </w:rPr>
        <w:t xml:space="preserve">  </w:t>
      </w:r>
      <w:r>
        <w:t xml:space="preserve"> </w:t>
      </w:r>
    </w:p>
    <w:p w14:paraId="18A645F8">
      <w:pPr>
        <w:pStyle w:val="17"/>
        <w:spacing w:before="10"/>
        <w:rPr>
          <w:sz w:val="9"/>
        </w:rPr>
      </w:pPr>
    </w:p>
    <w:p w14:paraId="71B425A5">
      <w:pPr>
        <w:pStyle w:val="17"/>
        <w:spacing w:before="71"/>
        <w:ind w:left="326"/>
      </w:pPr>
      <w:r>
        <w:t>联系人：</w:t>
      </w:r>
      <w:r>
        <w:rPr>
          <w:u w:val="single"/>
        </w:rPr>
        <w:t xml:space="preserve">     </w:t>
      </w:r>
      <w:r>
        <w:rPr>
          <w:rFonts w:hint="eastAsia"/>
          <w:u w:val="single"/>
          <w:lang w:val="en-US"/>
        </w:rPr>
        <w:t xml:space="preserve">     </w:t>
      </w:r>
      <w:r>
        <w:rPr>
          <w:u w:val="single"/>
        </w:rPr>
        <w:t xml:space="preserve">  </w:t>
      </w:r>
      <w:r>
        <w:t xml:space="preserve"> </w:t>
      </w:r>
    </w:p>
    <w:p w14:paraId="37BE8DA4">
      <w:pPr>
        <w:pStyle w:val="17"/>
        <w:rPr>
          <w:sz w:val="20"/>
        </w:rPr>
      </w:pPr>
    </w:p>
    <w:p w14:paraId="0FDB6C2C">
      <w:pPr>
        <w:pStyle w:val="17"/>
        <w:rPr>
          <w:sz w:val="20"/>
        </w:rPr>
      </w:pPr>
    </w:p>
    <w:p w14:paraId="62CD8BAD">
      <w:pPr>
        <w:pStyle w:val="17"/>
        <w:rPr>
          <w:sz w:val="20"/>
        </w:rPr>
      </w:pPr>
    </w:p>
    <w:p w14:paraId="55412181">
      <w:pPr>
        <w:pStyle w:val="17"/>
        <w:rPr>
          <w:sz w:val="20"/>
        </w:rPr>
      </w:pPr>
    </w:p>
    <w:p w14:paraId="317A8CA5">
      <w:pPr>
        <w:pStyle w:val="17"/>
        <w:rPr>
          <w:sz w:val="20"/>
        </w:rPr>
      </w:pPr>
    </w:p>
    <w:p w14:paraId="52A7956E">
      <w:pPr>
        <w:pStyle w:val="17"/>
        <w:spacing w:before="12"/>
        <w:rPr>
          <w:sz w:val="19"/>
        </w:rPr>
      </w:pPr>
    </w:p>
    <w:p w14:paraId="11557C06">
      <w:pPr>
        <w:pStyle w:val="17"/>
        <w:spacing w:before="71"/>
        <w:ind w:left="326"/>
      </w:pPr>
      <w:r>
        <w:t>承包人：</w:t>
      </w:r>
      <w:r>
        <w:rPr>
          <w:u w:val="single"/>
        </w:rPr>
        <w:t xml:space="preserve"> </w:t>
      </w:r>
      <w:r>
        <w:rPr>
          <w:rFonts w:hint="eastAsia"/>
          <w:u w:val="single"/>
          <w:lang w:val="en-US"/>
        </w:rPr>
        <w:t xml:space="preserve"> </w:t>
      </w:r>
      <w:r>
        <w:rPr>
          <w:u w:val="single"/>
          <w:lang w:val="en-US"/>
        </w:rPr>
        <w:t xml:space="preserve">                      </w:t>
      </w:r>
      <w:r>
        <w:t xml:space="preserve">（承包人） </w:t>
      </w:r>
    </w:p>
    <w:p w14:paraId="05C4DB7B">
      <w:pPr>
        <w:pStyle w:val="17"/>
        <w:spacing w:before="10"/>
        <w:rPr>
          <w:sz w:val="9"/>
        </w:rPr>
      </w:pPr>
    </w:p>
    <w:p w14:paraId="434F20BB">
      <w:pPr>
        <w:pStyle w:val="17"/>
        <w:spacing w:before="71"/>
        <w:ind w:left="326"/>
      </w:pPr>
      <w:r>
        <w:t>法定代表人：</w:t>
      </w:r>
      <w:r>
        <w:rPr>
          <w:u w:val="single"/>
        </w:rPr>
        <w:t xml:space="preserve">   </w:t>
      </w:r>
      <w:r>
        <w:rPr>
          <w:rFonts w:hint="eastAsia"/>
          <w:u w:val="single"/>
          <w:lang w:val="en-US"/>
        </w:rPr>
        <w:t xml:space="preserve">      </w:t>
      </w:r>
      <w:r>
        <w:rPr>
          <w:u w:val="single"/>
        </w:rPr>
        <w:t xml:space="preserve">    </w:t>
      </w:r>
      <w:r>
        <w:t xml:space="preserve"> </w:t>
      </w:r>
    </w:p>
    <w:p w14:paraId="6C8DDAFE">
      <w:pPr>
        <w:pStyle w:val="17"/>
        <w:spacing w:before="10"/>
        <w:rPr>
          <w:sz w:val="9"/>
        </w:rPr>
      </w:pPr>
    </w:p>
    <w:p w14:paraId="6154B52C">
      <w:pPr>
        <w:pStyle w:val="17"/>
        <w:spacing w:before="71"/>
        <w:ind w:left="326"/>
      </w:pPr>
      <w:r>
        <w:t>或委托代理人：</w:t>
      </w:r>
      <w:r>
        <w:rPr>
          <w:u w:val="single"/>
        </w:rPr>
        <w:t xml:space="preserve">    </w:t>
      </w:r>
      <w:r>
        <w:rPr>
          <w:rFonts w:hint="eastAsia"/>
          <w:u w:val="single"/>
          <w:lang w:val="en-US"/>
        </w:rPr>
        <w:t xml:space="preserve">     </w:t>
      </w:r>
      <w:r>
        <w:rPr>
          <w:u w:val="single"/>
        </w:rPr>
        <w:t xml:space="preserve">   </w:t>
      </w:r>
      <w:r>
        <w:t xml:space="preserve"> </w:t>
      </w:r>
    </w:p>
    <w:p w14:paraId="355A44EE">
      <w:pPr>
        <w:pStyle w:val="17"/>
        <w:spacing w:before="12"/>
        <w:rPr>
          <w:sz w:val="10"/>
        </w:rPr>
      </w:pPr>
    </w:p>
    <w:p w14:paraId="7EEE2062">
      <w:pPr>
        <w:pStyle w:val="17"/>
        <w:spacing w:before="71"/>
        <w:ind w:left="326"/>
      </w:pPr>
      <w:r>
        <w:t>联系人：</w:t>
      </w:r>
      <w:r>
        <w:rPr>
          <w:u w:val="single"/>
        </w:rPr>
        <w:t xml:space="preserve">    </w:t>
      </w:r>
      <w:r>
        <w:rPr>
          <w:rFonts w:hint="eastAsia"/>
          <w:u w:val="single"/>
          <w:lang w:val="en-US"/>
        </w:rPr>
        <w:t xml:space="preserve">    </w:t>
      </w:r>
      <w:r>
        <w:rPr>
          <w:u w:val="single"/>
        </w:rPr>
        <w:t xml:space="preserve">   </w:t>
      </w:r>
      <w:r>
        <w:t xml:space="preserve"> </w:t>
      </w:r>
    </w:p>
    <w:p w14:paraId="05306CBB">
      <w:pPr>
        <w:pStyle w:val="17"/>
        <w:spacing w:before="91"/>
        <w:ind w:left="882"/>
      </w:pPr>
      <w:r>
        <w:t xml:space="preserve"> </w:t>
      </w:r>
    </w:p>
    <w:p w14:paraId="1CF1F589">
      <w:pPr>
        <w:sectPr>
          <w:pgSz w:w="11910" w:h="16850"/>
          <w:pgMar w:top="1360" w:right="0" w:bottom="1180" w:left="980" w:header="0" w:footer="996" w:gutter="0"/>
          <w:cols w:space="720" w:num="1"/>
        </w:sectPr>
      </w:pPr>
    </w:p>
    <w:p w14:paraId="14A30FB9">
      <w:pPr>
        <w:pStyle w:val="17"/>
        <w:spacing w:before="41"/>
        <w:ind w:left="161"/>
      </w:pPr>
      <w:r>
        <w:t xml:space="preserve">保障农民工工资支付协议附件 1： </w:t>
      </w:r>
    </w:p>
    <w:p w14:paraId="02CD9B39">
      <w:pPr>
        <w:pStyle w:val="17"/>
        <w:spacing w:before="167"/>
        <w:ind w:left="3315"/>
      </w:pPr>
      <w:r>
        <w:t xml:space="preserve">关于农民工工资发放情况的说明表 </w:t>
      </w:r>
    </w:p>
    <w:p w14:paraId="3821A744">
      <w:pPr>
        <w:pStyle w:val="17"/>
        <w:rPr>
          <w:sz w:val="20"/>
        </w:rPr>
      </w:pPr>
    </w:p>
    <w:p w14:paraId="32EC3464">
      <w:pPr>
        <w:pStyle w:val="17"/>
        <w:spacing w:before="7"/>
        <w:rPr>
          <w:sz w:val="24"/>
        </w:rPr>
      </w:pPr>
    </w:p>
    <w:tbl>
      <w:tblPr>
        <w:tblStyle w:val="46"/>
        <w:tblW w:w="0" w:type="auto"/>
        <w:tblInd w:w="6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38"/>
        <w:gridCol w:w="6218"/>
      </w:tblGrid>
      <w:tr w14:paraId="738EE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456" w:type="dxa"/>
            <w:gridSpan w:val="2"/>
          </w:tcPr>
          <w:p w14:paraId="4E6D9EF4">
            <w:pPr>
              <w:pStyle w:val="318"/>
              <w:spacing w:before="90"/>
              <w:ind w:left="112"/>
              <w:rPr>
                <w:sz w:val="21"/>
              </w:rPr>
            </w:pPr>
            <w:r>
              <w:rPr>
                <w:sz w:val="21"/>
              </w:rPr>
              <w:t xml:space="preserve">工程名称： </w:t>
            </w:r>
          </w:p>
        </w:tc>
      </w:tr>
      <w:tr w14:paraId="16E6A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2238" w:type="dxa"/>
          </w:tcPr>
          <w:p w14:paraId="1C67F120">
            <w:pPr>
              <w:pStyle w:val="318"/>
              <w:ind w:left="112"/>
              <w:rPr>
                <w:sz w:val="21"/>
              </w:rPr>
            </w:pPr>
            <w:r>
              <w:rPr>
                <w:sz w:val="21"/>
              </w:rPr>
              <w:t xml:space="preserve">施工单位： </w:t>
            </w:r>
          </w:p>
        </w:tc>
        <w:tc>
          <w:tcPr>
            <w:tcW w:w="6218" w:type="dxa"/>
          </w:tcPr>
          <w:p w14:paraId="5C8FEA09">
            <w:pPr>
              <w:pStyle w:val="318"/>
              <w:ind w:left="112"/>
              <w:rPr>
                <w:sz w:val="21"/>
              </w:rPr>
            </w:pPr>
            <w:r>
              <w:rPr>
                <w:sz w:val="21"/>
              </w:rPr>
              <w:t xml:space="preserve"> </w:t>
            </w:r>
          </w:p>
        </w:tc>
      </w:tr>
      <w:tr w14:paraId="18A7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2238" w:type="dxa"/>
          </w:tcPr>
          <w:p w14:paraId="347D0AB0">
            <w:pPr>
              <w:pStyle w:val="318"/>
              <w:ind w:left="112"/>
              <w:rPr>
                <w:sz w:val="21"/>
              </w:rPr>
            </w:pPr>
            <w:r>
              <w:rPr>
                <w:sz w:val="21"/>
              </w:rPr>
              <w:t xml:space="preserve">监理单位： </w:t>
            </w:r>
          </w:p>
        </w:tc>
        <w:tc>
          <w:tcPr>
            <w:tcW w:w="6218" w:type="dxa"/>
          </w:tcPr>
          <w:p w14:paraId="73E05E6D">
            <w:pPr>
              <w:pStyle w:val="318"/>
              <w:ind w:left="112"/>
              <w:rPr>
                <w:sz w:val="21"/>
              </w:rPr>
            </w:pPr>
            <w:r>
              <w:rPr>
                <w:sz w:val="21"/>
              </w:rPr>
              <w:t xml:space="preserve"> </w:t>
            </w:r>
          </w:p>
        </w:tc>
      </w:tr>
      <w:tr w14:paraId="2890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4" w:hRule="atLeast"/>
        </w:trPr>
        <w:tc>
          <w:tcPr>
            <w:tcW w:w="8456" w:type="dxa"/>
            <w:gridSpan w:val="2"/>
          </w:tcPr>
          <w:p w14:paraId="58D14BC4">
            <w:pPr>
              <w:pStyle w:val="318"/>
              <w:spacing w:before="90"/>
              <w:ind w:left="112"/>
              <w:rPr>
                <w:sz w:val="21"/>
              </w:rPr>
            </w:pPr>
            <w:r>
              <w:rPr>
                <w:sz w:val="21"/>
              </w:rPr>
              <w:t xml:space="preserve"> </w:t>
            </w:r>
          </w:p>
          <w:p w14:paraId="6CE1F017">
            <w:pPr>
              <w:pStyle w:val="318"/>
              <w:spacing w:before="0"/>
              <w:ind w:left="0"/>
              <w:rPr>
                <w:sz w:val="20"/>
              </w:rPr>
            </w:pPr>
          </w:p>
          <w:p w14:paraId="41BE9749">
            <w:pPr>
              <w:pStyle w:val="318"/>
              <w:spacing w:before="165"/>
              <w:ind w:left="112"/>
              <w:rPr>
                <w:sz w:val="21"/>
              </w:rPr>
            </w:pPr>
            <w:r>
              <w:rPr>
                <w:sz w:val="21"/>
              </w:rPr>
              <w:t xml:space="preserve">（项目业主单位名称）： </w:t>
            </w:r>
          </w:p>
          <w:p w14:paraId="7AB06EB3">
            <w:pPr>
              <w:pStyle w:val="318"/>
              <w:spacing w:before="121" w:line="362" w:lineRule="auto"/>
              <w:ind w:left="112" w:right="102"/>
              <w:jc w:val="both"/>
              <w:rPr>
                <w:sz w:val="21"/>
              </w:rPr>
            </w:pPr>
            <w:r>
              <w:rPr>
                <w:sz w:val="21"/>
              </w:rPr>
              <w:t xml:space="preserve">    我单位负责承建的（工程名称）无拖欠农民工资的情况，贵单位先期支付我单位的工程款已优先用于支付了农民工工资，农民工工资全部按时足额进行了发放，请贵单位予以审核。 </w:t>
            </w:r>
          </w:p>
          <w:p w14:paraId="2B21AF61">
            <w:pPr>
              <w:pStyle w:val="318"/>
              <w:spacing w:before="0" w:line="252" w:lineRule="exact"/>
              <w:ind w:left="112"/>
              <w:rPr>
                <w:sz w:val="21"/>
              </w:rPr>
            </w:pPr>
            <w:r>
              <w:rPr>
                <w:sz w:val="21"/>
              </w:rPr>
              <w:t xml:space="preserve"> </w:t>
            </w:r>
          </w:p>
          <w:p w14:paraId="309C97A4">
            <w:pPr>
              <w:pStyle w:val="318"/>
              <w:spacing w:before="0"/>
              <w:ind w:left="0"/>
              <w:rPr>
                <w:sz w:val="20"/>
              </w:rPr>
            </w:pPr>
          </w:p>
          <w:p w14:paraId="6B6FFC10">
            <w:pPr>
              <w:pStyle w:val="318"/>
              <w:spacing w:before="166"/>
              <w:ind w:left="1374"/>
              <w:rPr>
                <w:sz w:val="21"/>
              </w:rPr>
            </w:pPr>
            <w:r>
              <w:rPr>
                <w:sz w:val="21"/>
              </w:rPr>
              <w:t>施工单位项目负责人签字（加盖项目章）：</w:t>
            </w:r>
            <w:r>
              <w:rPr>
                <w:sz w:val="21"/>
                <w:u w:val="single"/>
              </w:rPr>
              <w:t xml:space="preserve">        </w:t>
            </w:r>
            <w:r>
              <w:rPr>
                <w:sz w:val="21"/>
              </w:rPr>
              <w:t xml:space="preserve"> </w:t>
            </w:r>
          </w:p>
        </w:tc>
      </w:tr>
      <w:tr w14:paraId="79AB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2238" w:type="dxa"/>
          </w:tcPr>
          <w:p w14:paraId="2B7FC150">
            <w:pPr>
              <w:pStyle w:val="318"/>
              <w:spacing w:before="0"/>
              <w:ind w:left="0"/>
              <w:rPr>
                <w:sz w:val="20"/>
              </w:rPr>
            </w:pPr>
          </w:p>
          <w:p w14:paraId="1B89C3B3">
            <w:pPr>
              <w:pStyle w:val="318"/>
              <w:spacing w:before="2"/>
              <w:ind w:left="0"/>
              <w:rPr>
                <w:sz w:val="15"/>
              </w:rPr>
            </w:pPr>
          </w:p>
          <w:p w14:paraId="31F2CDC8">
            <w:pPr>
              <w:pStyle w:val="318"/>
              <w:spacing w:before="0"/>
              <w:ind w:left="382"/>
              <w:rPr>
                <w:sz w:val="21"/>
              </w:rPr>
            </w:pPr>
            <w:r>
              <w:rPr>
                <w:sz w:val="21"/>
              </w:rPr>
              <w:t xml:space="preserve">监理单位意见： </w:t>
            </w:r>
          </w:p>
        </w:tc>
        <w:tc>
          <w:tcPr>
            <w:tcW w:w="6218" w:type="dxa"/>
          </w:tcPr>
          <w:p w14:paraId="5D488F9E">
            <w:pPr>
              <w:pStyle w:val="318"/>
              <w:ind w:left="112"/>
              <w:rPr>
                <w:sz w:val="21"/>
              </w:rPr>
            </w:pPr>
            <w:r>
              <w:rPr>
                <w:sz w:val="21"/>
              </w:rPr>
              <w:t xml:space="preserve"> </w:t>
            </w:r>
          </w:p>
          <w:p w14:paraId="2DE40EE1">
            <w:pPr>
              <w:pStyle w:val="318"/>
              <w:spacing w:before="0"/>
              <w:ind w:left="0"/>
              <w:rPr>
                <w:sz w:val="20"/>
              </w:rPr>
            </w:pPr>
          </w:p>
          <w:p w14:paraId="4A442678">
            <w:pPr>
              <w:pStyle w:val="318"/>
              <w:spacing w:before="150"/>
              <w:ind w:left="112"/>
              <w:rPr>
                <w:sz w:val="21"/>
              </w:rPr>
            </w:pPr>
            <w:r>
              <w:rPr>
                <w:sz w:val="21"/>
              </w:rPr>
              <w:t xml:space="preserve">             总监签字并加盖项目章：</w:t>
            </w:r>
            <w:r>
              <w:rPr>
                <w:sz w:val="21"/>
                <w:u w:val="single"/>
              </w:rPr>
              <w:t xml:space="preserve">        </w:t>
            </w:r>
            <w:r>
              <w:rPr>
                <w:sz w:val="21"/>
              </w:rPr>
              <w:t xml:space="preserve"> </w:t>
            </w:r>
          </w:p>
        </w:tc>
      </w:tr>
      <w:tr w14:paraId="0352D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atLeast"/>
        </w:trPr>
        <w:tc>
          <w:tcPr>
            <w:tcW w:w="2238" w:type="dxa"/>
          </w:tcPr>
          <w:p w14:paraId="08540B6D">
            <w:pPr>
              <w:pStyle w:val="318"/>
              <w:spacing w:before="0"/>
              <w:ind w:left="0"/>
              <w:rPr>
                <w:sz w:val="21"/>
              </w:rPr>
            </w:pPr>
          </w:p>
          <w:p w14:paraId="53E608BE">
            <w:pPr>
              <w:pStyle w:val="318"/>
              <w:spacing w:before="1" w:line="362" w:lineRule="auto"/>
              <w:ind w:left="908" w:right="153" w:hanging="736"/>
              <w:rPr>
                <w:sz w:val="21"/>
              </w:rPr>
            </w:pPr>
            <w:r>
              <w:rPr>
                <w:sz w:val="21"/>
              </w:rPr>
              <w:t xml:space="preserve">工程部项目负责人意见： </w:t>
            </w:r>
          </w:p>
        </w:tc>
        <w:tc>
          <w:tcPr>
            <w:tcW w:w="6218" w:type="dxa"/>
          </w:tcPr>
          <w:p w14:paraId="50FA33A5">
            <w:pPr>
              <w:pStyle w:val="318"/>
              <w:ind w:left="112"/>
              <w:rPr>
                <w:sz w:val="21"/>
              </w:rPr>
            </w:pPr>
            <w:r>
              <w:rPr>
                <w:sz w:val="21"/>
              </w:rPr>
              <w:t xml:space="preserve"> </w:t>
            </w:r>
          </w:p>
          <w:p w14:paraId="79101CDE">
            <w:pPr>
              <w:pStyle w:val="318"/>
              <w:spacing w:before="0"/>
              <w:ind w:left="0"/>
              <w:rPr>
                <w:sz w:val="20"/>
              </w:rPr>
            </w:pPr>
          </w:p>
          <w:p w14:paraId="20A11877">
            <w:pPr>
              <w:pStyle w:val="318"/>
              <w:spacing w:before="150"/>
              <w:ind w:left="112"/>
              <w:rPr>
                <w:sz w:val="21"/>
              </w:rPr>
            </w:pPr>
            <w:r>
              <w:rPr>
                <w:sz w:val="21"/>
              </w:rPr>
              <w:t xml:space="preserve">                   项目负责人签字：</w:t>
            </w:r>
            <w:r>
              <w:rPr>
                <w:sz w:val="21"/>
                <w:u w:val="single"/>
              </w:rPr>
              <w:t xml:space="preserve">        </w:t>
            </w:r>
            <w:r>
              <w:rPr>
                <w:sz w:val="21"/>
              </w:rPr>
              <w:t xml:space="preserve"> </w:t>
            </w:r>
          </w:p>
        </w:tc>
      </w:tr>
    </w:tbl>
    <w:p w14:paraId="54485607">
      <w:pPr>
        <w:pStyle w:val="17"/>
        <w:ind w:left="161"/>
      </w:pPr>
      <w:r>
        <w:t xml:space="preserve"> </w:t>
      </w:r>
    </w:p>
    <w:p w14:paraId="2B518158">
      <w:pPr>
        <w:pStyle w:val="2"/>
        <w:spacing w:before="0" w:after="0" w:line="360" w:lineRule="auto"/>
        <w:jc w:val="center"/>
        <w:rPr>
          <w:rFonts w:ascii="宋体" w:hAnsi="宋体"/>
          <w:highlight w:val="none"/>
        </w:rPr>
      </w:pPr>
      <w:r>
        <w:rPr>
          <w:rFonts w:ascii="宋体" w:hAnsi="宋体"/>
          <w:highlight w:val="none"/>
        </w:rPr>
        <w:br w:type="page"/>
      </w:r>
      <w:bookmarkStart w:id="361" w:name="_Toc20094"/>
      <w:bookmarkStart w:id="362" w:name="_Toc430530528"/>
      <w:bookmarkStart w:id="363" w:name="_Toc23843"/>
      <w:bookmarkStart w:id="364" w:name="_Toc24390"/>
      <w:bookmarkStart w:id="365" w:name="_Toc287607865"/>
      <w:bookmarkStart w:id="366" w:name="_Toc287620812"/>
      <w:bookmarkStart w:id="367" w:name="_Toc509218852"/>
      <w:bookmarkStart w:id="368" w:name="_Toc534185829"/>
      <w:bookmarkStart w:id="369" w:name="_Toc296890982"/>
      <w:bookmarkStart w:id="370" w:name="_Toc296503025"/>
      <w:bookmarkStart w:id="371" w:name="_Toc351203480"/>
      <w:r>
        <w:rPr>
          <w:rFonts w:hint="eastAsia" w:ascii="宋体" w:hAnsi="宋体"/>
          <w:highlight w:val="none"/>
        </w:rPr>
        <w:t>第五章  工程量清单</w:t>
      </w:r>
      <w:bookmarkEnd w:id="361"/>
      <w:bookmarkStart w:id="372" w:name="招标文件05章工程量清单01"/>
      <w:bookmarkEnd w:id="372"/>
      <w:bookmarkStart w:id="373" w:name="_Toc430530514"/>
      <w:bookmarkStart w:id="374" w:name="_Toc277082638"/>
      <w:bookmarkStart w:id="375" w:name="_Toc224103477"/>
      <w:bookmarkStart w:id="376" w:name="_Toc287620798"/>
      <w:bookmarkStart w:id="377" w:name="_Toc287607856"/>
    </w:p>
    <w:bookmarkEnd w:id="373"/>
    <w:bookmarkEnd w:id="374"/>
    <w:bookmarkEnd w:id="375"/>
    <w:bookmarkEnd w:id="376"/>
    <w:bookmarkEnd w:id="377"/>
    <w:p w14:paraId="064797DC">
      <w:pPr>
        <w:snapToGrid w:val="0"/>
        <w:spacing w:line="360" w:lineRule="auto"/>
        <w:jc w:val="center"/>
        <w:rPr>
          <w:rFonts w:ascii="宋体" w:hAnsi="宋体"/>
          <w:sz w:val="24"/>
          <w:highlight w:val="none"/>
        </w:rPr>
      </w:pPr>
    </w:p>
    <w:p w14:paraId="0AEBF10C">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14:paraId="13B4EBB9">
      <w:pPr>
        <w:ind w:right="561"/>
        <w:rPr>
          <w:rFonts w:ascii="宋体" w:hAnsi="宋体"/>
          <w:szCs w:val="21"/>
          <w:highlight w:val="none"/>
        </w:rPr>
      </w:pPr>
      <w:r>
        <w:rPr>
          <w:rFonts w:ascii="宋体" w:hAnsi="宋体"/>
          <w:sz w:val="24"/>
          <w:highlight w:val="none"/>
        </w:rPr>
        <w:br w:type="page"/>
      </w:r>
    </w:p>
    <w:p w14:paraId="69C302AB">
      <w:pPr>
        <w:spacing w:line="360" w:lineRule="auto"/>
        <w:rPr>
          <w:rFonts w:ascii="宋体" w:hAnsi="宋体"/>
          <w:szCs w:val="20"/>
          <w:highlight w:val="none"/>
        </w:rPr>
      </w:pPr>
    </w:p>
    <w:p w14:paraId="48054210">
      <w:pPr>
        <w:pStyle w:val="2"/>
        <w:spacing w:line="360" w:lineRule="auto"/>
        <w:jc w:val="center"/>
        <w:rPr>
          <w:rFonts w:hint="eastAsia" w:ascii="宋体" w:hAnsi="宋体" w:eastAsia="宋体"/>
          <w:highlight w:val="none"/>
          <w:lang w:eastAsia="zh-CN"/>
        </w:rPr>
      </w:pPr>
      <w:bookmarkStart w:id="378" w:name="招标文件06章图纸"/>
      <w:bookmarkEnd w:id="378"/>
      <w:bookmarkStart w:id="379" w:name="_Toc509218846"/>
      <w:bookmarkStart w:id="380" w:name="_Toc8087"/>
      <w:bookmarkStart w:id="381" w:name="_Toc287620803"/>
      <w:bookmarkStart w:id="382" w:name="_Toc287607861"/>
      <w:bookmarkStart w:id="383" w:name="_Toc430530519"/>
      <w:bookmarkStart w:id="384" w:name="_Toc534185825"/>
      <w:bookmarkStart w:id="385" w:name="_Toc22154"/>
      <w:bookmarkStart w:id="386" w:name="_Toc30298"/>
      <w:bookmarkStart w:id="387" w:name="_Toc15479"/>
      <w:r>
        <w:rPr>
          <w:rFonts w:hint="eastAsia" w:ascii="宋体" w:hAnsi="宋体"/>
          <w:highlight w:val="none"/>
        </w:rPr>
        <w:t>第六章  图纸</w:t>
      </w:r>
      <w:bookmarkEnd w:id="379"/>
      <w:bookmarkEnd w:id="380"/>
      <w:bookmarkEnd w:id="381"/>
      <w:bookmarkEnd w:id="382"/>
      <w:bookmarkEnd w:id="383"/>
      <w:bookmarkEnd w:id="384"/>
      <w:bookmarkEnd w:id="385"/>
      <w:bookmarkEnd w:id="386"/>
      <w:r>
        <w:rPr>
          <w:rFonts w:hint="eastAsia" w:ascii="宋体" w:hAnsi="宋体"/>
          <w:highlight w:val="none"/>
          <w:lang w:eastAsia="zh-CN"/>
        </w:rPr>
        <w:t>（</w:t>
      </w:r>
      <w:r>
        <w:rPr>
          <w:rFonts w:hint="eastAsia" w:ascii="宋体" w:hAnsi="宋体"/>
          <w:highlight w:val="none"/>
          <w:lang w:val="en-US" w:eastAsia="zh-CN"/>
        </w:rPr>
        <w:t>如有</w:t>
      </w:r>
      <w:r>
        <w:rPr>
          <w:rFonts w:hint="eastAsia" w:ascii="宋体" w:hAnsi="宋体"/>
          <w:highlight w:val="none"/>
          <w:lang w:eastAsia="zh-CN"/>
        </w:rPr>
        <w:t>）</w:t>
      </w:r>
      <w:bookmarkEnd w:id="387"/>
    </w:p>
    <w:p w14:paraId="47132E9F">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14:paraId="2CEBFD59">
      <w:pPr>
        <w:spacing w:line="360" w:lineRule="auto"/>
        <w:jc w:val="center"/>
        <w:rPr>
          <w:rFonts w:ascii="宋体" w:hAnsi="宋体"/>
          <w:szCs w:val="20"/>
          <w:highlight w:val="none"/>
        </w:rPr>
      </w:pPr>
    </w:p>
    <w:p w14:paraId="7652EBD6">
      <w:pPr>
        <w:spacing w:line="360" w:lineRule="auto"/>
        <w:rPr>
          <w:rFonts w:ascii="宋体" w:hAnsi="宋体"/>
          <w:szCs w:val="20"/>
          <w:highlight w:val="none"/>
        </w:rPr>
      </w:pPr>
      <w:bookmarkStart w:id="388" w:name="招标文件06章图纸01"/>
      <w:bookmarkEnd w:id="388"/>
      <w:bookmarkStart w:id="389" w:name="_Toc287620804"/>
      <w:bookmarkStart w:id="390" w:name="_Toc430530520"/>
    </w:p>
    <w:bookmarkEnd w:id="389"/>
    <w:bookmarkEnd w:id="390"/>
    <w:p w14:paraId="0601AFA7">
      <w:pPr>
        <w:spacing w:line="360" w:lineRule="auto"/>
        <w:rPr>
          <w:rFonts w:ascii="宋体" w:hAnsi="宋体"/>
          <w:highlight w:val="none"/>
        </w:rPr>
      </w:pPr>
      <w:r>
        <w:rPr>
          <w:rFonts w:ascii="宋体" w:hAnsi="宋体"/>
          <w:szCs w:val="20"/>
          <w:highlight w:val="none"/>
        </w:rPr>
        <w:br w:type="page"/>
      </w:r>
    </w:p>
    <w:p w14:paraId="27DDA420">
      <w:pPr>
        <w:pStyle w:val="2"/>
        <w:spacing w:line="360" w:lineRule="auto"/>
        <w:jc w:val="center"/>
        <w:rPr>
          <w:rFonts w:ascii="宋体" w:hAnsi="宋体"/>
          <w:highlight w:val="none"/>
        </w:rPr>
      </w:pPr>
      <w:bookmarkStart w:id="391" w:name="招标文件07章技术标准和要求"/>
      <w:bookmarkEnd w:id="391"/>
      <w:bookmarkStart w:id="392" w:name="_Toc16673"/>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bookmarkEnd w:id="392"/>
      <w:bookmarkStart w:id="393" w:name="招标文件07章技术标准和要求01"/>
      <w:bookmarkEnd w:id="393"/>
      <w:bookmarkStart w:id="394" w:name="_Toc287620808"/>
      <w:bookmarkStart w:id="395" w:name="_Toc430530524"/>
    </w:p>
    <w:bookmarkEnd w:id="394"/>
    <w:bookmarkEnd w:id="395"/>
    <w:p w14:paraId="1879783F">
      <w:pPr>
        <w:spacing w:line="360" w:lineRule="auto"/>
        <w:ind w:firstLine="420" w:firstLineChars="200"/>
        <w:outlineLvl w:val="1"/>
        <w:rPr>
          <w:rFonts w:hint="eastAsia" w:ascii="宋体" w:hAnsi="宋体"/>
          <w:szCs w:val="21"/>
        </w:rPr>
      </w:pPr>
      <w:bookmarkStart w:id="396" w:name="_Toc13391"/>
      <w:r>
        <w:rPr>
          <w:rFonts w:hint="eastAsia" w:ascii="宋体" w:hAnsi="宋体"/>
          <w:szCs w:val="21"/>
        </w:rPr>
        <w:t>一、900万高清环保人脸卡口人脸抓拍摄像机</w:t>
      </w:r>
      <w:bookmarkEnd w:id="396"/>
    </w:p>
    <w:p w14:paraId="7312A85E">
      <w:pPr>
        <w:spacing w:line="360" w:lineRule="auto"/>
        <w:ind w:firstLine="420" w:firstLineChars="200"/>
        <w:rPr>
          <w:rFonts w:hint="eastAsia" w:ascii="宋体" w:hAnsi="宋体"/>
          <w:szCs w:val="21"/>
        </w:rPr>
      </w:pPr>
      <w:r>
        <w:rPr>
          <w:rFonts w:hint="eastAsia" w:ascii="宋体" w:hAnsi="宋体"/>
          <w:szCs w:val="21"/>
        </w:rPr>
        <w:t>1、传感器不低于1.1英寸GS-CMOS，视频分辨率不低于4096×2336，抓图分辨率不低于4096×2336；</w:t>
      </w:r>
    </w:p>
    <w:p w14:paraId="234B480D">
      <w:pPr>
        <w:spacing w:line="360" w:lineRule="auto"/>
        <w:ind w:firstLine="420" w:firstLineChars="200"/>
        <w:rPr>
          <w:rFonts w:hint="eastAsia" w:ascii="宋体" w:hAnsi="宋体"/>
          <w:szCs w:val="21"/>
        </w:rPr>
      </w:pPr>
      <w:r>
        <w:rPr>
          <w:rFonts w:hint="eastAsia" w:ascii="宋体" w:hAnsi="宋体"/>
          <w:szCs w:val="21"/>
        </w:rPr>
        <w:t>2、支持图像融合技术，夜间无需使用白光爆闪灯或无需外加频闪灯，解决夜间光污染；</w:t>
      </w:r>
    </w:p>
    <w:p w14:paraId="120F6A54">
      <w:pPr>
        <w:spacing w:line="360" w:lineRule="auto"/>
        <w:ind w:firstLine="420" w:firstLineChars="200"/>
        <w:rPr>
          <w:rFonts w:hint="eastAsia" w:ascii="宋体" w:hAnsi="宋体"/>
          <w:b/>
          <w:bCs/>
          <w:color w:val="auto"/>
          <w:szCs w:val="21"/>
        </w:rPr>
      </w:pPr>
      <w:r>
        <w:rPr>
          <w:rFonts w:hint="eastAsia" w:ascii="宋体" w:hAnsi="宋体"/>
          <w:szCs w:val="21"/>
        </w:rPr>
        <w:t>3、具有DC12V电源输出接口，可对测速雷达等设备单独供电，测速雷达状态信息可查询；</w:t>
      </w:r>
      <w:r>
        <w:rPr>
          <w:rFonts w:hint="eastAsia" w:ascii="宋体" w:hAnsi="宋体"/>
          <w:b/>
          <w:bCs/>
          <w:color w:val="auto"/>
          <w:szCs w:val="21"/>
        </w:rPr>
        <w:t>（</w:t>
      </w:r>
      <w:r>
        <w:rPr>
          <w:rFonts w:hint="eastAsia" w:ascii="宋体" w:hAnsi="宋体"/>
          <w:b/>
          <w:bCs/>
          <w:color w:val="auto"/>
          <w:szCs w:val="21"/>
          <w:lang w:val="en-US" w:eastAsia="zh-CN"/>
        </w:rPr>
        <w:t>投标时</w:t>
      </w:r>
      <w:r>
        <w:rPr>
          <w:rFonts w:hint="eastAsia" w:ascii="宋体" w:hAnsi="宋体"/>
          <w:b/>
          <w:bCs/>
          <w:color w:val="auto"/>
          <w:szCs w:val="21"/>
        </w:rPr>
        <w:t>提供公安部有效检测报告复印件加盖原厂公章或投标专用章）</w:t>
      </w:r>
    </w:p>
    <w:p w14:paraId="1BCBE0C4">
      <w:pPr>
        <w:spacing w:line="360" w:lineRule="auto"/>
        <w:ind w:firstLine="420" w:firstLineChars="200"/>
        <w:rPr>
          <w:rFonts w:hint="eastAsia" w:ascii="宋体" w:hAnsi="宋体"/>
          <w:szCs w:val="21"/>
        </w:rPr>
      </w:pPr>
      <w:r>
        <w:rPr>
          <w:rFonts w:hint="eastAsia" w:ascii="宋体" w:hAnsi="宋体"/>
          <w:szCs w:val="21"/>
        </w:rPr>
        <w:t>4、支持配合外接补光灯控制使用，支持闪光灯和频闪灯同步补光；</w:t>
      </w:r>
    </w:p>
    <w:p w14:paraId="64AD8CD5">
      <w:pPr>
        <w:spacing w:line="360" w:lineRule="auto"/>
        <w:ind w:firstLine="420" w:firstLineChars="200"/>
        <w:rPr>
          <w:rFonts w:hint="eastAsia" w:ascii="宋体" w:hAnsi="宋体"/>
          <w:szCs w:val="21"/>
        </w:rPr>
      </w:pPr>
      <w:r>
        <w:rPr>
          <w:rFonts w:hint="eastAsia" w:ascii="宋体" w:hAnsi="宋体"/>
          <w:szCs w:val="21"/>
        </w:rPr>
        <w:t>5、支持自动采集车道、车流量、平均速度、车辆类型、占有率、平均车头时距、平均排队长度、时间段等交通信息数据并进行统计，支持自动上传采集的交通信息数据，上传时间间隔可设置；</w:t>
      </w:r>
    </w:p>
    <w:p w14:paraId="717BC4B2">
      <w:pPr>
        <w:spacing w:line="360" w:lineRule="auto"/>
        <w:ind w:firstLine="420" w:firstLineChars="200"/>
        <w:rPr>
          <w:rFonts w:hint="eastAsia" w:ascii="宋体" w:hAnsi="宋体"/>
          <w:b/>
          <w:bCs/>
          <w:color w:val="auto"/>
          <w:szCs w:val="21"/>
        </w:rPr>
      </w:pPr>
      <w:r>
        <w:rPr>
          <w:rFonts w:hint="eastAsia" w:ascii="宋体" w:hAnsi="宋体"/>
          <w:szCs w:val="21"/>
        </w:rPr>
        <w:t>6、支持485接口自动分配地址功能，在同一个485接口连接不同外部设备的情况下，支持通过485协议给每个外部设备分配不同地址编号，可独立配置各设备参数；</w:t>
      </w:r>
      <w:r>
        <w:rPr>
          <w:rFonts w:hint="eastAsia" w:ascii="宋体" w:hAnsi="宋体"/>
          <w:b/>
          <w:bCs/>
          <w:color w:val="auto"/>
          <w:szCs w:val="21"/>
        </w:rPr>
        <w:t>（</w:t>
      </w:r>
      <w:r>
        <w:rPr>
          <w:rFonts w:hint="eastAsia" w:ascii="宋体" w:hAnsi="宋体"/>
          <w:b/>
          <w:bCs/>
          <w:color w:val="auto"/>
          <w:szCs w:val="21"/>
          <w:lang w:val="en-US" w:eastAsia="zh-CN"/>
        </w:rPr>
        <w:t>投标时</w:t>
      </w:r>
      <w:r>
        <w:rPr>
          <w:rFonts w:hint="eastAsia" w:ascii="宋体" w:hAnsi="宋体"/>
          <w:b/>
          <w:bCs/>
          <w:color w:val="auto"/>
          <w:szCs w:val="21"/>
        </w:rPr>
        <w:t>提供公安部有效检测报告复印件加盖原厂公章或投标专用章）</w:t>
      </w:r>
    </w:p>
    <w:p w14:paraId="3FB222AB">
      <w:pPr>
        <w:spacing w:line="360" w:lineRule="auto"/>
        <w:ind w:firstLine="420" w:firstLineChars="200"/>
        <w:rPr>
          <w:rFonts w:hint="eastAsia" w:ascii="宋体" w:hAnsi="宋体"/>
          <w:szCs w:val="21"/>
        </w:rPr>
      </w:pPr>
      <w:r>
        <w:rPr>
          <w:rFonts w:hint="eastAsia" w:ascii="宋体" w:hAnsi="宋体"/>
          <w:szCs w:val="21"/>
        </w:rPr>
        <w:t>7、支持车牌识别功能：白天识别准确率不低于95%，晚上识别准确率不低于95%；</w:t>
      </w:r>
    </w:p>
    <w:p w14:paraId="0EBDBFC3">
      <w:pPr>
        <w:spacing w:line="360" w:lineRule="auto"/>
        <w:ind w:firstLine="420" w:firstLineChars="200"/>
        <w:rPr>
          <w:rFonts w:hint="eastAsia" w:ascii="宋体" w:hAnsi="宋体"/>
          <w:szCs w:val="21"/>
        </w:rPr>
      </w:pPr>
      <w:r>
        <w:rPr>
          <w:rFonts w:hint="eastAsia" w:ascii="宋体" w:hAnsi="宋体"/>
          <w:szCs w:val="21"/>
        </w:rPr>
        <w:t>8、支持检测并跟踪指定区域内不少于220个目标，目标包括机动车、非机动车以及行人等；</w:t>
      </w:r>
    </w:p>
    <w:p w14:paraId="662F76A5">
      <w:pPr>
        <w:spacing w:line="360" w:lineRule="auto"/>
        <w:ind w:firstLine="420" w:firstLineChars="200"/>
        <w:rPr>
          <w:rFonts w:hint="eastAsia" w:ascii="宋体" w:hAnsi="宋体"/>
          <w:szCs w:val="21"/>
        </w:rPr>
      </w:pPr>
      <w:r>
        <w:rPr>
          <w:rFonts w:hint="eastAsia" w:ascii="宋体" w:hAnsi="宋体"/>
          <w:szCs w:val="21"/>
        </w:rPr>
        <w:t>9、支持普通卡口/人员卡口模式切换，支持设置卡口抓拍高速应用模式；</w:t>
      </w:r>
    </w:p>
    <w:p w14:paraId="0D50B66D">
      <w:pPr>
        <w:spacing w:line="360" w:lineRule="auto"/>
        <w:ind w:firstLine="420" w:firstLineChars="200"/>
        <w:rPr>
          <w:rFonts w:hint="eastAsia" w:ascii="宋体" w:hAnsi="宋体"/>
          <w:szCs w:val="21"/>
        </w:rPr>
      </w:pPr>
      <w:r>
        <w:rPr>
          <w:rFonts w:hint="eastAsia" w:ascii="宋体" w:hAnsi="宋体"/>
          <w:szCs w:val="21"/>
        </w:rPr>
        <w:t>10、支持通过视频触发进行车辆抓拍，支持车牌识别、车身颜色识别、车型识别，通行车辆信息捕获和违章检测功能；</w:t>
      </w:r>
    </w:p>
    <w:p w14:paraId="67C90DA9">
      <w:pPr>
        <w:spacing w:line="360" w:lineRule="auto"/>
        <w:ind w:firstLine="420" w:firstLineChars="200"/>
        <w:rPr>
          <w:rFonts w:hint="eastAsia" w:ascii="宋体" w:hAnsi="宋体"/>
          <w:b/>
          <w:bCs/>
          <w:color w:val="auto"/>
          <w:szCs w:val="21"/>
        </w:rPr>
      </w:pPr>
      <w:r>
        <w:rPr>
          <w:rFonts w:hint="eastAsia" w:ascii="宋体" w:hAnsi="宋体"/>
          <w:szCs w:val="21"/>
        </w:rPr>
        <w:t>11、支持单帧多区域曝光功能，可对图片和视频进行多个区域的曝光值设置：在抓拍图片和实时视频中对同一个画面的不同区域展示不同亮度场景，曝光区域可调，曝光亮度可调；</w:t>
      </w:r>
      <w:r>
        <w:rPr>
          <w:rFonts w:hint="eastAsia" w:ascii="宋体" w:hAnsi="宋体"/>
          <w:b/>
          <w:bCs/>
          <w:color w:val="auto"/>
          <w:szCs w:val="21"/>
        </w:rPr>
        <w:t>（</w:t>
      </w:r>
      <w:r>
        <w:rPr>
          <w:rFonts w:hint="eastAsia" w:ascii="宋体" w:hAnsi="宋体"/>
          <w:b/>
          <w:bCs/>
          <w:color w:val="auto"/>
          <w:szCs w:val="21"/>
          <w:lang w:val="en-US" w:eastAsia="zh-CN"/>
        </w:rPr>
        <w:t>投标时</w:t>
      </w:r>
      <w:r>
        <w:rPr>
          <w:rFonts w:hint="eastAsia" w:ascii="宋体" w:hAnsi="宋体"/>
          <w:b/>
          <w:bCs/>
          <w:color w:val="auto"/>
          <w:szCs w:val="21"/>
        </w:rPr>
        <w:t>提供公安部有效检测报告复印件加盖原厂公章或投标专用章）</w:t>
      </w:r>
    </w:p>
    <w:p w14:paraId="64812AE0">
      <w:pPr>
        <w:spacing w:line="360" w:lineRule="auto"/>
        <w:ind w:firstLine="420" w:firstLineChars="200"/>
        <w:rPr>
          <w:rFonts w:hint="eastAsia" w:ascii="宋体" w:hAnsi="宋体"/>
          <w:szCs w:val="21"/>
        </w:rPr>
      </w:pPr>
      <w:r>
        <w:rPr>
          <w:rFonts w:hint="eastAsia" w:ascii="宋体" w:hAnsi="宋体"/>
          <w:szCs w:val="21"/>
        </w:rPr>
        <w:t>12、支持网络接口、USB接口、RS-485接口、RS-232接口、I/O接口、报警输入输出、音频输入输出、外置灯接口、支持电源返送；</w:t>
      </w:r>
    </w:p>
    <w:p w14:paraId="20F21938">
      <w:pPr>
        <w:spacing w:line="360" w:lineRule="auto"/>
        <w:ind w:firstLine="420" w:firstLineChars="200"/>
        <w:rPr>
          <w:rFonts w:hint="eastAsia" w:ascii="宋体" w:hAnsi="宋体"/>
          <w:szCs w:val="21"/>
        </w:rPr>
      </w:pPr>
      <w:r>
        <w:rPr>
          <w:rFonts w:hint="eastAsia" w:ascii="宋体" w:hAnsi="宋体"/>
          <w:szCs w:val="21"/>
        </w:rPr>
        <w:t>13、支持自动画线功能，可自动识别并画出车道线、抓拍检测线；</w:t>
      </w:r>
    </w:p>
    <w:p w14:paraId="09F75E1E">
      <w:pPr>
        <w:spacing w:line="360" w:lineRule="auto"/>
        <w:ind w:firstLine="420" w:firstLineChars="200"/>
        <w:rPr>
          <w:rFonts w:hint="eastAsia" w:ascii="宋体" w:hAnsi="宋体"/>
          <w:szCs w:val="21"/>
        </w:rPr>
      </w:pPr>
      <w:r>
        <w:rPr>
          <w:rFonts w:hint="eastAsia" w:ascii="宋体" w:hAnsi="宋体"/>
          <w:szCs w:val="21"/>
        </w:rPr>
        <w:t>14、支持视频检测、雷达、线圈三种触发方式；</w:t>
      </w:r>
    </w:p>
    <w:p w14:paraId="2EB4B2DC">
      <w:pPr>
        <w:spacing w:line="360" w:lineRule="auto"/>
        <w:ind w:firstLine="420" w:firstLineChars="200"/>
        <w:rPr>
          <w:rFonts w:hint="eastAsia" w:ascii="宋体" w:hAnsi="宋体"/>
          <w:szCs w:val="21"/>
        </w:rPr>
      </w:pPr>
      <w:r>
        <w:rPr>
          <w:rFonts w:hint="eastAsia" w:ascii="宋体" w:hAnsi="宋体"/>
          <w:szCs w:val="21"/>
        </w:rPr>
        <w:t>15、支持ONVIF、CGI、GB/T 28181、GA/T 1400、GB 35114-A接入标准；</w:t>
      </w:r>
    </w:p>
    <w:p w14:paraId="10334C47">
      <w:pPr>
        <w:spacing w:line="360" w:lineRule="auto"/>
        <w:ind w:firstLine="420" w:firstLineChars="200"/>
        <w:rPr>
          <w:rFonts w:hint="eastAsia" w:ascii="宋体" w:hAnsi="宋体"/>
          <w:szCs w:val="21"/>
        </w:rPr>
      </w:pPr>
      <w:r>
        <w:rPr>
          <w:rFonts w:hint="eastAsia" w:ascii="宋体" w:hAnsi="宋体"/>
          <w:szCs w:val="21"/>
        </w:rPr>
        <w:t>16、支持100–240VAC（50Hz）供电；</w:t>
      </w:r>
    </w:p>
    <w:p w14:paraId="39AFCD22">
      <w:pPr>
        <w:spacing w:line="360" w:lineRule="auto"/>
        <w:ind w:firstLine="420" w:firstLineChars="200"/>
        <w:rPr>
          <w:rFonts w:ascii="宋体" w:hAnsi="宋体"/>
          <w:szCs w:val="21"/>
        </w:rPr>
      </w:pPr>
    </w:p>
    <w:p w14:paraId="3C73AB49">
      <w:pPr>
        <w:spacing w:line="360" w:lineRule="auto"/>
        <w:ind w:firstLine="420" w:firstLineChars="200"/>
        <w:outlineLvl w:val="1"/>
        <w:rPr>
          <w:rFonts w:hint="eastAsia" w:ascii="宋体" w:hAnsi="宋体"/>
          <w:szCs w:val="21"/>
        </w:rPr>
      </w:pPr>
      <w:bookmarkStart w:id="397" w:name="_Toc20593"/>
      <w:r>
        <w:rPr>
          <w:rFonts w:hint="eastAsia" w:ascii="宋体" w:hAnsi="宋体"/>
          <w:szCs w:val="21"/>
        </w:rPr>
        <w:t>二、智能交通终端管理设备</w:t>
      </w:r>
      <w:bookmarkEnd w:id="397"/>
    </w:p>
    <w:p w14:paraId="00BDC1E3">
      <w:pPr>
        <w:spacing w:line="360" w:lineRule="auto"/>
        <w:ind w:firstLine="420" w:firstLineChars="200"/>
        <w:rPr>
          <w:rFonts w:hint="eastAsia" w:ascii="宋体" w:hAnsi="宋体"/>
          <w:szCs w:val="21"/>
        </w:rPr>
      </w:pPr>
      <w:r>
        <w:rPr>
          <w:rFonts w:hint="eastAsia" w:ascii="宋体" w:hAnsi="宋体"/>
          <w:szCs w:val="21"/>
        </w:rPr>
        <w:t>1、支持≥16个10M/100M自适应以太网口，视频接入模式最大码流≥288Mbps，卡口合成模式最大码流≥240Mbps；</w:t>
      </w:r>
    </w:p>
    <w:p w14:paraId="75DE44F2">
      <w:pPr>
        <w:spacing w:line="360" w:lineRule="auto"/>
        <w:ind w:firstLine="420" w:firstLineChars="200"/>
        <w:rPr>
          <w:rFonts w:hint="eastAsia" w:ascii="宋体" w:hAnsi="宋体"/>
          <w:szCs w:val="21"/>
        </w:rPr>
      </w:pPr>
      <w:r>
        <w:rPr>
          <w:rFonts w:hint="eastAsia" w:ascii="宋体" w:hAnsi="宋体"/>
          <w:szCs w:val="21"/>
        </w:rPr>
        <w:t>2、支持不少于4个SATA接口3.5"硬盘；</w:t>
      </w:r>
    </w:p>
    <w:p w14:paraId="0CA3FD13">
      <w:pPr>
        <w:spacing w:line="360" w:lineRule="auto"/>
        <w:ind w:firstLine="420" w:firstLineChars="200"/>
        <w:rPr>
          <w:rFonts w:hint="eastAsia" w:ascii="宋体" w:hAnsi="宋体"/>
          <w:szCs w:val="21"/>
        </w:rPr>
      </w:pPr>
      <w:r>
        <w:rPr>
          <w:rFonts w:hint="eastAsia" w:ascii="宋体" w:hAnsi="宋体"/>
          <w:szCs w:val="21"/>
        </w:rPr>
        <w:t>3、具有不少于3个RS-232接口，4个RS-485接口，2个USB 3.0接口，4路报警输入，4路报警输出；</w:t>
      </w:r>
    </w:p>
    <w:p w14:paraId="6D40D79D">
      <w:pPr>
        <w:spacing w:line="360" w:lineRule="auto"/>
        <w:ind w:firstLine="420" w:firstLineChars="200"/>
        <w:rPr>
          <w:rFonts w:hint="eastAsia" w:ascii="宋体" w:hAnsi="宋体"/>
          <w:szCs w:val="21"/>
        </w:rPr>
      </w:pPr>
      <w:r>
        <w:rPr>
          <w:rFonts w:hint="eastAsia" w:ascii="宋体" w:hAnsi="宋体"/>
          <w:szCs w:val="21"/>
        </w:rPr>
        <w:t>4、支持接入视图库GA/T1400、国标GB/T28181-2016、国标GB35114A-2017、海康威视平台、易华录平台；</w:t>
      </w:r>
    </w:p>
    <w:p w14:paraId="7C7E02DE">
      <w:pPr>
        <w:spacing w:line="360" w:lineRule="auto"/>
        <w:ind w:firstLine="420" w:firstLineChars="200"/>
        <w:rPr>
          <w:rFonts w:hint="eastAsia" w:ascii="宋体" w:hAnsi="宋体"/>
          <w:szCs w:val="21"/>
        </w:rPr>
      </w:pPr>
      <w:r>
        <w:rPr>
          <w:rFonts w:hint="eastAsia" w:ascii="宋体" w:hAnsi="宋体"/>
          <w:szCs w:val="21"/>
        </w:rPr>
        <w:t>5、支持将屏幕划分为6个区域，各区域可独立配置数据类型、每页停留时间、显示风格，移动速度，字体颜色，字体大小，叠加元素；</w:t>
      </w:r>
    </w:p>
    <w:p w14:paraId="425F9A16">
      <w:pPr>
        <w:spacing w:line="360" w:lineRule="auto"/>
        <w:ind w:firstLine="420" w:firstLineChars="200"/>
        <w:rPr>
          <w:rFonts w:hint="eastAsia" w:ascii="宋体" w:hAnsi="宋体"/>
          <w:szCs w:val="21"/>
        </w:rPr>
      </w:pPr>
      <w:r>
        <w:rPr>
          <w:rFonts w:hint="eastAsia" w:ascii="宋体" w:hAnsi="宋体"/>
          <w:szCs w:val="21"/>
        </w:rPr>
        <w:t>6、支持将1/2/3/4/5/6张原始图片进行合成，支持多种合成形状选择，图片顺序可任意修改，支持去除原始图片黑边；</w:t>
      </w:r>
    </w:p>
    <w:p w14:paraId="1C6715F3">
      <w:pPr>
        <w:spacing w:line="360" w:lineRule="auto"/>
        <w:ind w:firstLine="420" w:firstLineChars="200"/>
        <w:rPr>
          <w:rFonts w:hint="eastAsia" w:ascii="宋体" w:hAnsi="宋体"/>
          <w:b/>
          <w:bCs/>
          <w:color w:val="auto"/>
          <w:szCs w:val="21"/>
        </w:rPr>
      </w:pPr>
      <w:r>
        <w:rPr>
          <w:rFonts w:hint="eastAsia" w:ascii="宋体" w:hAnsi="宋体"/>
          <w:szCs w:val="21"/>
        </w:rPr>
        <w:t>7、支持普通合成根据不同违法类型配置合成图中特写图序号；</w:t>
      </w:r>
      <w:r>
        <w:rPr>
          <w:rFonts w:hint="eastAsia" w:ascii="宋体" w:hAnsi="宋体"/>
          <w:b/>
          <w:bCs/>
          <w:color w:val="auto"/>
          <w:szCs w:val="21"/>
        </w:rPr>
        <w:t>（</w:t>
      </w:r>
      <w:r>
        <w:rPr>
          <w:rFonts w:hint="eastAsia" w:ascii="宋体" w:hAnsi="宋体"/>
          <w:b/>
          <w:bCs/>
          <w:color w:val="auto"/>
          <w:szCs w:val="21"/>
          <w:lang w:val="en-US" w:eastAsia="zh-CN"/>
        </w:rPr>
        <w:t>投标时</w:t>
      </w:r>
      <w:r>
        <w:rPr>
          <w:rFonts w:hint="eastAsia" w:ascii="宋体" w:hAnsi="宋体"/>
          <w:b/>
          <w:bCs/>
          <w:color w:val="auto"/>
          <w:szCs w:val="21"/>
        </w:rPr>
        <w:t>提供公安部有效检测报告复印件加盖原厂公章或投标专用章）</w:t>
      </w:r>
    </w:p>
    <w:p w14:paraId="5D462F94">
      <w:pPr>
        <w:spacing w:line="360" w:lineRule="auto"/>
        <w:ind w:firstLine="420" w:firstLineChars="200"/>
        <w:rPr>
          <w:rFonts w:hint="eastAsia" w:ascii="宋体" w:hAnsi="宋体"/>
          <w:b/>
          <w:bCs/>
          <w:color w:val="auto"/>
          <w:szCs w:val="21"/>
        </w:rPr>
      </w:pPr>
      <w:r>
        <w:rPr>
          <w:rFonts w:hint="eastAsia" w:ascii="宋体" w:hAnsi="宋体"/>
          <w:szCs w:val="21"/>
        </w:rPr>
        <w:t>8、支持根据24个结果选择进行数据展示界面的自定义设置，包括图片索引号、通道号、车道号、大小、存储时间、抓拍时间、图片类型、车牌、车牌类型、车牌颜色、车身颜色、对象类型、速度、车标、主驾驶安全带状态、副驾驶安全带状态、主驾驶遮阳板状态、副驾驶遮阳板状态、平台1标识、平台1上传状态、平台1上传时间、平台2标识、平台2上传状态、平台2上传时间等信息；</w:t>
      </w:r>
      <w:r>
        <w:rPr>
          <w:rFonts w:hint="eastAsia" w:ascii="宋体" w:hAnsi="宋体"/>
          <w:b/>
          <w:bCs/>
          <w:color w:val="auto"/>
          <w:szCs w:val="21"/>
        </w:rPr>
        <w:t>（</w:t>
      </w:r>
      <w:r>
        <w:rPr>
          <w:rFonts w:hint="eastAsia" w:ascii="宋体" w:hAnsi="宋体"/>
          <w:b/>
          <w:bCs/>
          <w:color w:val="auto"/>
          <w:szCs w:val="21"/>
          <w:lang w:val="en-US" w:eastAsia="zh-CN"/>
        </w:rPr>
        <w:t>投标时</w:t>
      </w:r>
      <w:r>
        <w:rPr>
          <w:rFonts w:hint="eastAsia" w:ascii="宋体" w:hAnsi="宋体"/>
          <w:b/>
          <w:bCs/>
          <w:color w:val="auto"/>
          <w:szCs w:val="21"/>
        </w:rPr>
        <w:t>提供公安部有效检测报告复印件加盖原厂公章或投标专用章）</w:t>
      </w:r>
    </w:p>
    <w:p w14:paraId="7B97B97E">
      <w:pPr>
        <w:spacing w:line="360" w:lineRule="auto"/>
        <w:ind w:firstLine="420" w:firstLineChars="200"/>
        <w:rPr>
          <w:rFonts w:hint="eastAsia" w:ascii="宋体" w:hAnsi="宋体"/>
          <w:szCs w:val="21"/>
        </w:rPr>
      </w:pPr>
      <w:r>
        <w:rPr>
          <w:rFonts w:hint="eastAsia" w:ascii="宋体" w:hAnsi="宋体"/>
          <w:szCs w:val="21"/>
        </w:rPr>
        <w:t>9、对于记录在存储介质上的视(音)频信息，取出的存储介质应能在相同型号的其他设备上正常回放，以保证设备发生故障后记录资料的留存(或复制)；</w:t>
      </w:r>
    </w:p>
    <w:p w14:paraId="37F35FF3">
      <w:pPr>
        <w:spacing w:line="360" w:lineRule="auto"/>
        <w:ind w:firstLine="420" w:firstLineChars="200"/>
        <w:rPr>
          <w:rFonts w:hint="eastAsia" w:ascii="宋体" w:hAnsi="宋体"/>
          <w:szCs w:val="21"/>
        </w:rPr>
      </w:pPr>
      <w:r>
        <w:rPr>
          <w:rFonts w:hint="eastAsia" w:ascii="宋体" w:hAnsi="宋体"/>
          <w:szCs w:val="21"/>
        </w:rPr>
        <w:t>10、可添加IP摄像机≥16路，支持网络高清视频和图片同时接入，总码率不小于300Mbps；</w:t>
      </w:r>
    </w:p>
    <w:p w14:paraId="4BA61AF9">
      <w:pPr>
        <w:spacing w:line="360" w:lineRule="auto"/>
        <w:ind w:firstLine="420" w:firstLineChars="200"/>
        <w:rPr>
          <w:rFonts w:hint="eastAsia" w:ascii="宋体" w:hAnsi="宋体"/>
          <w:szCs w:val="21"/>
        </w:rPr>
      </w:pPr>
      <w:r>
        <w:rPr>
          <w:rFonts w:hint="eastAsia" w:ascii="宋体" w:hAnsi="宋体"/>
          <w:szCs w:val="21"/>
        </w:rPr>
        <w:t>11、支持仅超速显示车速、卡口合成上传、违法合成上传、无牌车上传、警牌上传、车牌隐私保护等多种个性发布方式；</w:t>
      </w:r>
    </w:p>
    <w:p w14:paraId="417E373A">
      <w:pPr>
        <w:spacing w:line="360" w:lineRule="auto"/>
        <w:ind w:firstLine="420" w:firstLineChars="200"/>
        <w:rPr>
          <w:b/>
          <w:bCs/>
          <w:color w:val="auto"/>
        </w:rPr>
      </w:pPr>
      <w:r>
        <w:rPr>
          <w:rFonts w:hint="eastAsia" w:ascii="宋体" w:hAnsi="宋体"/>
          <w:szCs w:val="21"/>
        </w:rPr>
        <w:t>12、支持网络流量统计功能，可对网络接收总能力、通道接入、网络接收剩余、远程发送总能力、远程浏览、远程发送剩余的实时观察；</w:t>
      </w:r>
      <w:r>
        <w:rPr>
          <w:rFonts w:hint="eastAsia" w:ascii="宋体" w:hAnsi="宋体"/>
          <w:b/>
          <w:bCs/>
          <w:color w:val="auto"/>
          <w:szCs w:val="21"/>
        </w:rPr>
        <w:t>（</w:t>
      </w:r>
      <w:r>
        <w:rPr>
          <w:rFonts w:hint="eastAsia" w:ascii="宋体" w:hAnsi="宋体"/>
          <w:b/>
          <w:bCs/>
          <w:color w:val="auto"/>
          <w:szCs w:val="21"/>
          <w:lang w:val="en-US" w:eastAsia="zh-CN"/>
        </w:rPr>
        <w:t>投标时</w:t>
      </w:r>
      <w:r>
        <w:rPr>
          <w:rFonts w:hint="eastAsia" w:ascii="宋体" w:hAnsi="宋体"/>
          <w:b/>
          <w:bCs/>
          <w:color w:val="auto"/>
          <w:szCs w:val="21"/>
        </w:rPr>
        <w:t>提供公安部有效检测报告复印件加盖原厂公章或投标专用章）</w:t>
      </w:r>
    </w:p>
    <w:p w14:paraId="20EDB7FD">
      <w:pPr>
        <w:rPr>
          <w:rFonts w:ascii="宋体" w:hAnsi="宋体"/>
          <w:szCs w:val="21"/>
        </w:rPr>
      </w:pPr>
    </w:p>
    <w:p w14:paraId="5E1C22FF">
      <w:pPr>
        <w:spacing w:line="360" w:lineRule="auto"/>
        <w:rPr>
          <w:rFonts w:ascii="宋体" w:hAnsi="宋体"/>
          <w:highlight w:val="none"/>
        </w:rPr>
      </w:pPr>
      <w:r>
        <w:rPr>
          <w:rFonts w:ascii="宋体" w:hAnsi="宋体"/>
          <w:highlight w:val="none"/>
        </w:rPr>
        <w:br w:type="page"/>
      </w:r>
    </w:p>
    <w:p w14:paraId="42011F68">
      <w:pPr>
        <w:pStyle w:val="2"/>
        <w:spacing w:line="360" w:lineRule="auto"/>
        <w:jc w:val="center"/>
        <w:rPr>
          <w:rFonts w:ascii="宋体" w:hAnsi="宋体"/>
          <w:highlight w:val="none"/>
        </w:rPr>
      </w:pPr>
      <w:bookmarkStart w:id="398" w:name="_Toc28539"/>
      <w:r>
        <w:rPr>
          <w:rFonts w:hint="eastAsia" w:ascii="宋体" w:hAnsi="宋体"/>
          <w:highlight w:val="none"/>
        </w:rPr>
        <w:t xml:space="preserve">第八章  </w:t>
      </w:r>
      <w:r>
        <w:rPr>
          <w:rFonts w:hint="eastAsia" w:ascii="宋体" w:hAnsi="宋体"/>
          <w:highlight w:val="none"/>
          <w:lang w:eastAsia="zh-CN"/>
        </w:rPr>
        <w:t>竞选文件</w:t>
      </w:r>
      <w:r>
        <w:rPr>
          <w:rFonts w:hint="eastAsia" w:ascii="宋体" w:hAnsi="宋体"/>
          <w:highlight w:val="none"/>
        </w:rPr>
        <w:t>格式</w:t>
      </w:r>
      <w:bookmarkEnd w:id="398"/>
    </w:p>
    <w:bookmarkEnd w:id="362"/>
    <w:bookmarkEnd w:id="363"/>
    <w:bookmarkEnd w:id="364"/>
    <w:bookmarkEnd w:id="365"/>
    <w:bookmarkEnd w:id="366"/>
    <w:bookmarkEnd w:id="367"/>
    <w:bookmarkEnd w:id="368"/>
    <w:p w14:paraId="03413907">
      <w:pPr>
        <w:spacing w:line="360" w:lineRule="auto"/>
        <w:rPr>
          <w:rFonts w:ascii="宋体" w:hAnsi="宋体"/>
          <w:sz w:val="32"/>
          <w:szCs w:val="32"/>
          <w:highlight w:val="none"/>
        </w:rPr>
      </w:pPr>
    </w:p>
    <w:p w14:paraId="498AA719">
      <w:pPr>
        <w:spacing w:line="360" w:lineRule="auto"/>
        <w:jc w:val="center"/>
        <w:rPr>
          <w:rFonts w:ascii="宋体" w:hAnsi="宋体"/>
          <w:sz w:val="36"/>
          <w:szCs w:val="36"/>
          <w:highlight w:val="none"/>
        </w:rPr>
      </w:pPr>
      <w:bookmarkStart w:id="399" w:name="_Toc224103493"/>
      <w:r>
        <w:rPr>
          <w:rFonts w:hint="eastAsia" w:ascii="宋体" w:hAnsi="宋体"/>
          <w:sz w:val="36"/>
          <w:szCs w:val="36"/>
          <w:highlight w:val="none"/>
        </w:rPr>
        <w:t>目  录</w:t>
      </w:r>
      <w:bookmarkEnd w:id="399"/>
    </w:p>
    <w:p w14:paraId="5B2036CF">
      <w:pPr>
        <w:spacing w:line="360" w:lineRule="auto"/>
        <w:jc w:val="center"/>
        <w:rPr>
          <w:rFonts w:ascii="宋体" w:hAnsi="宋体"/>
          <w:szCs w:val="20"/>
          <w:highlight w:val="none"/>
        </w:rPr>
      </w:pPr>
    </w:p>
    <w:p w14:paraId="7331D7B5">
      <w:pPr>
        <w:spacing w:line="360" w:lineRule="auto"/>
        <w:outlineLvl w:val="1"/>
        <w:rPr>
          <w:rFonts w:ascii="宋体" w:hAnsi="宋体"/>
          <w:b/>
          <w:highlight w:val="none"/>
        </w:rPr>
      </w:pPr>
      <w:bookmarkStart w:id="400" w:name="_Toc31419"/>
      <w:r>
        <w:rPr>
          <w:rFonts w:hint="eastAsia" w:ascii="宋体" w:hAnsi="宋体"/>
          <w:b/>
          <w:highlight w:val="none"/>
          <w:lang w:val="en-US" w:eastAsia="zh-CN"/>
        </w:rPr>
        <w:t>一</w:t>
      </w:r>
      <w:r>
        <w:rPr>
          <w:rFonts w:ascii="宋体" w:hAnsi="宋体"/>
          <w:b/>
          <w:highlight w:val="none"/>
        </w:rPr>
        <w:t>、</w:t>
      </w:r>
      <w:r>
        <w:rPr>
          <w:rFonts w:hint="eastAsia" w:ascii="宋体" w:hAnsi="宋体"/>
          <w:b/>
          <w:highlight w:val="none"/>
          <w:lang w:eastAsia="zh-CN"/>
        </w:rPr>
        <w:t>竞选函</w:t>
      </w:r>
      <w:r>
        <w:rPr>
          <w:rFonts w:ascii="宋体" w:hAnsi="宋体"/>
          <w:b/>
          <w:highlight w:val="none"/>
        </w:rPr>
        <w:t>部分</w:t>
      </w:r>
      <w:bookmarkEnd w:id="400"/>
    </w:p>
    <w:p w14:paraId="5C745078">
      <w:pPr>
        <w:spacing w:line="360" w:lineRule="auto"/>
        <w:ind w:firstLine="420" w:firstLineChars="200"/>
        <w:rPr>
          <w:rFonts w:hint="eastAsia" w:ascii="宋体" w:hAnsi="宋体" w:eastAsia="宋体"/>
          <w:highlight w:val="none"/>
          <w:lang w:eastAsia="zh-CN"/>
        </w:rPr>
      </w:pPr>
      <w:r>
        <w:rPr>
          <w:rFonts w:ascii="宋体" w:hAnsi="宋体"/>
          <w:highlight w:val="none"/>
        </w:rPr>
        <w:t>（一）</w:t>
      </w:r>
      <w:r>
        <w:rPr>
          <w:rFonts w:hint="eastAsia" w:ascii="宋体" w:hAnsi="宋体"/>
          <w:highlight w:val="none"/>
          <w:lang w:eastAsia="zh-CN"/>
        </w:rPr>
        <w:t>竞选函</w:t>
      </w:r>
    </w:p>
    <w:p w14:paraId="2C2BB195">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竞选函</w:t>
      </w:r>
      <w:r>
        <w:rPr>
          <w:rFonts w:ascii="宋体" w:hAnsi="宋体"/>
          <w:highlight w:val="none"/>
        </w:rPr>
        <w:t>附录</w:t>
      </w:r>
    </w:p>
    <w:p w14:paraId="6346CF6B">
      <w:pPr>
        <w:spacing w:line="360" w:lineRule="auto"/>
        <w:ind w:firstLine="420" w:firstLineChars="200"/>
        <w:rPr>
          <w:rFonts w:hint="eastAsia"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bookmarkStart w:id="401" w:name="_Toc224103498"/>
      <w:bookmarkStart w:id="402" w:name="_Toc277082646"/>
      <w:bookmarkStart w:id="403" w:name="_Toc287607870"/>
      <w:bookmarkStart w:id="404" w:name="_Toc287620817"/>
      <w:bookmarkStart w:id="405" w:name="_Toc13933"/>
      <w:bookmarkStart w:id="406" w:name="_Toc57905922"/>
    </w:p>
    <w:p w14:paraId="2F294AAB">
      <w:pPr>
        <w:spacing w:line="360" w:lineRule="auto"/>
        <w:ind w:firstLine="420" w:firstLineChars="200"/>
      </w:pPr>
      <w:r>
        <w:rPr>
          <w:rFonts w:hint="eastAsia" w:ascii="宋体" w:hAnsi="宋体" w:eastAsia="宋体" w:cs="Times New Roman"/>
          <w:b w:val="0"/>
          <w:bCs w:val="0"/>
          <w:kern w:val="2"/>
          <w:sz w:val="21"/>
          <w:szCs w:val="24"/>
          <w:highlight w:val="none"/>
          <w:lang w:val="en-US" w:eastAsia="zh-CN" w:bidi="ar-SA"/>
        </w:rPr>
        <w:t>（四）</w:t>
      </w:r>
      <w:bookmarkEnd w:id="401"/>
      <w:bookmarkEnd w:id="402"/>
      <w:bookmarkEnd w:id="403"/>
      <w:bookmarkEnd w:id="404"/>
      <w:r>
        <w:rPr>
          <w:rFonts w:hint="eastAsia" w:ascii="宋体" w:hAnsi="宋体" w:eastAsia="宋体" w:cs="Times New Roman"/>
          <w:b w:val="0"/>
          <w:bCs w:val="0"/>
          <w:kern w:val="2"/>
          <w:sz w:val="21"/>
          <w:szCs w:val="24"/>
          <w:highlight w:val="none"/>
          <w:lang w:val="en-US" w:eastAsia="zh-CN" w:bidi="ar-SA"/>
        </w:rPr>
        <w:t>低价风险担保提交承诺书</w:t>
      </w:r>
      <w:bookmarkEnd w:id="405"/>
      <w:bookmarkEnd w:id="406"/>
    </w:p>
    <w:p w14:paraId="4BEC6362">
      <w:pPr>
        <w:spacing w:line="360" w:lineRule="auto"/>
        <w:outlineLvl w:val="1"/>
        <w:rPr>
          <w:rFonts w:ascii="宋体" w:hAnsi="宋体"/>
          <w:b/>
          <w:highlight w:val="none"/>
        </w:rPr>
      </w:pPr>
      <w:bookmarkStart w:id="407" w:name="_Toc6098"/>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经济</w:t>
      </w:r>
      <w:r>
        <w:rPr>
          <w:rFonts w:ascii="宋体" w:hAnsi="宋体"/>
          <w:b/>
          <w:highlight w:val="none"/>
        </w:rPr>
        <w:t>部分</w:t>
      </w:r>
      <w:bookmarkEnd w:id="407"/>
    </w:p>
    <w:p w14:paraId="08D4935F">
      <w:pPr>
        <w:spacing w:line="360" w:lineRule="auto"/>
        <w:ind w:firstLine="420" w:firstLineChars="200"/>
        <w:rPr>
          <w:rFonts w:ascii="宋体" w:hAnsi="宋体"/>
          <w:highlight w:val="none"/>
        </w:rPr>
      </w:pPr>
      <w:r>
        <w:rPr>
          <w:rFonts w:ascii="宋体" w:hAnsi="宋体"/>
          <w:highlight w:val="none"/>
        </w:rPr>
        <w:t>已标价工程量清单</w:t>
      </w:r>
    </w:p>
    <w:p w14:paraId="2A03066A">
      <w:pPr>
        <w:spacing w:line="360" w:lineRule="auto"/>
        <w:outlineLvl w:val="1"/>
        <w:rPr>
          <w:rFonts w:ascii="宋体" w:hAnsi="宋体"/>
          <w:b/>
          <w:highlight w:val="none"/>
        </w:rPr>
      </w:pPr>
      <w:bookmarkStart w:id="408" w:name="_Toc23604"/>
      <w:r>
        <w:rPr>
          <w:rFonts w:hint="eastAsia" w:ascii="宋体" w:hAnsi="宋体"/>
          <w:b/>
          <w:highlight w:val="none"/>
          <w:lang w:val="en-US" w:eastAsia="zh-CN"/>
        </w:rPr>
        <w:t>三</w:t>
      </w:r>
      <w:r>
        <w:rPr>
          <w:rFonts w:ascii="宋体" w:hAnsi="宋体"/>
          <w:b/>
          <w:highlight w:val="none"/>
        </w:rPr>
        <w:t>、</w:t>
      </w:r>
      <w:r>
        <w:rPr>
          <w:rFonts w:hint="eastAsia" w:ascii="宋体" w:hAnsi="宋体"/>
          <w:b/>
          <w:highlight w:val="none"/>
        </w:rPr>
        <w:t>资格审查部分</w:t>
      </w:r>
      <w:bookmarkEnd w:id="408"/>
    </w:p>
    <w:p w14:paraId="3F9331F0">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6B2C2DE9">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14:paraId="5F47F579">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14:paraId="764E11E6">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承诺</w:t>
      </w:r>
    </w:p>
    <w:p w14:paraId="43FD4651">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）其他资料</w:t>
      </w:r>
    </w:p>
    <w:p w14:paraId="130220E0">
      <w:pPr>
        <w:spacing w:line="360" w:lineRule="auto"/>
        <w:rPr>
          <w:rFonts w:ascii="宋体" w:hAnsi="宋体"/>
          <w:highlight w:val="none"/>
        </w:rPr>
      </w:pPr>
    </w:p>
    <w:p w14:paraId="13BA2C4D">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409" w:name="_Toc287620813"/>
      <w:bookmarkStart w:id="410" w:name="_Toc277082642"/>
      <w:bookmarkStart w:id="411" w:name="_Toc224103494"/>
      <w:bookmarkStart w:id="412" w:name="_Toc287607866"/>
      <w:bookmarkStart w:id="413" w:name="_Toc430530529"/>
    </w:p>
    <w:p w14:paraId="53224F89">
      <w:pPr>
        <w:pStyle w:val="3"/>
        <w:spacing w:line="360" w:lineRule="auto"/>
        <w:jc w:val="center"/>
        <w:rPr>
          <w:rFonts w:ascii="宋体" w:hAnsi="宋体"/>
          <w:b w:val="0"/>
          <w:bCs w:val="0"/>
          <w:sz w:val="44"/>
          <w:szCs w:val="44"/>
          <w:highlight w:val="none"/>
        </w:rPr>
      </w:pPr>
      <w:bookmarkStart w:id="414" w:name="_Toc19476"/>
      <w:bookmarkStart w:id="415" w:name="_Toc27035"/>
      <w:bookmarkStart w:id="416" w:name="_Toc29578"/>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w:t>
      </w:r>
      <w:r>
        <w:rPr>
          <w:rFonts w:hint="eastAsia" w:ascii="宋体" w:hAnsi="宋体"/>
          <w:b w:val="0"/>
          <w:bCs w:val="0"/>
          <w:sz w:val="44"/>
          <w:szCs w:val="44"/>
          <w:highlight w:val="none"/>
          <w:lang w:eastAsia="zh-CN"/>
        </w:rPr>
        <w:t>竞选函</w:t>
      </w:r>
      <w:r>
        <w:rPr>
          <w:rFonts w:hint="eastAsia" w:ascii="宋体" w:hAnsi="宋体"/>
          <w:b w:val="0"/>
          <w:bCs w:val="0"/>
          <w:sz w:val="44"/>
          <w:szCs w:val="44"/>
          <w:highlight w:val="none"/>
        </w:rPr>
        <w:t>部分</w:t>
      </w:r>
      <w:bookmarkEnd w:id="409"/>
      <w:bookmarkEnd w:id="410"/>
      <w:bookmarkEnd w:id="411"/>
      <w:bookmarkEnd w:id="412"/>
      <w:bookmarkEnd w:id="413"/>
      <w:bookmarkEnd w:id="414"/>
      <w:bookmarkEnd w:id="415"/>
      <w:bookmarkEnd w:id="416"/>
    </w:p>
    <w:p w14:paraId="768991A6">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08B039BC">
      <w:pPr>
        <w:tabs>
          <w:tab w:val="left" w:pos="2580"/>
          <w:tab w:val="left" w:pos="5940"/>
        </w:tabs>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lang w:val="en-US" w:eastAsia="zh-CN"/>
        </w:rPr>
        <w:t xml:space="preserve">                      </w:t>
      </w:r>
      <w:r>
        <w:rPr>
          <w:rFonts w:hint="eastAsia" w:ascii="宋体" w:hAnsi="宋体"/>
          <w:kern w:val="0"/>
          <w:sz w:val="32"/>
          <w:szCs w:val="32"/>
          <w:highlight w:val="none"/>
          <w:u w:val="single"/>
        </w:rPr>
        <w:t>（项目名称）</w:t>
      </w:r>
    </w:p>
    <w:p w14:paraId="1DE3A4AE">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EACE1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EBCE03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42F8BB4">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5CBC22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528DCD02">
      <w:pPr>
        <w:autoSpaceDE w:val="0"/>
        <w:autoSpaceDN w:val="0"/>
        <w:adjustRightInd w:val="0"/>
        <w:snapToGrid w:val="0"/>
        <w:spacing w:line="360" w:lineRule="auto"/>
        <w:jc w:val="left"/>
        <w:rPr>
          <w:rFonts w:ascii="宋体" w:hAnsi="宋体"/>
          <w:kern w:val="0"/>
          <w:sz w:val="16"/>
          <w:szCs w:val="16"/>
          <w:highlight w:val="none"/>
        </w:rPr>
      </w:pPr>
    </w:p>
    <w:p w14:paraId="265D1138">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竞选函</w:t>
      </w:r>
      <w:r>
        <w:rPr>
          <w:rFonts w:hint="eastAsia" w:ascii="宋体" w:hAnsi="宋体"/>
          <w:kern w:val="0"/>
          <w:sz w:val="36"/>
          <w:szCs w:val="36"/>
          <w:highlight w:val="none"/>
        </w:rPr>
        <w:t>部分</w:t>
      </w:r>
    </w:p>
    <w:p w14:paraId="2EF734D5">
      <w:pPr>
        <w:autoSpaceDE w:val="0"/>
        <w:autoSpaceDN w:val="0"/>
        <w:adjustRightInd w:val="0"/>
        <w:snapToGrid w:val="0"/>
        <w:spacing w:line="360" w:lineRule="auto"/>
        <w:jc w:val="left"/>
        <w:rPr>
          <w:rFonts w:ascii="宋体" w:hAnsi="宋体"/>
          <w:b/>
          <w:kern w:val="0"/>
          <w:sz w:val="20"/>
          <w:szCs w:val="20"/>
          <w:highlight w:val="none"/>
        </w:rPr>
      </w:pPr>
    </w:p>
    <w:p w14:paraId="4F1AAF54">
      <w:pPr>
        <w:autoSpaceDE w:val="0"/>
        <w:autoSpaceDN w:val="0"/>
        <w:adjustRightInd w:val="0"/>
        <w:snapToGrid w:val="0"/>
        <w:spacing w:line="360" w:lineRule="auto"/>
        <w:jc w:val="left"/>
        <w:rPr>
          <w:rFonts w:ascii="宋体" w:hAnsi="宋体"/>
          <w:b/>
          <w:kern w:val="0"/>
          <w:sz w:val="20"/>
          <w:szCs w:val="20"/>
          <w:highlight w:val="none"/>
        </w:rPr>
      </w:pPr>
    </w:p>
    <w:p w14:paraId="59B603D0">
      <w:pPr>
        <w:autoSpaceDE w:val="0"/>
        <w:autoSpaceDN w:val="0"/>
        <w:adjustRightInd w:val="0"/>
        <w:snapToGrid w:val="0"/>
        <w:spacing w:line="360" w:lineRule="auto"/>
        <w:jc w:val="left"/>
        <w:rPr>
          <w:rFonts w:ascii="宋体" w:hAnsi="宋体"/>
          <w:b/>
          <w:kern w:val="0"/>
          <w:sz w:val="20"/>
          <w:szCs w:val="20"/>
          <w:highlight w:val="none"/>
        </w:rPr>
      </w:pPr>
    </w:p>
    <w:p w14:paraId="3AB9E8EC">
      <w:pPr>
        <w:autoSpaceDE w:val="0"/>
        <w:autoSpaceDN w:val="0"/>
        <w:adjustRightInd w:val="0"/>
        <w:snapToGrid w:val="0"/>
        <w:spacing w:line="360" w:lineRule="auto"/>
        <w:jc w:val="left"/>
        <w:rPr>
          <w:rFonts w:ascii="宋体" w:hAnsi="宋体"/>
          <w:b/>
          <w:kern w:val="0"/>
          <w:sz w:val="20"/>
          <w:szCs w:val="20"/>
          <w:highlight w:val="none"/>
        </w:rPr>
      </w:pPr>
    </w:p>
    <w:p w14:paraId="4983E0EC">
      <w:pPr>
        <w:autoSpaceDE w:val="0"/>
        <w:autoSpaceDN w:val="0"/>
        <w:adjustRightInd w:val="0"/>
        <w:snapToGrid w:val="0"/>
        <w:spacing w:line="360" w:lineRule="auto"/>
        <w:jc w:val="left"/>
        <w:rPr>
          <w:rFonts w:ascii="宋体" w:hAnsi="宋体"/>
          <w:b/>
          <w:kern w:val="0"/>
          <w:sz w:val="20"/>
          <w:szCs w:val="20"/>
          <w:highlight w:val="none"/>
        </w:rPr>
      </w:pPr>
    </w:p>
    <w:p w14:paraId="2493FAD0">
      <w:pPr>
        <w:autoSpaceDE w:val="0"/>
        <w:autoSpaceDN w:val="0"/>
        <w:adjustRightInd w:val="0"/>
        <w:snapToGrid w:val="0"/>
        <w:spacing w:line="360" w:lineRule="auto"/>
        <w:jc w:val="left"/>
        <w:rPr>
          <w:rFonts w:ascii="宋体" w:hAnsi="宋体"/>
          <w:b/>
          <w:kern w:val="0"/>
          <w:sz w:val="20"/>
          <w:szCs w:val="20"/>
          <w:highlight w:val="none"/>
        </w:rPr>
      </w:pPr>
    </w:p>
    <w:p w14:paraId="4EAA999B">
      <w:pPr>
        <w:autoSpaceDE w:val="0"/>
        <w:autoSpaceDN w:val="0"/>
        <w:adjustRightInd w:val="0"/>
        <w:snapToGrid w:val="0"/>
        <w:spacing w:line="360" w:lineRule="auto"/>
        <w:jc w:val="left"/>
        <w:rPr>
          <w:rFonts w:ascii="宋体" w:hAnsi="宋体"/>
          <w:b/>
          <w:kern w:val="0"/>
          <w:sz w:val="20"/>
          <w:szCs w:val="20"/>
          <w:highlight w:val="none"/>
        </w:rPr>
      </w:pPr>
    </w:p>
    <w:p w14:paraId="1FE604F4">
      <w:pPr>
        <w:autoSpaceDE w:val="0"/>
        <w:autoSpaceDN w:val="0"/>
        <w:adjustRightInd w:val="0"/>
        <w:snapToGrid w:val="0"/>
        <w:spacing w:line="360" w:lineRule="auto"/>
        <w:jc w:val="left"/>
        <w:rPr>
          <w:rFonts w:ascii="宋体" w:hAnsi="宋体"/>
          <w:b/>
          <w:kern w:val="0"/>
          <w:sz w:val="20"/>
          <w:szCs w:val="20"/>
          <w:highlight w:val="none"/>
        </w:rPr>
      </w:pPr>
    </w:p>
    <w:p w14:paraId="257B6205">
      <w:pPr>
        <w:autoSpaceDE w:val="0"/>
        <w:autoSpaceDN w:val="0"/>
        <w:adjustRightInd w:val="0"/>
        <w:snapToGrid w:val="0"/>
        <w:spacing w:line="360" w:lineRule="auto"/>
        <w:jc w:val="left"/>
        <w:rPr>
          <w:rFonts w:ascii="宋体" w:hAnsi="宋体"/>
          <w:b/>
          <w:kern w:val="0"/>
          <w:sz w:val="20"/>
          <w:szCs w:val="20"/>
          <w:highlight w:val="none"/>
        </w:rPr>
      </w:pPr>
    </w:p>
    <w:p w14:paraId="0369CEB7">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50DDB0DB">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255C0297">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14:paraId="35DBC4D4">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14:paraId="3C026366">
      <w:pPr>
        <w:autoSpaceDE w:val="0"/>
        <w:autoSpaceDN w:val="0"/>
        <w:adjustRightInd w:val="0"/>
        <w:snapToGrid w:val="0"/>
        <w:spacing w:line="360" w:lineRule="auto"/>
        <w:jc w:val="left"/>
        <w:rPr>
          <w:rFonts w:ascii="宋体" w:hAnsi="宋体"/>
          <w:kern w:val="0"/>
          <w:sz w:val="24"/>
          <w:szCs w:val="21"/>
          <w:highlight w:val="none"/>
        </w:rPr>
      </w:pPr>
    </w:p>
    <w:p w14:paraId="55A7D252">
      <w:pPr>
        <w:autoSpaceDE w:val="0"/>
        <w:autoSpaceDN w:val="0"/>
        <w:adjustRightInd w:val="0"/>
        <w:spacing w:line="360" w:lineRule="auto"/>
        <w:ind w:firstLine="480" w:firstLineChars="200"/>
        <w:jc w:val="left"/>
        <w:rPr>
          <w:rFonts w:hint="eastAsia" w:ascii="宋体" w:hAnsi="宋体" w:eastAsia="宋体"/>
          <w:kern w:val="0"/>
          <w:sz w:val="24"/>
          <w:highlight w:val="none"/>
          <w:lang w:eastAsia="zh-CN"/>
        </w:rPr>
      </w:pPr>
      <w:r>
        <w:rPr>
          <w:rFonts w:ascii="宋体" w:hAnsi="宋体"/>
          <w:kern w:val="0"/>
          <w:sz w:val="24"/>
          <w:highlight w:val="none"/>
        </w:rPr>
        <w:t>（一）</w:t>
      </w:r>
      <w:r>
        <w:rPr>
          <w:rFonts w:hint="eastAsia" w:ascii="宋体" w:hAnsi="宋体"/>
          <w:kern w:val="0"/>
          <w:sz w:val="24"/>
          <w:highlight w:val="none"/>
          <w:lang w:eastAsia="zh-CN"/>
        </w:rPr>
        <w:t>竞选函</w:t>
      </w:r>
    </w:p>
    <w:p w14:paraId="75638AF5">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竞选函</w:t>
      </w:r>
      <w:r>
        <w:rPr>
          <w:rFonts w:ascii="宋体" w:hAnsi="宋体"/>
          <w:kern w:val="0"/>
          <w:sz w:val="24"/>
          <w:highlight w:val="none"/>
        </w:rPr>
        <w:t>附录</w:t>
      </w:r>
    </w:p>
    <w:p w14:paraId="70D608D5">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14:paraId="26C8F3E0">
      <w:pPr>
        <w:autoSpaceDE w:val="0"/>
        <w:autoSpaceDN w:val="0"/>
        <w:adjustRightInd w:val="0"/>
        <w:snapToGrid w:val="0"/>
        <w:spacing w:line="360" w:lineRule="auto"/>
        <w:jc w:val="left"/>
        <w:rPr>
          <w:rFonts w:ascii="宋体" w:hAnsi="宋体"/>
          <w:w w:val="99"/>
          <w:kern w:val="0"/>
          <w:sz w:val="28"/>
          <w:szCs w:val="28"/>
          <w:highlight w:val="none"/>
        </w:rPr>
      </w:pPr>
    </w:p>
    <w:p w14:paraId="52DCA6F9">
      <w:pPr>
        <w:pStyle w:val="4"/>
        <w:spacing w:before="0" w:after="0" w:line="400" w:lineRule="exact"/>
        <w:jc w:val="center"/>
        <w:rPr>
          <w:rFonts w:hint="eastAsia" w:ascii="宋体" w:hAnsi="宋体" w:eastAsia="宋体"/>
          <w:b w:val="0"/>
          <w:highlight w:val="none"/>
          <w:lang w:eastAsia="zh-CN"/>
        </w:rPr>
      </w:pPr>
      <w:bookmarkStart w:id="417" w:name="_Toc287607867"/>
      <w:bookmarkStart w:id="418" w:name="_Toc287620814"/>
      <w:bookmarkStart w:id="419" w:name="_Toc224103495"/>
      <w:bookmarkStart w:id="420" w:name="_Toc509218854"/>
      <w:bookmarkStart w:id="421" w:name="_Toc430530530"/>
      <w:bookmarkStart w:id="422" w:name="_Toc534185831"/>
      <w:bookmarkStart w:id="423" w:name="_Toc277082643"/>
      <w:r>
        <w:rPr>
          <w:rFonts w:ascii="宋体" w:hAnsi="宋体"/>
          <w:highlight w:val="none"/>
        </w:rPr>
        <w:br w:type="page"/>
      </w:r>
      <w:bookmarkStart w:id="424" w:name="_Toc26071"/>
      <w:bookmarkStart w:id="425" w:name="_Toc882"/>
      <w:r>
        <w:rPr>
          <w:rFonts w:hint="eastAsia"/>
          <w:highlight w:val="none"/>
        </w:rPr>
        <w:t>（一）</w:t>
      </w:r>
      <w:bookmarkEnd w:id="417"/>
      <w:bookmarkEnd w:id="418"/>
      <w:bookmarkEnd w:id="419"/>
      <w:bookmarkEnd w:id="420"/>
      <w:bookmarkEnd w:id="421"/>
      <w:bookmarkEnd w:id="422"/>
      <w:bookmarkEnd w:id="423"/>
      <w:bookmarkEnd w:id="424"/>
      <w:r>
        <w:rPr>
          <w:rFonts w:hint="eastAsia"/>
          <w:highlight w:val="none"/>
          <w:lang w:eastAsia="zh-CN"/>
        </w:rPr>
        <w:t>竞选函</w:t>
      </w:r>
      <w:bookmarkEnd w:id="425"/>
    </w:p>
    <w:p w14:paraId="6B72626A">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lang w:eastAsia="zh-CN"/>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14:paraId="4E0B2F8D">
      <w:pPr>
        <w:tabs>
          <w:tab w:val="left" w:pos="546"/>
          <w:tab w:val="left" w:pos="711"/>
        </w:tabs>
        <w:snapToGri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）的投标总报价进行报价</w:t>
      </w: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其中安全文明施工费为</w:t>
      </w:r>
      <w:r>
        <w:rPr>
          <w:rFonts w:hint="eastAsia" w:ascii="宋体" w:hAnsi="宋体"/>
          <w:snapToGrid w:val="0"/>
          <w:kern w:val="0"/>
          <w:szCs w:val="21"/>
          <w:highlight w:val="none"/>
          <w:u w:val="single"/>
          <w:lang w:val="en-US" w:eastAsia="zh-CN"/>
        </w:rPr>
        <w:t xml:space="preserve">         元</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。工期</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按合同约定实施和完成承包工程，修补工程中的任何缺陷，工程质量达到</w:t>
      </w:r>
      <w:r>
        <w:rPr>
          <w:rFonts w:hint="eastAsia" w:ascii="宋体" w:hAnsi="宋体"/>
          <w:snapToGrid w:val="0"/>
          <w:kern w:val="0"/>
          <w:szCs w:val="21"/>
          <w:highlight w:val="none"/>
        </w:rPr>
        <w:t>招标文件的要求</w:t>
      </w:r>
      <w:r>
        <w:rPr>
          <w:rFonts w:ascii="宋体" w:hAnsi="宋体"/>
          <w:snapToGrid w:val="0"/>
          <w:kern w:val="0"/>
          <w:szCs w:val="21"/>
          <w:highlight w:val="none"/>
        </w:rPr>
        <w:t>。</w:t>
      </w:r>
    </w:p>
    <w:p w14:paraId="7B870572">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p>
    <w:p w14:paraId="14319F2F">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14:paraId="3DA8D245">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14:paraId="075F576A">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附录属于合同文件的组成部分。</w:t>
      </w:r>
    </w:p>
    <w:p w14:paraId="52BBDFE5">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14:paraId="022B4190">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14:paraId="1C105018">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（5）我方承诺以不低于招标文件第七章 技术标准和要求中所列的技术指标和参数要求完成全部合同工程。</w:t>
      </w:r>
    </w:p>
    <w:p w14:paraId="0650148E">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lang w:eastAsia="zh-CN"/>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lang w:eastAsia="zh-CN"/>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14:paraId="4951EAF4">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14:paraId="13C5A8EA">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14:paraId="332C2AB0">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637BE0C3">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542C38E7">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01B17BE6">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200FC764">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6205E893">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12662FAD">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1F3D09E7">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14:paraId="76CD766F">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17475DE8">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14:paraId="34086BE7">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14:paraId="296518A2">
      <w:pPr>
        <w:pStyle w:val="4"/>
        <w:jc w:val="center"/>
        <w:rPr>
          <w:rFonts w:ascii="宋体" w:hAnsi="宋体"/>
          <w:snapToGrid w:val="0"/>
          <w:kern w:val="0"/>
          <w:szCs w:val="21"/>
          <w:highlight w:val="none"/>
        </w:rPr>
      </w:pPr>
      <w:bookmarkStart w:id="426" w:name="_Toc224103496"/>
      <w:bookmarkStart w:id="427" w:name="_Toc277082644"/>
      <w:bookmarkStart w:id="428" w:name="_Toc287607868"/>
      <w:bookmarkStart w:id="429" w:name="_Toc287620815"/>
      <w:bookmarkStart w:id="430" w:name="_Toc430530531"/>
      <w:r>
        <w:rPr>
          <w:rFonts w:ascii="宋体" w:hAnsi="宋体"/>
          <w:sz w:val="28"/>
          <w:highlight w:val="none"/>
        </w:rPr>
        <w:br w:type="page"/>
      </w:r>
      <w:bookmarkStart w:id="431" w:name="_Toc509218855"/>
      <w:bookmarkStart w:id="432" w:name="_Toc6045"/>
      <w:bookmarkStart w:id="433" w:name="_Toc30967"/>
      <w:bookmarkStart w:id="434" w:name="_Toc534185832"/>
      <w:r>
        <w:rPr>
          <w:highlight w:val="none"/>
        </w:rPr>
        <w:t>（二）</w:t>
      </w:r>
      <w:r>
        <w:rPr>
          <w:rFonts w:hint="eastAsia"/>
          <w:highlight w:val="none"/>
          <w:lang w:eastAsia="zh-CN"/>
        </w:rPr>
        <w:t>竞选函</w:t>
      </w:r>
      <w:r>
        <w:rPr>
          <w:highlight w:val="none"/>
        </w:rPr>
        <w:t>附录</w:t>
      </w:r>
      <w:bookmarkEnd w:id="426"/>
      <w:bookmarkEnd w:id="427"/>
      <w:bookmarkEnd w:id="428"/>
      <w:bookmarkEnd w:id="429"/>
      <w:bookmarkEnd w:id="430"/>
      <w:bookmarkEnd w:id="431"/>
      <w:bookmarkEnd w:id="432"/>
      <w:bookmarkEnd w:id="433"/>
      <w:bookmarkEnd w:id="434"/>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782DA6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C429E23">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14:paraId="1170E70B">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14:paraId="6207EEFB">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14:paraId="7BDF608E">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14:paraId="3A12B3C4">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14:paraId="332C1E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59D0717">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w:t>
            </w:r>
          </w:p>
        </w:tc>
        <w:tc>
          <w:tcPr>
            <w:tcW w:w="2582" w:type="dxa"/>
            <w:vAlign w:val="center"/>
          </w:tcPr>
          <w:p w14:paraId="7D3EB3BA">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项目经理</w:t>
            </w:r>
          </w:p>
        </w:tc>
        <w:tc>
          <w:tcPr>
            <w:tcW w:w="2388" w:type="dxa"/>
            <w:vAlign w:val="center"/>
          </w:tcPr>
          <w:p w14:paraId="13925BC0">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1.1.2.8</w:t>
            </w:r>
          </w:p>
        </w:tc>
        <w:tc>
          <w:tcPr>
            <w:tcW w:w="2987" w:type="dxa"/>
            <w:vAlign w:val="center"/>
          </w:tcPr>
          <w:p w14:paraId="6DA03B8A">
            <w:pPr>
              <w:tabs>
                <w:tab w:val="left" w:pos="2190"/>
              </w:tabs>
              <w:autoSpaceDE w:val="0"/>
              <w:autoSpaceDN w:val="0"/>
              <w:adjustRightInd w:val="0"/>
              <w:ind w:firstLine="420" w:firstLineChars="200"/>
              <w:jc w:val="left"/>
              <w:rPr>
                <w:rFonts w:hint="eastAsia" w:ascii="宋体" w:hAnsi="宋体" w:eastAsia="宋体"/>
                <w:snapToGrid w:val="0"/>
                <w:kern w:val="0"/>
                <w:szCs w:val="21"/>
                <w:highlight w:val="none"/>
                <w:lang w:val="en-US" w:eastAsia="zh-CN"/>
              </w:rPr>
            </w:pPr>
            <w:r>
              <w:rPr>
                <w:rFonts w:ascii="宋体" w:hAnsi="宋体"/>
                <w:snapToGrid w:val="0"/>
                <w:kern w:val="0"/>
                <w:sz w:val="21"/>
                <w:szCs w:val="21"/>
              </w:rPr>
              <w:t>姓名：</w:t>
            </w:r>
          </w:p>
        </w:tc>
        <w:tc>
          <w:tcPr>
            <w:tcW w:w="792" w:type="dxa"/>
            <w:vAlign w:val="center"/>
          </w:tcPr>
          <w:p w14:paraId="45B8CCC2">
            <w:pPr>
              <w:autoSpaceDE w:val="0"/>
              <w:autoSpaceDN w:val="0"/>
              <w:adjustRightInd w:val="0"/>
              <w:jc w:val="center"/>
              <w:rPr>
                <w:rFonts w:ascii="宋体" w:hAnsi="宋体"/>
                <w:snapToGrid w:val="0"/>
                <w:kern w:val="0"/>
                <w:szCs w:val="21"/>
                <w:highlight w:val="none"/>
              </w:rPr>
            </w:pPr>
          </w:p>
        </w:tc>
      </w:tr>
      <w:tr w14:paraId="4D31FD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DA0F939">
            <w:pPr>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2</w:t>
            </w:r>
          </w:p>
        </w:tc>
        <w:tc>
          <w:tcPr>
            <w:tcW w:w="2582" w:type="dxa"/>
            <w:vAlign w:val="center"/>
          </w:tcPr>
          <w:p w14:paraId="196E34EE">
            <w:pPr>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工期</w:t>
            </w:r>
          </w:p>
        </w:tc>
        <w:tc>
          <w:tcPr>
            <w:tcW w:w="2388" w:type="dxa"/>
            <w:vAlign w:val="center"/>
          </w:tcPr>
          <w:p w14:paraId="0879398A">
            <w:pPr>
              <w:tabs>
                <w:tab w:val="left" w:pos="2051"/>
              </w:tabs>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1.1.4.3</w:t>
            </w:r>
          </w:p>
        </w:tc>
        <w:tc>
          <w:tcPr>
            <w:tcW w:w="2987" w:type="dxa"/>
            <w:vAlign w:val="center"/>
          </w:tcPr>
          <w:p w14:paraId="66BFD783">
            <w:pPr>
              <w:tabs>
                <w:tab w:val="left" w:pos="1560"/>
              </w:tabs>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天数：</w:t>
            </w:r>
            <w:r>
              <w:rPr>
                <w:rFonts w:ascii="宋体" w:hAnsi="宋体"/>
                <w:snapToGrid w:val="0"/>
                <w:kern w:val="0"/>
                <w:sz w:val="21"/>
                <w:szCs w:val="21"/>
                <w:u w:val="single"/>
              </w:rPr>
              <w:tab/>
            </w:r>
            <w:r>
              <w:rPr>
                <w:rFonts w:ascii="宋体" w:hAnsi="宋体"/>
                <w:snapToGrid w:val="0"/>
                <w:kern w:val="0"/>
                <w:sz w:val="21"/>
                <w:szCs w:val="21"/>
              </w:rPr>
              <w:t>日历天</w:t>
            </w:r>
          </w:p>
        </w:tc>
        <w:tc>
          <w:tcPr>
            <w:tcW w:w="792" w:type="dxa"/>
            <w:vAlign w:val="center"/>
          </w:tcPr>
          <w:p w14:paraId="0262EB34">
            <w:pPr>
              <w:autoSpaceDE w:val="0"/>
              <w:autoSpaceDN w:val="0"/>
              <w:adjustRightInd w:val="0"/>
              <w:jc w:val="center"/>
              <w:rPr>
                <w:rFonts w:ascii="宋体" w:hAnsi="宋体"/>
                <w:snapToGrid w:val="0"/>
                <w:kern w:val="0"/>
                <w:szCs w:val="21"/>
                <w:highlight w:val="none"/>
              </w:rPr>
            </w:pPr>
          </w:p>
        </w:tc>
      </w:tr>
      <w:tr w14:paraId="0BC6C4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847B681">
            <w:pPr>
              <w:autoSpaceDE w:val="0"/>
              <w:autoSpaceDN w:val="0"/>
              <w:adjustRightInd w:val="0"/>
              <w:jc w:val="center"/>
              <w:rPr>
                <w:rFonts w:hint="eastAsia" w:ascii="宋体" w:hAnsi="宋体"/>
                <w:snapToGrid w:val="0"/>
                <w:kern w:val="0"/>
                <w:szCs w:val="21"/>
                <w:highlight w:val="none"/>
              </w:rPr>
            </w:pPr>
            <w:r>
              <w:rPr>
                <w:rFonts w:ascii="宋体" w:hAnsi="宋体"/>
                <w:snapToGrid w:val="0"/>
                <w:kern w:val="0"/>
                <w:sz w:val="21"/>
                <w:szCs w:val="21"/>
              </w:rPr>
              <w:t>3</w:t>
            </w:r>
          </w:p>
        </w:tc>
        <w:tc>
          <w:tcPr>
            <w:tcW w:w="2582" w:type="dxa"/>
            <w:vAlign w:val="center"/>
          </w:tcPr>
          <w:p w14:paraId="2DF0B0CC">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缺陷责任期</w:t>
            </w:r>
          </w:p>
        </w:tc>
        <w:tc>
          <w:tcPr>
            <w:tcW w:w="2388" w:type="dxa"/>
            <w:vAlign w:val="center"/>
          </w:tcPr>
          <w:p w14:paraId="2DE47E57">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1.1.4.4</w:t>
            </w:r>
          </w:p>
        </w:tc>
        <w:tc>
          <w:tcPr>
            <w:tcW w:w="2987" w:type="dxa"/>
            <w:vAlign w:val="center"/>
          </w:tcPr>
          <w:p w14:paraId="733F6033">
            <w:pPr>
              <w:autoSpaceDE w:val="0"/>
              <w:autoSpaceDN w:val="0"/>
              <w:adjustRightInd w:val="0"/>
              <w:jc w:val="center"/>
              <w:rPr>
                <w:rFonts w:hint="eastAsia" w:ascii="宋体" w:hAnsi="宋体"/>
                <w:snapToGrid w:val="0"/>
                <w:kern w:val="0"/>
                <w:szCs w:val="21"/>
                <w:highlight w:val="none"/>
                <w:lang w:val="en-US" w:eastAsia="zh-CN"/>
              </w:rPr>
            </w:pPr>
          </w:p>
        </w:tc>
        <w:tc>
          <w:tcPr>
            <w:tcW w:w="792" w:type="dxa"/>
            <w:vAlign w:val="center"/>
          </w:tcPr>
          <w:p w14:paraId="3EF4A772">
            <w:pPr>
              <w:autoSpaceDE w:val="0"/>
              <w:autoSpaceDN w:val="0"/>
              <w:adjustRightInd w:val="0"/>
              <w:jc w:val="center"/>
              <w:rPr>
                <w:rFonts w:ascii="宋体" w:hAnsi="宋体"/>
                <w:snapToGrid w:val="0"/>
                <w:kern w:val="0"/>
                <w:szCs w:val="21"/>
                <w:highlight w:val="none"/>
              </w:rPr>
            </w:pPr>
          </w:p>
        </w:tc>
      </w:tr>
      <w:tr w14:paraId="770D29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8FB67AD">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2582" w:type="dxa"/>
            <w:vAlign w:val="center"/>
          </w:tcPr>
          <w:p w14:paraId="2D482104">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14:paraId="4A2BAEF0">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3.5</w:t>
            </w:r>
          </w:p>
        </w:tc>
        <w:tc>
          <w:tcPr>
            <w:tcW w:w="2987" w:type="dxa"/>
            <w:vAlign w:val="center"/>
          </w:tcPr>
          <w:p w14:paraId="3F3A7707">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不允许</w:t>
            </w:r>
          </w:p>
        </w:tc>
        <w:tc>
          <w:tcPr>
            <w:tcW w:w="792" w:type="dxa"/>
            <w:vAlign w:val="center"/>
          </w:tcPr>
          <w:p w14:paraId="2FF06293">
            <w:pPr>
              <w:autoSpaceDE w:val="0"/>
              <w:autoSpaceDN w:val="0"/>
              <w:adjustRightInd w:val="0"/>
              <w:jc w:val="center"/>
              <w:rPr>
                <w:rFonts w:ascii="宋体" w:hAnsi="宋体"/>
                <w:snapToGrid w:val="0"/>
                <w:kern w:val="0"/>
                <w:szCs w:val="21"/>
                <w:highlight w:val="none"/>
              </w:rPr>
            </w:pPr>
          </w:p>
        </w:tc>
      </w:tr>
      <w:tr w14:paraId="4F9C39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FFE1C06">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2582" w:type="dxa"/>
            <w:vAlign w:val="center"/>
          </w:tcPr>
          <w:p w14:paraId="1C641E72">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工程质量</w:t>
            </w:r>
          </w:p>
        </w:tc>
        <w:tc>
          <w:tcPr>
            <w:tcW w:w="2388" w:type="dxa"/>
            <w:vAlign w:val="center"/>
          </w:tcPr>
          <w:p w14:paraId="33F83B58">
            <w:pPr>
              <w:tabs>
                <w:tab w:val="left" w:pos="2051"/>
              </w:tabs>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5.1</w:t>
            </w:r>
          </w:p>
        </w:tc>
        <w:tc>
          <w:tcPr>
            <w:tcW w:w="2987" w:type="dxa"/>
            <w:vAlign w:val="center"/>
          </w:tcPr>
          <w:p w14:paraId="7EBAB671">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合格</w:t>
            </w:r>
          </w:p>
        </w:tc>
        <w:tc>
          <w:tcPr>
            <w:tcW w:w="792" w:type="dxa"/>
            <w:vAlign w:val="center"/>
          </w:tcPr>
          <w:p w14:paraId="544F4EE1">
            <w:pPr>
              <w:autoSpaceDE w:val="0"/>
              <w:autoSpaceDN w:val="0"/>
              <w:adjustRightInd w:val="0"/>
              <w:jc w:val="center"/>
              <w:rPr>
                <w:rFonts w:ascii="宋体" w:hAnsi="宋体"/>
                <w:snapToGrid w:val="0"/>
                <w:kern w:val="0"/>
                <w:szCs w:val="21"/>
                <w:highlight w:val="none"/>
              </w:rPr>
            </w:pPr>
          </w:p>
        </w:tc>
      </w:tr>
      <w:tr w14:paraId="4CF8F2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224CF80">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6BB4CE46">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16EF607D">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6D6246A8">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462D3E25">
            <w:pPr>
              <w:autoSpaceDE w:val="0"/>
              <w:autoSpaceDN w:val="0"/>
              <w:adjustRightInd w:val="0"/>
              <w:jc w:val="center"/>
              <w:rPr>
                <w:rFonts w:ascii="宋体" w:hAnsi="宋体"/>
                <w:snapToGrid w:val="0"/>
                <w:kern w:val="0"/>
                <w:szCs w:val="21"/>
                <w:highlight w:val="none"/>
              </w:rPr>
            </w:pPr>
          </w:p>
        </w:tc>
      </w:tr>
      <w:tr w14:paraId="6CBC1D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CD06851">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389573E8">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199A303A">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3B1BEBAA">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1D9CD8F3">
            <w:pPr>
              <w:autoSpaceDE w:val="0"/>
              <w:autoSpaceDN w:val="0"/>
              <w:adjustRightInd w:val="0"/>
              <w:jc w:val="center"/>
              <w:rPr>
                <w:rFonts w:ascii="宋体" w:hAnsi="宋体"/>
                <w:snapToGrid w:val="0"/>
                <w:kern w:val="0"/>
                <w:szCs w:val="21"/>
                <w:highlight w:val="none"/>
              </w:rPr>
            </w:pPr>
          </w:p>
        </w:tc>
      </w:tr>
    </w:tbl>
    <w:p w14:paraId="2F20D37F">
      <w:pPr>
        <w:spacing w:line="360" w:lineRule="auto"/>
        <w:rPr>
          <w:rFonts w:ascii="宋体" w:hAnsi="宋体"/>
          <w:snapToGrid w:val="0"/>
          <w:w w:val="99"/>
          <w:highlight w:val="none"/>
        </w:rPr>
      </w:pPr>
    </w:p>
    <w:p w14:paraId="71D17B34">
      <w:pPr>
        <w:spacing w:line="360" w:lineRule="auto"/>
        <w:rPr>
          <w:rFonts w:ascii="宋体" w:hAnsi="宋体"/>
          <w:snapToGrid w:val="0"/>
          <w:highlight w:val="none"/>
        </w:rPr>
      </w:pPr>
    </w:p>
    <w:p w14:paraId="7A1D7F71">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1231F843">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14:paraId="66A0862B">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14:paraId="6F71AC21">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14:paraId="47501949">
      <w:pPr>
        <w:pStyle w:val="4"/>
        <w:jc w:val="center"/>
        <w:rPr>
          <w:rFonts w:ascii="宋体" w:hAnsi="宋体"/>
          <w:b w:val="0"/>
          <w:snapToGrid w:val="0"/>
          <w:kern w:val="0"/>
          <w:sz w:val="30"/>
          <w:szCs w:val="30"/>
          <w:highlight w:val="none"/>
        </w:rPr>
      </w:pPr>
      <w:r>
        <w:rPr>
          <w:rFonts w:ascii="宋体" w:hAnsi="宋体"/>
          <w:snapToGrid w:val="0"/>
          <w:highlight w:val="none"/>
        </w:rPr>
        <w:br w:type="page"/>
      </w:r>
      <w:bookmarkStart w:id="435" w:name="_Toc430530532"/>
      <w:bookmarkStart w:id="436" w:name="_Toc8650"/>
      <w:bookmarkStart w:id="437" w:name="_Toc287620816"/>
      <w:bookmarkStart w:id="438" w:name="_Toc277082645"/>
      <w:bookmarkStart w:id="439" w:name="_Toc287607869"/>
      <w:bookmarkStart w:id="440" w:name="_Toc20860"/>
      <w:bookmarkStart w:id="441" w:name="_Toc224103497"/>
      <w:r>
        <w:rPr>
          <w:sz w:val="30"/>
          <w:szCs w:val="30"/>
          <w:highlight w:val="none"/>
        </w:rPr>
        <w:t>（三）</w:t>
      </w:r>
      <w:r>
        <w:rPr>
          <w:rFonts w:hint="eastAsia"/>
          <w:sz w:val="30"/>
          <w:szCs w:val="30"/>
          <w:highlight w:val="none"/>
        </w:rPr>
        <w:t>法定代表人身份证明或附有法定代表人身份证明的授权委托书</w:t>
      </w:r>
      <w:bookmarkEnd w:id="435"/>
      <w:bookmarkEnd w:id="436"/>
      <w:bookmarkEnd w:id="437"/>
      <w:bookmarkEnd w:id="438"/>
      <w:bookmarkEnd w:id="439"/>
      <w:bookmarkEnd w:id="440"/>
      <w:bookmarkEnd w:id="441"/>
    </w:p>
    <w:p w14:paraId="2C352004">
      <w:pPr>
        <w:spacing w:line="480" w:lineRule="auto"/>
        <w:jc w:val="center"/>
        <w:rPr>
          <w:rFonts w:ascii="宋体" w:hAnsi="宋体"/>
          <w:sz w:val="28"/>
          <w:highlight w:val="none"/>
        </w:rPr>
      </w:pPr>
      <w:r>
        <w:rPr>
          <w:rFonts w:hint="eastAsia" w:ascii="宋体" w:hAnsi="宋体"/>
          <w:sz w:val="28"/>
          <w:highlight w:val="none"/>
        </w:rPr>
        <w:t>法定代表人身份证明</w:t>
      </w:r>
    </w:p>
    <w:p w14:paraId="420B71D4">
      <w:pPr>
        <w:spacing w:line="480" w:lineRule="auto"/>
        <w:jc w:val="center"/>
        <w:rPr>
          <w:rFonts w:ascii="宋体" w:hAnsi="宋体"/>
          <w:highlight w:val="none"/>
        </w:rPr>
      </w:pPr>
    </w:p>
    <w:p w14:paraId="6DC505B3">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0491445C">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6FCEF1A4">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1FD23DE">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6E6308A4">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370EA3D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57930324">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14:paraId="39A4987D">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10D05BCB">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022C0DDB">
      <w:pPr>
        <w:pStyle w:val="17"/>
        <w:spacing w:after="0" w:line="360" w:lineRule="auto"/>
        <w:rPr>
          <w:rFonts w:ascii="宋体" w:hAnsi="宋体"/>
          <w:szCs w:val="21"/>
          <w:highlight w:val="none"/>
        </w:rPr>
      </w:pPr>
    </w:p>
    <w:p w14:paraId="1934CF91">
      <w:pPr>
        <w:pStyle w:val="17"/>
        <w:spacing w:after="0" w:line="360" w:lineRule="auto"/>
        <w:rPr>
          <w:rFonts w:ascii="宋体" w:hAnsi="宋体"/>
          <w:szCs w:val="21"/>
          <w:highlight w:val="none"/>
        </w:rPr>
      </w:pPr>
    </w:p>
    <w:p w14:paraId="1E3DC1B3">
      <w:pPr>
        <w:pStyle w:val="17"/>
        <w:spacing w:after="0" w:line="360" w:lineRule="auto"/>
        <w:rPr>
          <w:rFonts w:ascii="宋体" w:hAnsi="宋体"/>
          <w:szCs w:val="21"/>
          <w:highlight w:val="none"/>
        </w:rPr>
      </w:pPr>
    </w:p>
    <w:p w14:paraId="77DAF6AD">
      <w:pPr>
        <w:pStyle w:val="17"/>
        <w:spacing w:after="0" w:line="360" w:lineRule="auto"/>
        <w:rPr>
          <w:rFonts w:ascii="宋体" w:hAnsi="宋体"/>
          <w:szCs w:val="21"/>
          <w:highlight w:val="none"/>
        </w:rPr>
      </w:pPr>
    </w:p>
    <w:p w14:paraId="71EB9447">
      <w:pPr>
        <w:pStyle w:val="17"/>
        <w:spacing w:after="0" w:line="360" w:lineRule="auto"/>
        <w:rPr>
          <w:rFonts w:ascii="宋体" w:hAnsi="宋体"/>
          <w:szCs w:val="21"/>
          <w:highlight w:val="none"/>
        </w:rPr>
      </w:pPr>
    </w:p>
    <w:p w14:paraId="3D5535D8">
      <w:pPr>
        <w:pStyle w:val="17"/>
        <w:spacing w:after="0" w:line="360" w:lineRule="auto"/>
        <w:rPr>
          <w:rFonts w:ascii="宋体" w:hAnsi="宋体"/>
          <w:szCs w:val="21"/>
          <w:highlight w:val="none"/>
        </w:rPr>
      </w:pPr>
    </w:p>
    <w:p w14:paraId="213CCCB1">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2CBEB451">
      <w:pPr>
        <w:autoSpaceDE w:val="0"/>
        <w:autoSpaceDN w:val="0"/>
        <w:adjustRightInd w:val="0"/>
        <w:snapToGrid w:val="0"/>
        <w:spacing w:line="480" w:lineRule="auto"/>
        <w:jc w:val="left"/>
        <w:rPr>
          <w:rFonts w:ascii="宋体" w:hAnsi="宋体"/>
          <w:kern w:val="0"/>
          <w:sz w:val="20"/>
          <w:szCs w:val="20"/>
          <w:highlight w:val="none"/>
        </w:rPr>
      </w:pPr>
    </w:p>
    <w:p w14:paraId="716ECCF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23FE36FA">
      <w:pPr>
        <w:autoSpaceDE w:val="0"/>
        <w:autoSpaceDN w:val="0"/>
        <w:adjustRightInd w:val="0"/>
        <w:snapToGrid w:val="0"/>
        <w:spacing w:line="360" w:lineRule="auto"/>
        <w:jc w:val="left"/>
        <w:rPr>
          <w:rFonts w:ascii="宋体" w:hAnsi="宋体"/>
          <w:kern w:val="0"/>
          <w:highlight w:val="none"/>
        </w:rPr>
      </w:pPr>
    </w:p>
    <w:p w14:paraId="228367D5">
      <w:pPr>
        <w:autoSpaceDE w:val="0"/>
        <w:autoSpaceDN w:val="0"/>
        <w:adjustRightInd w:val="0"/>
        <w:snapToGrid w:val="0"/>
        <w:spacing w:line="360" w:lineRule="auto"/>
        <w:jc w:val="left"/>
        <w:rPr>
          <w:rFonts w:ascii="宋体" w:hAnsi="宋体"/>
          <w:kern w:val="0"/>
          <w:highlight w:val="none"/>
        </w:rPr>
      </w:pPr>
    </w:p>
    <w:p w14:paraId="50BB186F">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061C5799">
      <w:pPr>
        <w:autoSpaceDE w:val="0"/>
        <w:autoSpaceDN w:val="0"/>
        <w:adjustRightInd w:val="0"/>
        <w:snapToGrid w:val="0"/>
        <w:spacing w:line="360" w:lineRule="auto"/>
        <w:jc w:val="left"/>
        <w:rPr>
          <w:rFonts w:ascii="宋体" w:hAnsi="宋体"/>
          <w:kern w:val="0"/>
          <w:highlight w:val="none"/>
        </w:rPr>
      </w:pPr>
    </w:p>
    <w:p w14:paraId="1A51E5CE">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623C00F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14:paraId="7F0CCE7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136868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581B8CF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58DB9C7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3943BA35">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058B269E">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DE6B4DA">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4A6A6136">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4F810832">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0224FFF3">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2F935D3A">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14:paraId="5E733B9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F22A51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954E63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7C513F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D02F89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52739B8">
      <w:pPr>
        <w:tabs>
          <w:tab w:val="left" w:pos="4005"/>
          <w:tab w:val="left" w:pos="4100"/>
          <w:tab w:val="left" w:pos="5040"/>
        </w:tabs>
        <w:autoSpaceDE w:val="0"/>
        <w:autoSpaceDN w:val="0"/>
        <w:adjustRightInd w:val="0"/>
        <w:snapToGrid w:val="0"/>
        <w:spacing w:line="360" w:lineRule="auto"/>
        <w:jc w:val="both"/>
        <w:rPr>
          <w:rFonts w:ascii="宋体" w:hAnsi="宋体"/>
          <w:w w:val="200"/>
          <w:kern w:val="0"/>
          <w:szCs w:val="21"/>
          <w:highlight w:val="none"/>
          <w:u w:val="single"/>
        </w:rPr>
      </w:pPr>
    </w:p>
    <w:p w14:paraId="6612B0B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14:paraId="252AC6A9">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6792CC56">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A4FCE6B">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14:paraId="6EFB4372">
      <w:pPr>
        <w:spacing w:line="360" w:lineRule="auto"/>
        <w:ind w:firstLine="420" w:firstLineChars="200"/>
        <w:jc w:val="left"/>
        <w:rPr>
          <w:rFonts w:ascii="宋体" w:hAnsi="宋体"/>
          <w:highlight w:val="none"/>
        </w:rPr>
        <w:sectPr>
          <w:footerReference r:id="rId9" w:type="default"/>
          <w:pgSz w:w="11906" w:h="16838"/>
          <w:pgMar w:top="1440" w:right="1080" w:bottom="1440" w:left="1080" w:header="851" w:footer="992" w:gutter="0"/>
          <w:cols w:space="720" w:num="1"/>
          <w:docGrid w:type="lines" w:linePitch="312" w:charSpace="0"/>
        </w:sect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60B9F171">
      <w:pPr>
        <w:pStyle w:val="4"/>
        <w:jc w:val="center"/>
        <w:rPr>
          <w:color w:val="auto"/>
          <w:highlight w:val="none"/>
        </w:rPr>
      </w:pPr>
      <w:r>
        <w:rPr>
          <w:color w:val="auto"/>
          <w:highlight w:val="none"/>
        </w:rPr>
        <w:t>（四）</w:t>
      </w:r>
      <w:r>
        <w:rPr>
          <w:rFonts w:hint="eastAsia"/>
          <w:color w:val="auto"/>
          <w:highlight w:val="none"/>
        </w:rPr>
        <w:t>低价风险担保提交承诺书</w:t>
      </w:r>
    </w:p>
    <w:p w14:paraId="657B349B">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1A780AE2">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65701E83">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8AA6C69">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6A3C23A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竞选人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1C69572D">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5FB6C4AA">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50A1253F">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4CEC73BD">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35E0876">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9F56ADC">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37B3159">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56CDD26">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77987CD">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8A82BBD">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14:paraId="4D0A47DA">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1A45E14">
      <w:pPr>
        <w:pStyle w:val="17"/>
        <w:sectPr>
          <w:pgSz w:w="11906" w:h="16838"/>
          <w:pgMar w:top="1304" w:right="1134" w:bottom="1304" w:left="1304" w:header="851" w:footer="992" w:gutter="0"/>
          <w:cols w:space="720" w:num="1"/>
          <w:docGrid w:type="lines" w:linePitch="312" w:charSpace="0"/>
        </w:sectPr>
      </w:pPr>
    </w:p>
    <w:p w14:paraId="27C20FE2"/>
    <w:p w14:paraId="35FE6976">
      <w:pPr>
        <w:spacing w:line="360" w:lineRule="auto"/>
        <w:jc w:val="center"/>
        <w:outlineLvl w:val="1"/>
        <w:rPr>
          <w:rFonts w:ascii="宋体" w:hAnsi="宋体"/>
          <w:b w:val="0"/>
          <w:bCs w:val="0"/>
          <w:sz w:val="44"/>
          <w:szCs w:val="44"/>
          <w:highlight w:val="none"/>
        </w:rPr>
      </w:pPr>
      <w:bookmarkStart w:id="442" w:name="_Toc6601"/>
      <w:bookmarkStart w:id="443" w:name="_Toc23891"/>
      <w:bookmarkStart w:id="444" w:name="_Toc11887"/>
      <w:bookmarkStart w:id="445" w:name="_Toc430530545"/>
      <w:bookmarkStart w:id="446" w:name="_Toc224103510"/>
      <w:bookmarkStart w:id="447" w:name="_Toc277082656"/>
      <w:bookmarkStart w:id="448" w:name="_Toc287620829"/>
      <w:bookmarkStart w:id="449" w:name="_Toc287607882"/>
      <w:bookmarkStart w:id="450" w:name="_Toc19372"/>
      <w:bookmarkStart w:id="451" w:name="_Toc27141"/>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、经济部分</w:t>
      </w:r>
      <w:bookmarkEnd w:id="442"/>
      <w:bookmarkEnd w:id="443"/>
      <w:bookmarkEnd w:id="444"/>
    </w:p>
    <w:p w14:paraId="1ABAAD45">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ACAC4FF">
      <w:pPr>
        <w:tabs>
          <w:tab w:val="left" w:pos="2580"/>
          <w:tab w:val="left" w:pos="5940"/>
        </w:tabs>
        <w:autoSpaceDE w:val="0"/>
        <w:autoSpaceDN w:val="0"/>
        <w:adjustRightInd w:val="0"/>
        <w:snapToGrid w:val="0"/>
        <w:spacing w:line="360" w:lineRule="auto"/>
        <w:ind w:firstLine="2240" w:firstLineChars="700"/>
        <w:jc w:val="left"/>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14:paraId="1A2B7F9E">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8F1642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87ED45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02BA26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5F17979">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08797860">
      <w:pPr>
        <w:autoSpaceDE w:val="0"/>
        <w:autoSpaceDN w:val="0"/>
        <w:adjustRightInd w:val="0"/>
        <w:snapToGrid w:val="0"/>
        <w:spacing w:line="360" w:lineRule="auto"/>
        <w:jc w:val="left"/>
        <w:rPr>
          <w:rFonts w:ascii="宋体" w:hAnsi="宋体"/>
          <w:kern w:val="0"/>
          <w:sz w:val="16"/>
          <w:szCs w:val="16"/>
          <w:highlight w:val="none"/>
        </w:rPr>
      </w:pPr>
    </w:p>
    <w:p w14:paraId="1A175595">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经济部分</w:t>
      </w:r>
    </w:p>
    <w:p w14:paraId="458F92AA">
      <w:pPr>
        <w:autoSpaceDE w:val="0"/>
        <w:autoSpaceDN w:val="0"/>
        <w:adjustRightInd w:val="0"/>
        <w:snapToGrid w:val="0"/>
        <w:spacing w:line="360" w:lineRule="auto"/>
        <w:jc w:val="left"/>
        <w:rPr>
          <w:rFonts w:ascii="宋体" w:hAnsi="宋体"/>
          <w:b/>
          <w:kern w:val="0"/>
          <w:sz w:val="20"/>
          <w:szCs w:val="20"/>
          <w:highlight w:val="none"/>
        </w:rPr>
      </w:pPr>
    </w:p>
    <w:p w14:paraId="461F7FA3">
      <w:pPr>
        <w:autoSpaceDE w:val="0"/>
        <w:autoSpaceDN w:val="0"/>
        <w:adjustRightInd w:val="0"/>
        <w:snapToGrid w:val="0"/>
        <w:spacing w:line="360" w:lineRule="auto"/>
        <w:jc w:val="left"/>
        <w:rPr>
          <w:rFonts w:ascii="宋体" w:hAnsi="宋体"/>
          <w:b/>
          <w:kern w:val="0"/>
          <w:sz w:val="20"/>
          <w:szCs w:val="20"/>
          <w:highlight w:val="none"/>
        </w:rPr>
      </w:pPr>
    </w:p>
    <w:p w14:paraId="12792D8C">
      <w:pPr>
        <w:autoSpaceDE w:val="0"/>
        <w:autoSpaceDN w:val="0"/>
        <w:adjustRightInd w:val="0"/>
        <w:snapToGrid w:val="0"/>
        <w:spacing w:line="360" w:lineRule="auto"/>
        <w:jc w:val="left"/>
        <w:rPr>
          <w:rFonts w:ascii="宋体" w:hAnsi="宋体"/>
          <w:b/>
          <w:kern w:val="0"/>
          <w:sz w:val="20"/>
          <w:szCs w:val="20"/>
          <w:highlight w:val="none"/>
        </w:rPr>
      </w:pPr>
    </w:p>
    <w:p w14:paraId="1AEA8AD8">
      <w:pPr>
        <w:autoSpaceDE w:val="0"/>
        <w:autoSpaceDN w:val="0"/>
        <w:adjustRightInd w:val="0"/>
        <w:snapToGrid w:val="0"/>
        <w:spacing w:line="360" w:lineRule="auto"/>
        <w:jc w:val="left"/>
        <w:rPr>
          <w:rFonts w:ascii="宋体" w:hAnsi="宋体"/>
          <w:b/>
          <w:kern w:val="0"/>
          <w:sz w:val="20"/>
          <w:szCs w:val="20"/>
          <w:highlight w:val="none"/>
        </w:rPr>
      </w:pPr>
    </w:p>
    <w:p w14:paraId="46238565">
      <w:pPr>
        <w:autoSpaceDE w:val="0"/>
        <w:autoSpaceDN w:val="0"/>
        <w:adjustRightInd w:val="0"/>
        <w:snapToGrid w:val="0"/>
        <w:spacing w:line="360" w:lineRule="auto"/>
        <w:jc w:val="left"/>
        <w:rPr>
          <w:rFonts w:ascii="宋体" w:hAnsi="宋体"/>
          <w:b/>
          <w:kern w:val="0"/>
          <w:sz w:val="20"/>
          <w:szCs w:val="20"/>
          <w:highlight w:val="none"/>
        </w:rPr>
      </w:pPr>
    </w:p>
    <w:p w14:paraId="14B92841">
      <w:pPr>
        <w:autoSpaceDE w:val="0"/>
        <w:autoSpaceDN w:val="0"/>
        <w:adjustRightInd w:val="0"/>
        <w:snapToGrid w:val="0"/>
        <w:spacing w:line="360" w:lineRule="auto"/>
        <w:jc w:val="left"/>
        <w:rPr>
          <w:rFonts w:ascii="宋体" w:hAnsi="宋体"/>
          <w:b/>
          <w:kern w:val="0"/>
          <w:sz w:val="20"/>
          <w:szCs w:val="20"/>
          <w:highlight w:val="none"/>
        </w:rPr>
      </w:pPr>
    </w:p>
    <w:p w14:paraId="2B004358">
      <w:pPr>
        <w:autoSpaceDE w:val="0"/>
        <w:autoSpaceDN w:val="0"/>
        <w:adjustRightInd w:val="0"/>
        <w:snapToGrid w:val="0"/>
        <w:spacing w:line="360" w:lineRule="auto"/>
        <w:jc w:val="left"/>
        <w:rPr>
          <w:rFonts w:ascii="宋体" w:hAnsi="宋体"/>
          <w:b/>
          <w:kern w:val="0"/>
          <w:sz w:val="20"/>
          <w:szCs w:val="20"/>
          <w:highlight w:val="none"/>
        </w:rPr>
      </w:pPr>
    </w:p>
    <w:p w14:paraId="4C992FEF">
      <w:pPr>
        <w:autoSpaceDE w:val="0"/>
        <w:autoSpaceDN w:val="0"/>
        <w:adjustRightInd w:val="0"/>
        <w:snapToGrid w:val="0"/>
        <w:spacing w:line="360" w:lineRule="auto"/>
        <w:jc w:val="left"/>
        <w:rPr>
          <w:rFonts w:ascii="宋体" w:hAnsi="宋体"/>
          <w:b/>
          <w:kern w:val="0"/>
          <w:sz w:val="20"/>
          <w:szCs w:val="20"/>
          <w:highlight w:val="none"/>
        </w:rPr>
      </w:pPr>
    </w:p>
    <w:p w14:paraId="0D53FB07">
      <w:pPr>
        <w:autoSpaceDE w:val="0"/>
        <w:autoSpaceDN w:val="0"/>
        <w:adjustRightInd w:val="0"/>
        <w:snapToGrid w:val="0"/>
        <w:spacing w:line="360" w:lineRule="auto"/>
        <w:jc w:val="left"/>
        <w:rPr>
          <w:rFonts w:ascii="宋体" w:hAnsi="宋体"/>
          <w:b/>
          <w:kern w:val="0"/>
          <w:sz w:val="20"/>
          <w:szCs w:val="20"/>
          <w:highlight w:val="none"/>
        </w:rPr>
      </w:pPr>
    </w:p>
    <w:p w14:paraId="5F30F278">
      <w:pPr>
        <w:autoSpaceDE w:val="0"/>
        <w:autoSpaceDN w:val="0"/>
        <w:adjustRightInd w:val="0"/>
        <w:snapToGrid w:val="0"/>
        <w:spacing w:line="360" w:lineRule="auto"/>
        <w:jc w:val="left"/>
        <w:rPr>
          <w:rFonts w:ascii="宋体" w:hAnsi="宋体"/>
          <w:b/>
          <w:kern w:val="0"/>
          <w:sz w:val="20"/>
          <w:szCs w:val="20"/>
          <w:highlight w:val="none"/>
        </w:rPr>
      </w:pPr>
    </w:p>
    <w:p w14:paraId="1706E1E3">
      <w:pPr>
        <w:autoSpaceDE w:val="0"/>
        <w:autoSpaceDN w:val="0"/>
        <w:adjustRightInd w:val="0"/>
        <w:snapToGrid w:val="0"/>
        <w:spacing w:line="360" w:lineRule="auto"/>
        <w:jc w:val="left"/>
        <w:rPr>
          <w:rFonts w:ascii="宋体" w:hAnsi="宋体"/>
          <w:b/>
          <w:kern w:val="0"/>
          <w:sz w:val="20"/>
          <w:szCs w:val="20"/>
          <w:highlight w:val="none"/>
        </w:rPr>
      </w:pPr>
    </w:p>
    <w:p w14:paraId="66068E3D">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5DD7A88C">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1DA97E97">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日</w:t>
      </w:r>
    </w:p>
    <w:p w14:paraId="201D8E27">
      <w:pPr>
        <w:autoSpaceDE w:val="0"/>
        <w:autoSpaceDN w:val="0"/>
        <w:adjustRightInd w:val="0"/>
        <w:snapToGrid w:val="0"/>
        <w:spacing w:line="360" w:lineRule="auto"/>
        <w:jc w:val="left"/>
        <w:rPr>
          <w:rFonts w:ascii="宋体" w:hAnsi="宋体"/>
          <w:kern w:val="0"/>
          <w:sz w:val="24"/>
          <w:szCs w:val="21"/>
          <w:highlight w:val="none"/>
        </w:rPr>
      </w:pPr>
      <w:r>
        <w:rPr>
          <w:rFonts w:ascii="宋体" w:hAnsi="宋体"/>
          <w:kern w:val="0"/>
          <w:sz w:val="24"/>
          <w:szCs w:val="21"/>
          <w:highlight w:val="none"/>
        </w:rPr>
        <w:br w:type="page"/>
      </w:r>
    </w:p>
    <w:p w14:paraId="780CEE5D">
      <w:pPr>
        <w:autoSpaceDE w:val="0"/>
        <w:autoSpaceDN w:val="0"/>
        <w:adjustRightInd w:val="0"/>
        <w:snapToGrid w:val="0"/>
        <w:spacing w:line="360" w:lineRule="auto"/>
        <w:jc w:val="center"/>
        <w:rPr>
          <w:rFonts w:ascii="宋体" w:hAnsi="宋体"/>
          <w:kern w:val="0"/>
          <w:szCs w:val="21"/>
          <w:highlight w:val="none"/>
        </w:rPr>
      </w:pPr>
      <w:r>
        <w:rPr>
          <w:rFonts w:hint="eastAsia" w:ascii="宋体" w:hAnsi="宋体"/>
          <w:kern w:val="0"/>
          <w:sz w:val="36"/>
          <w:szCs w:val="36"/>
          <w:highlight w:val="none"/>
        </w:rPr>
        <w:t>目  录</w:t>
      </w:r>
    </w:p>
    <w:p w14:paraId="403CF388">
      <w:pPr>
        <w:autoSpaceDE w:val="0"/>
        <w:autoSpaceDN w:val="0"/>
        <w:adjustRightInd w:val="0"/>
        <w:snapToGrid w:val="0"/>
        <w:spacing w:line="360" w:lineRule="auto"/>
        <w:jc w:val="left"/>
        <w:rPr>
          <w:rFonts w:ascii="宋体" w:hAnsi="宋体"/>
          <w:kern w:val="0"/>
          <w:szCs w:val="21"/>
          <w:highlight w:val="none"/>
        </w:rPr>
      </w:pPr>
    </w:p>
    <w:p w14:paraId="3BB9DE19">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提示：</w:t>
      </w:r>
      <w:r>
        <w:rPr>
          <w:rFonts w:ascii="宋体" w:hAnsi="宋体"/>
          <w:i/>
          <w:iCs/>
          <w:kern w:val="0"/>
          <w:szCs w:val="21"/>
          <w:highlight w:val="none"/>
        </w:rPr>
        <w:t>目录由</w:t>
      </w:r>
      <w:r>
        <w:rPr>
          <w:rFonts w:hint="eastAsia" w:ascii="宋体" w:hAnsi="宋体"/>
          <w:i/>
          <w:iCs/>
          <w:kern w:val="0"/>
          <w:szCs w:val="21"/>
          <w:highlight w:val="none"/>
          <w:lang w:eastAsia="zh-CN"/>
        </w:rPr>
        <w:t>竞选人</w:t>
      </w:r>
      <w:r>
        <w:rPr>
          <w:rFonts w:ascii="宋体" w:hAnsi="宋体"/>
          <w:i/>
          <w:iCs/>
          <w:kern w:val="0"/>
          <w:szCs w:val="21"/>
          <w:highlight w:val="none"/>
        </w:rPr>
        <w:t>自行编制]</w:t>
      </w:r>
    </w:p>
    <w:p w14:paraId="2ED5CA25">
      <w:pPr>
        <w:autoSpaceDE w:val="0"/>
        <w:autoSpaceDN w:val="0"/>
        <w:adjustRightInd w:val="0"/>
        <w:snapToGrid w:val="0"/>
        <w:spacing w:line="360" w:lineRule="auto"/>
        <w:jc w:val="left"/>
        <w:rPr>
          <w:rFonts w:ascii="宋体" w:hAnsi="宋体"/>
          <w:w w:val="99"/>
          <w:kern w:val="0"/>
          <w:sz w:val="28"/>
          <w:szCs w:val="28"/>
          <w:highlight w:val="none"/>
        </w:rPr>
      </w:pPr>
    </w:p>
    <w:p w14:paraId="6789910D">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bookmarkStart w:id="452" w:name="_Toc287620820"/>
      <w:bookmarkStart w:id="453" w:name="_Toc430530535"/>
      <w:bookmarkStart w:id="454" w:name="_Toc277082648"/>
      <w:bookmarkStart w:id="455" w:name="_Toc287607873"/>
      <w:bookmarkStart w:id="456" w:name="_Toc224103501"/>
    </w:p>
    <w:p w14:paraId="670666B1">
      <w:pPr>
        <w:pStyle w:val="4"/>
        <w:jc w:val="center"/>
        <w:rPr>
          <w:highlight w:val="none"/>
        </w:rPr>
      </w:pPr>
      <w:bookmarkStart w:id="457" w:name="_Toc28475"/>
      <w:bookmarkStart w:id="458" w:name="_Toc28369"/>
      <w:r>
        <w:rPr>
          <w:rFonts w:hint="eastAsia"/>
          <w:highlight w:val="none"/>
        </w:rPr>
        <w:t>（一）已标价工程量清单</w:t>
      </w:r>
      <w:bookmarkEnd w:id="452"/>
      <w:bookmarkEnd w:id="453"/>
      <w:bookmarkEnd w:id="454"/>
      <w:bookmarkEnd w:id="455"/>
      <w:bookmarkEnd w:id="456"/>
      <w:bookmarkEnd w:id="457"/>
      <w:bookmarkEnd w:id="458"/>
    </w:p>
    <w:p w14:paraId="2B81CDC1">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B61984E">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p>
    <w:p w14:paraId="15D6009D">
      <w:pPr>
        <w:pStyle w:val="3"/>
        <w:spacing w:line="360" w:lineRule="auto"/>
        <w:jc w:val="center"/>
        <w:rPr>
          <w:rFonts w:ascii="宋体" w:hAnsi="宋体"/>
          <w:b w:val="0"/>
          <w:bCs w:val="0"/>
          <w:sz w:val="44"/>
          <w:szCs w:val="44"/>
          <w:highlight w:val="none"/>
        </w:rPr>
      </w:pPr>
      <w:bookmarkStart w:id="459" w:name="_Toc21820"/>
      <w:r>
        <w:rPr>
          <w:rFonts w:hint="eastAsia" w:ascii="宋体" w:hAnsi="宋体"/>
          <w:b w:val="0"/>
          <w:bCs w:val="0"/>
          <w:sz w:val="44"/>
          <w:szCs w:val="44"/>
          <w:highlight w:val="none"/>
          <w:lang w:val="en-US" w:eastAsia="zh-CN"/>
        </w:rPr>
        <w:t>三</w:t>
      </w:r>
      <w:r>
        <w:rPr>
          <w:rFonts w:hint="eastAsia" w:ascii="宋体" w:hAnsi="宋体"/>
          <w:b w:val="0"/>
          <w:bCs w:val="0"/>
          <w:sz w:val="44"/>
          <w:szCs w:val="44"/>
          <w:highlight w:val="none"/>
        </w:rPr>
        <w:t>、</w:t>
      </w:r>
      <w:bookmarkEnd w:id="445"/>
      <w:bookmarkEnd w:id="446"/>
      <w:bookmarkEnd w:id="447"/>
      <w:bookmarkEnd w:id="448"/>
      <w:bookmarkEnd w:id="449"/>
      <w:r>
        <w:rPr>
          <w:rFonts w:hint="eastAsia" w:ascii="宋体" w:hAnsi="宋体"/>
          <w:b w:val="0"/>
          <w:bCs w:val="0"/>
          <w:sz w:val="44"/>
          <w:szCs w:val="44"/>
          <w:highlight w:val="none"/>
        </w:rPr>
        <w:t>资格审查部分</w:t>
      </w:r>
      <w:bookmarkEnd w:id="450"/>
      <w:bookmarkEnd w:id="451"/>
      <w:bookmarkEnd w:id="459"/>
    </w:p>
    <w:p w14:paraId="3B1C64FE">
      <w:pPr>
        <w:spacing w:line="360" w:lineRule="auto"/>
        <w:rPr>
          <w:rFonts w:ascii="宋体" w:hAnsi="宋体"/>
          <w:sz w:val="32"/>
          <w:szCs w:val="32"/>
          <w:highlight w:val="none"/>
        </w:rPr>
      </w:pPr>
    </w:p>
    <w:p w14:paraId="5A58FB30">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14:paraId="6BD138D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36F8693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02F0B61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27AC985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69137203">
      <w:pPr>
        <w:autoSpaceDE w:val="0"/>
        <w:autoSpaceDN w:val="0"/>
        <w:adjustRightInd w:val="0"/>
        <w:snapToGrid w:val="0"/>
        <w:spacing w:line="360" w:lineRule="auto"/>
        <w:jc w:val="left"/>
        <w:rPr>
          <w:rFonts w:ascii="宋体" w:hAnsi="宋体"/>
          <w:kern w:val="0"/>
          <w:sz w:val="16"/>
          <w:szCs w:val="16"/>
          <w:highlight w:val="none"/>
        </w:rPr>
      </w:pPr>
    </w:p>
    <w:p w14:paraId="5B4CC01D">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14:paraId="41F48EE6">
      <w:pPr>
        <w:autoSpaceDE w:val="0"/>
        <w:autoSpaceDN w:val="0"/>
        <w:adjustRightInd w:val="0"/>
        <w:snapToGrid w:val="0"/>
        <w:spacing w:line="360" w:lineRule="auto"/>
        <w:jc w:val="left"/>
        <w:rPr>
          <w:rFonts w:ascii="宋体" w:hAnsi="宋体" w:cs="MingLiU"/>
          <w:kern w:val="0"/>
          <w:sz w:val="20"/>
          <w:szCs w:val="20"/>
          <w:highlight w:val="none"/>
        </w:rPr>
      </w:pPr>
    </w:p>
    <w:p w14:paraId="1D65E23B">
      <w:pPr>
        <w:adjustRightInd w:val="0"/>
        <w:snapToGrid w:val="0"/>
        <w:spacing w:line="264" w:lineRule="auto"/>
        <w:rPr>
          <w:rFonts w:ascii="宋体" w:hAnsi="宋体"/>
          <w:szCs w:val="21"/>
          <w:highlight w:val="none"/>
        </w:rPr>
      </w:pPr>
    </w:p>
    <w:p w14:paraId="3868E172">
      <w:pPr>
        <w:autoSpaceDE w:val="0"/>
        <w:autoSpaceDN w:val="0"/>
        <w:adjustRightInd w:val="0"/>
        <w:snapToGrid w:val="0"/>
        <w:spacing w:line="360" w:lineRule="auto"/>
        <w:jc w:val="left"/>
        <w:rPr>
          <w:rFonts w:ascii="宋体" w:hAnsi="宋体" w:cs="MingLiU"/>
          <w:kern w:val="0"/>
          <w:sz w:val="20"/>
          <w:szCs w:val="20"/>
          <w:highlight w:val="none"/>
        </w:rPr>
      </w:pPr>
    </w:p>
    <w:p w14:paraId="14B2FBBF">
      <w:pPr>
        <w:autoSpaceDE w:val="0"/>
        <w:autoSpaceDN w:val="0"/>
        <w:adjustRightInd w:val="0"/>
        <w:snapToGrid w:val="0"/>
        <w:spacing w:line="360" w:lineRule="auto"/>
        <w:jc w:val="left"/>
        <w:rPr>
          <w:rFonts w:ascii="宋体" w:hAnsi="宋体" w:cs="MingLiU"/>
          <w:kern w:val="0"/>
          <w:sz w:val="20"/>
          <w:szCs w:val="20"/>
          <w:highlight w:val="none"/>
        </w:rPr>
      </w:pPr>
    </w:p>
    <w:p w14:paraId="1A80D5F3">
      <w:pPr>
        <w:autoSpaceDE w:val="0"/>
        <w:autoSpaceDN w:val="0"/>
        <w:adjustRightInd w:val="0"/>
        <w:snapToGrid w:val="0"/>
        <w:spacing w:line="360" w:lineRule="auto"/>
        <w:jc w:val="left"/>
        <w:rPr>
          <w:rFonts w:ascii="宋体" w:hAnsi="宋体" w:cs="MingLiU"/>
          <w:kern w:val="0"/>
          <w:sz w:val="20"/>
          <w:szCs w:val="20"/>
          <w:highlight w:val="none"/>
        </w:rPr>
      </w:pPr>
    </w:p>
    <w:p w14:paraId="76BBAD0B">
      <w:pPr>
        <w:autoSpaceDE w:val="0"/>
        <w:autoSpaceDN w:val="0"/>
        <w:adjustRightInd w:val="0"/>
        <w:snapToGrid w:val="0"/>
        <w:spacing w:line="360" w:lineRule="auto"/>
        <w:jc w:val="left"/>
        <w:rPr>
          <w:rFonts w:ascii="宋体" w:hAnsi="宋体" w:cs="MingLiU"/>
          <w:kern w:val="0"/>
          <w:sz w:val="20"/>
          <w:szCs w:val="20"/>
          <w:highlight w:val="none"/>
        </w:rPr>
      </w:pPr>
    </w:p>
    <w:p w14:paraId="2B4C4179">
      <w:pPr>
        <w:autoSpaceDE w:val="0"/>
        <w:autoSpaceDN w:val="0"/>
        <w:adjustRightInd w:val="0"/>
        <w:snapToGrid w:val="0"/>
        <w:spacing w:line="360" w:lineRule="auto"/>
        <w:jc w:val="left"/>
        <w:rPr>
          <w:rFonts w:ascii="宋体" w:hAnsi="宋体" w:cs="MingLiU"/>
          <w:kern w:val="0"/>
          <w:sz w:val="20"/>
          <w:szCs w:val="20"/>
          <w:highlight w:val="none"/>
        </w:rPr>
      </w:pPr>
    </w:p>
    <w:p w14:paraId="6F43A5AD">
      <w:pPr>
        <w:autoSpaceDE w:val="0"/>
        <w:autoSpaceDN w:val="0"/>
        <w:adjustRightInd w:val="0"/>
        <w:snapToGrid w:val="0"/>
        <w:spacing w:line="360" w:lineRule="auto"/>
        <w:jc w:val="left"/>
        <w:rPr>
          <w:rFonts w:ascii="宋体" w:hAnsi="宋体" w:cs="MingLiU"/>
          <w:kern w:val="0"/>
          <w:sz w:val="20"/>
          <w:szCs w:val="20"/>
          <w:highlight w:val="none"/>
        </w:rPr>
      </w:pPr>
    </w:p>
    <w:p w14:paraId="07AF7C04">
      <w:pPr>
        <w:autoSpaceDE w:val="0"/>
        <w:autoSpaceDN w:val="0"/>
        <w:adjustRightInd w:val="0"/>
        <w:snapToGrid w:val="0"/>
        <w:spacing w:line="360" w:lineRule="auto"/>
        <w:jc w:val="left"/>
        <w:rPr>
          <w:rFonts w:ascii="宋体" w:hAnsi="宋体" w:cs="MingLiU"/>
          <w:kern w:val="0"/>
          <w:sz w:val="20"/>
          <w:szCs w:val="20"/>
          <w:highlight w:val="none"/>
        </w:rPr>
      </w:pPr>
    </w:p>
    <w:p w14:paraId="56470D2B">
      <w:pPr>
        <w:autoSpaceDE w:val="0"/>
        <w:autoSpaceDN w:val="0"/>
        <w:adjustRightInd w:val="0"/>
        <w:snapToGrid w:val="0"/>
        <w:spacing w:line="360" w:lineRule="auto"/>
        <w:jc w:val="left"/>
        <w:rPr>
          <w:rFonts w:ascii="宋体" w:hAnsi="宋体" w:cs="MingLiU"/>
          <w:kern w:val="0"/>
          <w:sz w:val="20"/>
          <w:szCs w:val="20"/>
          <w:highlight w:val="none"/>
        </w:rPr>
      </w:pPr>
    </w:p>
    <w:p w14:paraId="2BD3579D">
      <w:pPr>
        <w:autoSpaceDE w:val="0"/>
        <w:autoSpaceDN w:val="0"/>
        <w:adjustRightInd w:val="0"/>
        <w:snapToGrid w:val="0"/>
        <w:spacing w:line="360" w:lineRule="auto"/>
        <w:jc w:val="left"/>
        <w:rPr>
          <w:rFonts w:ascii="宋体" w:hAnsi="宋体" w:cs="MingLiU"/>
          <w:kern w:val="0"/>
          <w:sz w:val="20"/>
          <w:szCs w:val="20"/>
          <w:highlight w:val="none"/>
        </w:rPr>
      </w:pPr>
    </w:p>
    <w:p w14:paraId="6913911A">
      <w:pPr>
        <w:autoSpaceDE w:val="0"/>
        <w:autoSpaceDN w:val="0"/>
        <w:adjustRightInd w:val="0"/>
        <w:snapToGrid w:val="0"/>
        <w:spacing w:line="360" w:lineRule="auto"/>
        <w:jc w:val="left"/>
        <w:rPr>
          <w:rFonts w:ascii="宋体" w:hAnsi="宋体" w:cs="MingLiU"/>
          <w:kern w:val="0"/>
          <w:sz w:val="20"/>
          <w:szCs w:val="20"/>
          <w:highlight w:val="none"/>
        </w:rPr>
      </w:pPr>
    </w:p>
    <w:p w14:paraId="6AB72A58">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73B42D22">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4D9DD0EE">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14:paraId="000C5DA6">
      <w:pPr>
        <w:autoSpaceDE w:val="0"/>
        <w:autoSpaceDN w:val="0"/>
        <w:adjustRightInd w:val="0"/>
        <w:snapToGrid w:val="0"/>
        <w:jc w:val="center"/>
        <w:rPr>
          <w:rFonts w:hint="eastAsia" w:ascii="宋体" w:hAnsi="宋体"/>
          <w:kern w:val="0"/>
          <w:sz w:val="36"/>
          <w:szCs w:val="36"/>
          <w:highlight w:val="none"/>
        </w:rPr>
      </w:pPr>
    </w:p>
    <w:p w14:paraId="3FB69BC2">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14:paraId="3800C104">
      <w:pPr>
        <w:spacing w:line="360" w:lineRule="auto"/>
        <w:jc w:val="center"/>
        <w:rPr>
          <w:rFonts w:ascii="宋体" w:hAnsi="宋体"/>
          <w:b/>
          <w:kern w:val="0"/>
          <w:sz w:val="32"/>
          <w:szCs w:val="32"/>
          <w:highlight w:val="none"/>
        </w:rPr>
      </w:pPr>
    </w:p>
    <w:p w14:paraId="52CFDEA1">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6CB12109">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14:paraId="3A2A5A17">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14:paraId="691F522D">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）类似项目情况表</w:t>
      </w:r>
    </w:p>
    <w:p w14:paraId="620248C5">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w:t>
      </w:r>
      <w:r>
        <w:rPr>
          <w:rFonts w:hint="eastAsia" w:ascii="宋体" w:hAnsi="宋体"/>
          <w:highlight w:val="none"/>
        </w:rPr>
        <w:t>承诺</w:t>
      </w:r>
    </w:p>
    <w:p w14:paraId="1EE3ACAB">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六</w:t>
      </w:r>
      <w:r>
        <w:rPr>
          <w:rFonts w:ascii="宋体" w:hAnsi="宋体"/>
          <w:highlight w:val="none"/>
        </w:rPr>
        <w:t>）其他资料</w:t>
      </w:r>
    </w:p>
    <w:p w14:paraId="26A627B9">
      <w:pPr>
        <w:spacing w:line="360" w:lineRule="auto"/>
        <w:jc w:val="center"/>
        <w:rPr>
          <w:rFonts w:ascii="宋体" w:hAnsi="宋体"/>
          <w:b/>
          <w:kern w:val="0"/>
          <w:sz w:val="32"/>
          <w:szCs w:val="32"/>
          <w:highlight w:val="none"/>
        </w:rPr>
      </w:pPr>
    </w:p>
    <w:p w14:paraId="589A43E5">
      <w:pPr>
        <w:spacing w:line="360" w:lineRule="auto"/>
        <w:jc w:val="center"/>
        <w:rPr>
          <w:rFonts w:ascii="宋体" w:hAnsi="宋体"/>
          <w:b/>
          <w:kern w:val="0"/>
          <w:sz w:val="32"/>
          <w:szCs w:val="32"/>
          <w:highlight w:val="none"/>
        </w:rPr>
      </w:pPr>
    </w:p>
    <w:p w14:paraId="1CFF19BE">
      <w:pPr>
        <w:pStyle w:val="4"/>
        <w:jc w:val="center"/>
        <w:rPr>
          <w:rFonts w:ascii="宋体" w:hAnsi="宋体"/>
          <w:snapToGrid w:val="0"/>
          <w:kern w:val="0"/>
          <w:sz w:val="30"/>
          <w:szCs w:val="30"/>
          <w:highlight w:val="none"/>
        </w:rPr>
      </w:pPr>
      <w:r>
        <w:rPr>
          <w:rFonts w:ascii="宋体" w:hAnsi="宋体"/>
          <w:highlight w:val="none"/>
        </w:rPr>
        <w:br w:type="page"/>
      </w:r>
      <w:bookmarkStart w:id="460" w:name="_Toc26444"/>
      <w:bookmarkStart w:id="461" w:name="_Toc5633"/>
      <w:bookmarkStart w:id="462" w:name="_Toc287607883"/>
      <w:bookmarkStart w:id="463" w:name="_Toc430530546"/>
      <w:bookmarkStart w:id="464" w:name="_Toc277082657"/>
      <w:bookmarkStart w:id="465" w:name="_Toc287620830"/>
      <w:bookmarkStart w:id="466" w:name="_Toc224103511"/>
      <w:r>
        <w:rPr>
          <w:sz w:val="30"/>
          <w:szCs w:val="30"/>
          <w:highlight w:val="none"/>
        </w:rPr>
        <w:t>（一）</w:t>
      </w:r>
      <w:r>
        <w:rPr>
          <w:rFonts w:hint="eastAsia"/>
          <w:sz w:val="30"/>
          <w:szCs w:val="30"/>
          <w:highlight w:val="none"/>
        </w:rPr>
        <w:t>法定代表人身份证明或附有法定代表人身份证明的授权委托书</w:t>
      </w:r>
      <w:bookmarkEnd w:id="460"/>
      <w:bookmarkEnd w:id="461"/>
    </w:p>
    <w:p w14:paraId="181B2E70">
      <w:pPr>
        <w:spacing w:line="480" w:lineRule="auto"/>
        <w:jc w:val="center"/>
        <w:rPr>
          <w:rFonts w:ascii="宋体" w:hAnsi="宋体"/>
          <w:sz w:val="28"/>
          <w:highlight w:val="none"/>
        </w:rPr>
      </w:pPr>
      <w:r>
        <w:rPr>
          <w:rFonts w:hint="eastAsia" w:ascii="宋体" w:hAnsi="宋体"/>
          <w:sz w:val="28"/>
          <w:highlight w:val="none"/>
        </w:rPr>
        <w:t>法定代表人身份证明</w:t>
      </w:r>
    </w:p>
    <w:p w14:paraId="0D36597B">
      <w:pPr>
        <w:spacing w:line="480" w:lineRule="auto"/>
        <w:jc w:val="center"/>
        <w:rPr>
          <w:rFonts w:ascii="宋体" w:hAnsi="宋体"/>
          <w:highlight w:val="none"/>
        </w:rPr>
      </w:pPr>
    </w:p>
    <w:p w14:paraId="75B8DE45">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708A5EF1">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65CE0612">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38ACE3B1">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3A1C5F31">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480D3B9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1A2DB359">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14:paraId="42492EDA">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13A391E3">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5A7BBCC7">
      <w:pPr>
        <w:autoSpaceDE w:val="0"/>
        <w:autoSpaceDN w:val="0"/>
        <w:adjustRightInd w:val="0"/>
        <w:snapToGrid w:val="0"/>
        <w:spacing w:line="360" w:lineRule="auto"/>
        <w:jc w:val="left"/>
        <w:rPr>
          <w:rFonts w:ascii="宋体" w:hAnsi="宋体"/>
          <w:szCs w:val="21"/>
          <w:highlight w:val="none"/>
        </w:rPr>
      </w:pPr>
    </w:p>
    <w:p w14:paraId="62EEA548">
      <w:pPr>
        <w:pStyle w:val="17"/>
        <w:spacing w:after="0" w:line="360" w:lineRule="auto"/>
        <w:rPr>
          <w:rFonts w:ascii="宋体" w:hAnsi="宋体"/>
          <w:szCs w:val="21"/>
          <w:highlight w:val="none"/>
        </w:rPr>
      </w:pPr>
    </w:p>
    <w:p w14:paraId="1D7B2085">
      <w:pPr>
        <w:pStyle w:val="17"/>
        <w:spacing w:after="0" w:line="360" w:lineRule="auto"/>
        <w:rPr>
          <w:rFonts w:ascii="宋体" w:hAnsi="宋体"/>
          <w:szCs w:val="21"/>
          <w:highlight w:val="none"/>
        </w:rPr>
      </w:pPr>
    </w:p>
    <w:p w14:paraId="5E49DFC7">
      <w:pPr>
        <w:pStyle w:val="17"/>
        <w:spacing w:after="0" w:line="360" w:lineRule="auto"/>
        <w:rPr>
          <w:rFonts w:ascii="宋体" w:hAnsi="宋体"/>
          <w:szCs w:val="21"/>
          <w:highlight w:val="none"/>
        </w:rPr>
      </w:pPr>
    </w:p>
    <w:p w14:paraId="228AB86C">
      <w:pPr>
        <w:pStyle w:val="17"/>
        <w:spacing w:after="0" w:line="360" w:lineRule="auto"/>
        <w:rPr>
          <w:rFonts w:ascii="宋体" w:hAnsi="宋体"/>
          <w:szCs w:val="21"/>
          <w:highlight w:val="none"/>
        </w:rPr>
      </w:pPr>
    </w:p>
    <w:p w14:paraId="5A82026A">
      <w:pPr>
        <w:pStyle w:val="17"/>
        <w:spacing w:after="0" w:line="360" w:lineRule="auto"/>
        <w:rPr>
          <w:rFonts w:ascii="宋体" w:hAnsi="宋体"/>
          <w:szCs w:val="21"/>
          <w:highlight w:val="none"/>
        </w:rPr>
      </w:pPr>
    </w:p>
    <w:p w14:paraId="6BBDB9EC">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26E38987">
      <w:pPr>
        <w:autoSpaceDE w:val="0"/>
        <w:autoSpaceDN w:val="0"/>
        <w:adjustRightInd w:val="0"/>
        <w:snapToGrid w:val="0"/>
        <w:spacing w:line="480" w:lineRule="auto"/>
        <w:jc w:val="left"/>
        <w:rPr>
          <w:rFonts w:ascii="宋体" w:hAnsi="宋体"/>
          <w:kern w:val="0"/>
          <w:sz w:val="20"/>
          <w:szCs w:val="20"/>
          <w:highlight w:val="none"/>
        </w:rPr>
      </w:pPr>
    </w:p>
    <w:p w14:paraId="7057762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5650AD5D">
      <w:pPr>
        <w:autoSpaceDE w:val="0"/>
        <w:autoSpaceDN w:val="0"/>
        <w:adjustRightInd w:val="0"/>
        <w:snapToGrid w:val="0"/>
        <w:spacing w:line="360" w:lineRule="auto"/>
        <w:jc w:val="left"/>
        <w:rPr>
          <w:rFonts w:ascii="宋体" w:hAnsi="宋体"/>
          <w:kern w:val="0"/>
          <w:highlight w:val="none"/>
        </w:rPr>
      </w:pPr>
    </w:p>
    <w:p w14:paraId="42AFEAE2">
      <w:pPr>
        <w:autoSpaceDE w:val="0"/>
        <w:autoSpaceDN w:val="0"/>
        <w:adjustRightInd w:val="0"/>
        <w:snapToGrid w:val="0"/>
        <w:spacing w:line="360" w:lineRule="auto"/>
        <w:jc w:val="left"/>
        <w:rPr>
          <w:rFonts w:ascii="宋体" w:hAnsi="宋体"/>
          <w:kern w:val="0"/>
          <w:highlight w:val="none"/>
        </w:rPr>
      </w:pPr>
    </w:p>
    <w:p w14:paraId="3B0A3B6F">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462"/>
      <w:bookmarkEnd w:id="463"/>
      <w:bookmarkEnd w:id="464"/>
      <w:bookmarkEnd w:id="465"/>
      <w:bookmarkEnd w:id="466"/>
      <w:r>
        <w:rPr>
          <w:rFonts w:hint="eastAsia" w:ascii="宋体" w:hAnsi="宋体"/>
          <w:kern w:val="0"/>
          <w:szCs w:val="21"/>
          <w:highlight w:val="none"/>
        </w:rPr>
        <w:t>。</w:t>
      </w:r>
    </w:p>
    <w:p w14:paraId="7E48EAF3">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21C24AB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14:paraId="4307EFC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3C35B81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500D306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10F175B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竞选</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641A9671">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4815ED8E">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37F4C6B">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0A2B750C">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2DE0D84C">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46FB35F1">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07585CF7">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14:paraId="7B0F379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A12669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5F5EFA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B8AF8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5FA6BA4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CB30D15">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14:paraId="2079890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0A600254">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07D2BC03">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80D070F">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14:paraId="12D388BC">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37220F79">
      <w:pPr>
        <w:pStyle w:val="4"/>
        <w:spacing w:before="0" w:after="0" w:line="240" w:lineRule="auto"/>
        <w:jc w:val="center"/>
        <w:rPr>
          <w:rFonts w:ascii="宋体" w:hAnsi="宋体"/>
          <w:highlight w:val="none"/>
        </w:rPr>
      </w:pPr>
      <w:bookmarkStart w:id="467" w:name="_Toc287607884"/>
      <w:bookmarkStart w:id="468" w:name="_Toc277082658"/>
      <w:bookmarkStart w:id="469" w:name="_Toc224103512"/>
      <w:bookmarkStart w:id="470" w:name="_Toc287620831"/>
      <w:bookmarkStart w:id="471" w:name="_Toc430530547"/>
      <w:bookmarkStart w:id="472" w:name="_Toc2153"/>
      <w:r>
        <w:rPr>
          <w:highlight w:val="none"/>
        </w:rPr>
        <w:t>（二）</w:t>
      </w:r>
      <w:bookmarkEnd w:id="467"/>
      <w:bookmarkEnd w:id="468"/>
      <w:bookmarkEnd w:id="469"/>
      <w:bookmarkEnd w:id="470"/>
      <w:bookmarkEnd w:id="471"/>
      <w:bookmarkStart w:id="473" w:name="_Toc287607887"/>
      <w:bookmarkStart w:id="474" w:name="_Toc277082659"/>
      <w:r>
        <w:rPr>
          <w:rFonts w:hint="eastAsia" w:ascii="宋体" w:hAnsi="宋体"/>
          <w:b w:val="0"/>
          <w:bCs w:val="0"/>
          <w:highlight w:val="none"/>
          <w:lang w:eastAsia="zh-CN"/>
        </w:rPr>
        <w:t>竞选人</w:t>
      </w:r>
      <w:r>
        <w:rPr>
          <w:rFonts w:hint="eastAsia" w:ascii="宋体" w:hAnsi="宋体"/>
          <w:b w:val="0"/>
          <w:bCs w:val="0"/>
          <w:highlight w:val="none"/>
        </w:rPr>
        <w:t>基本情况表</w:t>
      </w:r>
      <w:bookmarkEnd w:id="472"/>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08CD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B0335A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lang w:eastAsia="zh-CN"/>
              </w:rPr>
              <w:t>竞选人</w:t>
            </w:r>
            <w:r>
              <w:rPr>
                <w:rFonts w:hint="eastAsia" w:ascii="宋体" w:hAnsi="宋体" w:cs="MingLiU"/>
                <w:kern w:val="0"/>
                <w:szCs w:val="21"/>
                <w:highlight w:val="none"/>
              </w:rPr>
              <w:t>名称</w:t>
            </w:r>
          </w:p>
        </w:tc>
        <w:tc>
          <w:tcPr>
            <w:tcW w:w="7607" w:type="dxa"/>
            <w:gridSpan w:val="9"/>
            <w:vAlign w:val="center"/>
          </w:tcPr>
          <w:p w14:paraId="0EEC75DA">
            <w:pPr>
              <w:autoSpaceDE w:val="0"/>
              <w:autoSpaceDN w:val="0"/>
              <w:adjustRightInd w:val="0"/>
              <w:snapToGrid w:val="0"/>
              <w:jc w:val="center"/>
              <w:rPr>
                <w:rFonts w:ascii="宋体" w:hAnsi="宋体"/>
                <w:kern w:val="0"/>
                <w:szCs w:val="21"/>
                <w:highlight w:val="none"/>
              </w:rPr>
            </w:pPr>
          </w:p>
        </w:tc>
      </w:tr>
      <w:tr w14:paraId="713E70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1F847C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14:paraId="4A71A894">
            <w:pPr>
              <w:autoSpaceDE w:val="0"/>
              <w:autoSpaceDN w:val="0"/>
              <w:adjustRightInd w:val="0"/>
              <w:snapToGrid w:val="0"/>
              <w:jc w:val="center"/>
              <w:rPr>
                <w:rFonts w:ascii="宋体" w:hAnsi="宋体"/>
                <w:kern w:val="0"/>
                <w:szCs w:val="21"/>
                <w:highlight w:val="none"/>
              </w:rPr>
            </w:pPr>
          </w:p>
        </w:tc>
        <w:tc>
          <w:tcPr>
            <w:tcW w:w="1392" w:type="dxa"/>
            <w:vAlign w:val="center"/>
          </w:tcPr>
          <w:p w14:paraId="02CFCF6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14:paraId="40156312">
            <w:pPr>
              <w:autoSpaceDE w:val="0"/>
              <w:autoSpaceDN w:val="0"/>
              <w:adjustRightInd w:val="0"/>
              <w:snapToGrid w:val="0"/>
              <w:jc w:val="center"/>
              <w:rPr>
                <w:rFonts w:ascii="宋体" w:hAnsi="宋体"/>
                <w:kern w:val="0"/>
                <w:szCs w:val="21"/>
                <w:highlight w:val="none"/>
              </w:rPr>
            </w:pPr>
          </w:p>
        </w:tc>
      </w:tr>
      <w:tr w14:paraId="158640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032CEBA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14:paraId="4E845A5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14:paraId="1500AE6F">
            <w:pPr>
              <w:autoSpaceDE w:val="0"/>
              <w:autoSpaceDN w:val="0"/>
              <w:adjustRightInd w:val="0"/>
              <w:snapToGrid w:val="0"/>
              <w:jc w:val="center"/>
              <w:rPr>
                <w:rFonts w:ascii="宋体" w:hAnsi="宋体"/>
                <w:kern w:val="0"/>
                <w:szCs w:val="21"/>
                <w:highlight w:val="none"/>
              </w:rPr>
            </w:pPr>
          </w:p>
        </w:tc>
        <w:tc>
          <w:tcPr>
            <w:tcW w:w="1392" w:type="dxa"/>
            <w:vAlign w:val="center"/>
          </w:tcPr>
          <w:p w14:paraId="0E19069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14:paraId="44F4690B">
            <w:pPr>
              <w:autoSpaceDE w:val="0"/>
              <w:autoSpaceDN w:val="0"/>
              <w:adjustRightInd w:val="0"/>
              <w:snapToGrid w:val="0"/>
              <w:jc w:val="center"/>
              <w:rPr>
                <w:rFonts w:ascii="宋体" w:hAnsi="宋体"/>
                <w:kern w:val="0"/>
                <w:szCs w:val="21"/>
                <w:highlight w:val="none"/>
              </w:rPr>
            </w:pPr>
          </w:p>
        </w:tc>
      </w:tr>
      <w:tr w14:paraId="0967B2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3C900EDF">
            <w:pPr>
              <w:autoSpaceDE w:val="0"/>
              <w:autoSpaceDN w:val="0"/>
              <w:adjustRightInd w:val="0"/>
              <w:snapToGrid w:val="0"/>
              <w:jc w:val="center"/>
              <w:rPr>
                <w:rFonts w:ascii="宋体" w:hAnsi="宋体"/>
                <w:kern w:val="0"/>
                <w:szCs w:val="21"/>
                <w:highlight w:val="none"/>
              </w:rPr>
            </w:pPr>
          </w:p>
        </w:tc>
        <w:tc>
          <w:tcPr>
            <w:tcW w:w="967" w:type="dxa"/>
            <w:vAlign w:val="center"/>
          </w:tcPr>
          <w:p w14:paraId="14CB1836">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14:paraId="05EB28EF">
            <w:pPr>
              <w:autoSpaceDE w:val="0"/>
              <w:autoSpaceDN w:val="0"/>
              <w:adjustRightInd w:val="0"/>
              <w:snapToGrid w:val="0"/>
              <w:jc w:val="center"/>
              <w:rPr>
                <w:rFonts w:ascii="宋体" w:hAnsi="宋体"/>
                <w:kern w:val="0"/>
                <w:szCs w:val="21"/>
                <w:highlight w:val="none"/>
              </w:rPr>
            </w:pPr>
          </w:p>
        </w:tc>
        <w:tc>
          <w:tcPr>
            <w:tcW w:w="1392" w:type="dxa"/>
            <w:vAlign w:val="center"/>
          </w:tcPr>
          <w:p w14:paraId="15BD249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14:paraId="29511D0D">
            <w:pPr>
              <w:autoSpaceDE w:val="0"/>
              <w:autoSpaceDN w:val="0"/>
              <w:adjustRightInd w:val="0"/>
              <w:snapToGrid w:val="0"/>
              <w:jc w:val="center"/>
              <w:rPr>
                <w:rFonts w:ascii="宋体" w:hAnsi="宋体"/>
                <w:kern w:val="0"/>
                <w:szCs w:val="21"/>
                <w:highlight w:val="none"/>
              </w:rPr>
            </w:pPr>
          </w:p>
        </w:tc>
      </w:tr>
      <w:tr w14:paraId="5DBF9C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F740AC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14:paraId="6880B4E0">
            <w:pPr>
              <w:autoSpaceDE w:val="0"/>
              <w:autoSpaceDN w:val="0"/>
              <w:adjustRightInd w:val="0"/>
              <w:snapToGrid w:val="0"/>
              <w:jc w:val="center"/>
              <w:rPr>
                <w:rFonts w:ascii="宋体" w:hAnsi="宋体"/>
                <w:kern w:val="0"/>
                <w:szCs w:val="21"/>
                <w:highlight w:val="none"/>
              </w:rPr>
            </w:pPr>
          </w:p>
        </w:tc>
      </w:tr>
      <w:tr w14:paraId="60D200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155689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14:paraId="62BAD6E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19D31AF6">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348A931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154B30DF">
            <w:pPr>
              <w:autoSpaceDE w:val="0"/>
              <w:autoSpaceDN w:val="0"/>
              <w:adjustRightInd w:val="0"/>
              <w:snapToGrid w:val="0"/>
              <w:jc w:val="center"/>
              <w:rPr>
                <w:rFonts w:ascii="宋体" w:hAnsi="宋体"/>
                <w:kern w:val="0"/>
                <w:szCs w:val="21"/>
                <w:highlight w:val="none"/>
              </w:rPr>
            </w:pPr>
          </w:p>
        </w:tc>
        <w:tc>
          <w:tcPr>
            <w:tcW w:w="925" w:type="dxa"/>
            <w:vAlign w:val="center"/>
          </w:tcPr>
          <w:p w14:paraId="701C8FE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3AAFEAFA">
            <w:pPr>
              <w:autoSpaceDE w:val="0"/>
              <w:autoSpaceDN w:val="0"/>
              <w:adjustRightInd w:val="0"/>
              <w:snapToGrid w:val="0"/>
              <w:jc w:val="center"/>
              <w:rPr>
                <w:rFonts w:ascii="宋体" w:hAnsi="宋体"/>
                <w:kern w:val="0"/>
                <w:szCs w:val="21"/>
                <w:highlight w:val="none"/>
              </w:rPr>
            </w:pPr>
          </w:p>
        </w:tc>
      </w:tr>
      <w:tr w14:paraId="4801B6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B02625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14:paraId="1775FED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43BAA82A">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5B9FDC6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20702705">
            <w:pPr>
              <w:autoSpaceDE w:val="0"/>
              <w:autoSpaceDN w:val="0"/>
              <w:adjustRightInd w:val="0"/>
              <w:snapToGrid w:val="0"/>
              <w:jc w:val="center"/>
              <w:rPr>
                <w:rFonts w:ascii="宋体" w:hAnsi="宋体"/>
                <w:kern w:val="0"/>
                <w:szCs w:val="21"/>
                <w:highlight w:val="none"/>
              </w:rPr>
            </w:pPr>
          </w:p>
        </w:tc>
        <w:tc>
          <w:tcPr>
            <w:tcW w:w="925" w:type="dxa"/>
            <w:vAlign w:val="center"/>
          </w:tcPr>
          <w:p w14:paraId="7502900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27FF1BE5">
            <w:pPr>
              <w:autoSpaceDE w:val="0"/>
              <w:autoSpaceDN w:val="0"/>
              <w:adjustRightInd w:val="0"/>
              <w:snapToGrid w:val="0"/>
              <w:jc w:val="center"/>
              <w:rPr>
                <w:rFonts w:ascii="宋体" w:hAnsi="宋体"/>
                <w:kern w:val="0"/>
                <w:szCs w:val="21"/>
                <w:highlight w:val="none"/>
              </w:rPr>
            </w:pPr>
          </w:p>
        </w:tc>
      </w:tr>
      <w:tr w14:paraId="5AFDFF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65DDCE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14:paraId="2C796D63">
            <w:pPr>
              <w:autoSpaceDE w:val="0"/>
              <w:autoSpaceDN w:val="0"/>
              <w:adjustRightInd w:val="0"/>
              <w:snapToGrid w:val="0"/>
              <w:jc w:val="center"/>
              <w:rPr>
                <w:rFonts w:ascii="宋体" w:hAnsi="宋体"/>
                <w:kern w:val="0"/>
                <w:szCs w:val="21"/>
                <w:highlight w:val="none"/>
              </w:rPr>
            </w:pPr>
          </w:p>
        </w:tc>
        <w:tc>
          <w:tcPr>
            <w:tcW w:w="5616" w:type="dxa"/>
            <w:gridSpan w:val="7"/>
            <w:vAlign w:val="center"/>
          </w:tcPr>
          <w:p w14:paraId="2EAE895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14:paraId="51F270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1A6B6D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14:paraId="1347E346">
            <w:pPr>
              <w:autoSpaceDE w:val="0"/>
              <w:autoSpaceDN w:val="0"/>
              <w:adjustRightInd w:val="0"/>
              <w:snapToGrid w:val="0"/>
              <w:jc w:val="center"/>
              <w:rPr>
                <w:rFonts w:ascii="宋体" w:hAnsi="宋体"/>
                <w:kern w:val="0"/>
                <w:szCs w:val="21"/>
                <w:highlight w:val="none"/>
              </w:rPr>
            </w:pPr>
          </w:p>
        </w:tc>
        <w:tc>
          <w:tcPr>
            <w:tcW w:w="904" w:type="dxa"/>
            <w:vMerge w:val="restart"/>
            <w:vAlign w:val="center"/>
          </w:tcPr>
          <w:p w14:paraId="4EB0395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14:paraId="25368F7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14:paraId="66250ECD">
            <w:pPr>
              <w:autoSpaceDE w:val="0"/>
              <w:autoSpaceDN w:val="0"/>
              <w:adjustRightInd w:val="0"/>
              <w:snapToGrid w:val="0"/>
              <w:jc w:val="center"/>
              <w:rPr>
                <w:rFonts w:ascii="宋体" w:hAnsi="宋体"/>
                <w:kern w:val="0"/>
                <w:szCs w:val="21"/>
                <w:highlight w:val="none"/>
              </w:rPr>
            </w:pPr>
          </w:p>
        </w:tc>
      </w:tr>
      <w:tr w14:paraId="132EB7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0F2A37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14:paraId="36D73F02">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320988A3">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2A8D78D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14:paraId="24E02315">
            <w:pPr>
              <w:autoSpaceDE w:val="0"/>
              <w:autoSpaceDN w:val="0"/>
              <w:adjustRightInd w:val="0"/>
              <w:snapToGrid w:val="0"/>
              <w:jc w:val="center"/>
              <w:rPr>
                <w:rFonts w:ascii="宋体" w:hAnsi="宋体"/>
                <w:kern w:val="0"/>
                <w:szCs w:val="21"/>
                <w:highlight w:val="none"/>
              </w:rPr>
            </w:pPr>
          </w:p>
        </w:tc>
      </w:tr>
      <w:tr w14:paraId="648511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66D2DE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14:paraId="0592D3AA">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578144CF">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5A4B30A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14:paraId="01AE219D">
            <w:pPr>
              <w:autoSpaceDE w:val="0"/>
              <w:autoSpaceDN w:val="0"/>
              <w:adjustRightInd w:val="0"/>
              <w:snapToGrid w:val="0"/>
              <w:jc w:val="center"/>
              <w:rPr>
                <w:rFonts w:ascii="宋体" w:hAnsi="宋体"/>
                <w:kern w:val="0"/>
                <w:szCs w:val="21"/>
                <w:highlight w:val="none"/>
              </w:rPr>
            </w:pPr>
          </w:p>
        </w:tc>
      </w:tr>
      <w:tr w14:paraId="708F44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9CA518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14:paraId="291E2FBC">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26BBF8E3">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30DA0A71">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14:paraId="51035D9C">
            <w:pPr>
              <w:autoSpaceDE w:val="0"/>
              <w:autoSpaceDN w:val="0"/>
              <w:adjustRightInd w:val="0"/>
              <w:snapToGrid w:val="0"/>
              <w:jc w:val="center"/>
              <w:rPr>
                <w:rFonts w:ascii="宋体" w:hAnsi="宋体"/>
                <w:kern w:val="0"/>
                <w:szCs w:val="21"/>
                <w:highlight w:val="none"/>
              </w:rPr>
            </w:pPr>
          </w:p>
        </w:tc>
      </w:tr>
      <w:tr w14:paraId="354356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8F33960">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14:paraId="02D4D74E">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5C7493DF">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5F6264AD">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14:paraId="709DC268">
            <w:pPr>
              <w:autoSpaceDE w:val="0"/>
              <w:autoSpaceDN w:val="0"/>
              <w:adjustRightInd w:val="0"/>
              <w:snapToGrid w:val="0"/>
              <w:jc w:val="center"/>
              <w:rPr>
                <w:rFonts w:ascii="宋体" w:hAnsi="宋体"/>
                <w:kern w:val="0"/>
                <w:szCs w:val="21"/>
                <w:highlight w:val="none"/>
              </w:rPr>
            </w:pPr>
          </w:p>
        </w:tc>
      </w:tr>
      <w:tr w14:paraId="01CFFD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C84BD8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14:paraId="3F69F42D">
            <w:pPr>
              <w:autoSpaceDE w:val="0"/>
              <w:autoSpaceDN w:val="0"/>
              <w:adjustRightInd w:val="0"/>
              <w:snapToGrid w:val="0"/>
              <w:jc w:val="center"/>
              <w:rPr>
                <w:rFonts w:ascii="宋体" w:hAnsi="宋体"/>
                <w:kern w:val="0"/>
                <w:szCs w:val="21"/>
                <w:highlight w:val="none"/>
              </w:rPr>
            </w:pPr>
          </w:p>
        </w:tc>
      </w:tr>
      <w:tr w14:paraId="12455E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836DA3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14:paraId="1404390F">
            <w:pPr>
              <w:autoSpaceDE w:val="0"/>
              <w:autoSpaceDN w:val="0"/>
              <w:adjustRightInd w:val="0"/>
              <w:snapToGrid w:val="0"/>
              <w:jc w:val="center"/>
              <w:rPr>
                <w:rFonts w:ascii="宋体" w:hAnsi="宋体"/>
                <w:kern w:val="0"/>
                <w:szCs w:val="21"/>
                <w:highlight w:val="none"/>
              </w:rPr>
            </w:pPr>
          </w:p>
        </w:tc>
      </w:tr>
    </w:tbl>
    <w:p w14:paraId="02E8ADEF">
      <w:pPr>
        <w:spacing w:line="360" w:lineRule="auto"/>
        <w:jc w:val="center"/>
        <w:rPr>
          <w:rFonts w:ascii="宋体" w:hAnsi="宋体"/>
          <w:szCs w:val="21"/>
          <w:highlight w:val="none"/>
        </w:rPr>
      </w:pPr>
    </w:p>
    <w:p w14:paraId="20A8C10A">
      <w:pPr>
        <w:pStyle w:val="4"/>
        <w:spacing w:before="0" w:after="0" w:line="240" w:lineRule="auto"/>
        <w:jc w:val="center"/>
        <w:rPr>
          <w:rFonts w:ascii="宋体" w:hAnsi="宋体"/>
          <w:b w:val="0"/>
          <w:bCs w:val="0"/>
          <w:highlight w:val="none"/>
        </w:rPr>
      </w:pPr>
      <w:r>
        <w:rPr>
          <w:rFonts w:ascii="宋体" w:hAnsi="宋体"/>
          <w:szCs w:val="21"/>
          <w:highlight w:val="none"/>
        </w:rPr>
        <w:br w:type="page"/>
      </w:r>
      <w:bookmarkEnd w:id="473"/>
      <w:bookmarkEnd w:id="474"/>
      <w:bookmarkStart w:id="475" w:name="_Toc509218863"/>
      <w:bookmarkStart w:id="476" w:name="_Toc534185840"/>
      <w:bookmarkStart w:id="477" w:name="_Toc31370"/>
      <w:bookmarkStart w:id="478" w:name="_Toc277082663"/>
      <w:bookmarkStart w:id="479" w:name="_Toc287620839"/>
      <w:bookmarkStart w:id="480" w:name="_Toc287607893"/>
      <w:bookmarkStart w:id="481" w:name="_Toc430530552"/>
      <w:bookmarkStart w:id="482" w:name="_Toc224103520"/>
      <w:bookmarkStart w:id="483" w:name="_Toc509218866"/>
      <w:bookmarkStart w:id="484" w:name="_Toc534185843"/>
      <w:r>
        <w:rPr>
          <w:rFonts w:hint="eastAsia" w:ascii="宋体" w:hAnsi="宋体"/>
          <w:b w:val="0"/>
          <w:bCs w:val="0"/>
          <w:highlight w:val="none"/>
        </w:rPr>
        <w:t>（</w:t>
      </w:r>
      <w:r>
        <w:rPr>
          <w:rFonts w:hint="eastAsia" w:ascii="宋体" w:hAnsi="宋体"/>
          <w:b w:val="0"/>
          <w:bCs w:val="0"/>
          <w:highlight w:val="none"/>
          <w:lang w:val="en-US" w:eastAsia="zh-CN"/>
        </w:rPr>
        <w:t>三</w:t>
      </w:r>
      <w:r>
        <w:rPr>
          <w:rFonts w:hint="eastAsia" w:ascii="宋体" w:hAnsi="宋体"/>
          <w:b w:val="0"/>
          <w:bCs w:val="0"/>
          <w:highlight w:val="none"/>
        </w:rPr>
        <w:t>）项目管理机构</w:t>
      </w:r>
      <w:bookmarkEnd w:id="475"/>
      <w:bookmarkEnd w:id="476"/>
      <w:bookmarkEnd w:id="477"/>
    </w:p>
    <w:p w14:paraId="49D8F6CB">
      <w:pPr>
        <w:spacing w:line="360" w:lineRule="auto"/>
        <w:rPr>
          <w:rFonts w:ascii="宋体" w:hAnsi="宋体"/>
          <w:highlight w:val="none"/>
        </w:rPr>
      </w:pPr>
    </w:p>
    <w:p w14:paraId="337DD2C7">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0772C1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66C9A0A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14:paraId="6C3C65C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14:paraId="02E71FD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14:paraId="3E2C036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14:paraId="13616BE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14:paraId="6847C4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5259A695">
            <w:pPr>
              <w:autoSpaceDE w:val="0"/>
              <w:autoSpaceDN w:val="0"/>
              <w:adjustRightInd w:val="0"/>
              <w:snapToGrid w:val="0"/>
              <w:jc w:val="left"/>
              <w:rPr>
                <w:rFonts w:ascii="宋体" w:hAnsi="宋体"/>
                <w:kern w:val="0"/>
                <w:szCs w:val="21"/>
                <w:highlight w:val="none"/>
              </w:rPr>
            </w:pPr>
          </w:p>
        </w:tc>
        <w:tc>
          <w:tcPr>
            <w:tcW w:w="734" w:type="dxa"/>
            <w:vMerge w:val="continue"/>
          </w:tcPr>
          <w:p w14:paraId="6F5E72E3">
            <w:pPr>
              <w:autoSpaceDE w:val="0"/>
              <w:autoSpaceDN w:val="0"/>
              <w:adjustRightInd w:val="0"/>
              <w:snapToGrid w:val="0"/>
              <w:jc w:val="left"/>
              <w:rPr>
                <w:rFonts w:ascii="宋体" w:hAnsi="宋体"/>
                <w:kern w:val="0"/>
                <w:szCs w:val="21"/>
                <w:highlight w:val="none"/>
              </w:rPr>
            </w:pPr>
          </w:p>
        </w:tc>
        <w:tc>
          <w:tcPr>
            <w:tcW w:w="776" w:type="dxa"/>
            <w:vMerge w:val="continue"/>
          </w:tcPr>
          <w:p w14:paraId="19536176">
            <w:pPr>
              <w:autoSpaceDE w:val="0"/>
              <w:autoSpaceDN w:val="0"/>
              <w:adjustRightInd w:val="0"/>
              <w:snapToGrid w:val="0"/>
              <w:jc w:val="left"/>
              <w:rPr>
                <w:rFonts w:ascii="宋体" w:hAnsi="宋体"/>
                <w:kern w:val="0"/>
                <w:szCs w:val="21"/>
                <w:highlight w:val="none"/>
              </w:rPr>
            </w:pPr>
          </w:p>
        </w:tc>
        <w:tc>
          <w:tcPr>
            <w:tcW w:w="1167" w:type="dxa"/>
            <w:vAlign w:val="center"/>
          </w:tcPr>
          <w:p w14:paraId="0B5F63A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14:paraId="6E295BA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14:paraId="1F61605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14:paraId="6BB5232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14:paraId="40F984A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tcPr>
          <w:p w14:paraId="1BE5F576">
            <w:pPr>
              <w:autoSpaceDE w:val="0"/>
              <w:autoSpaceDN w:val="0"/>
              <w:adjustRightInd w:val="0"/>
              <w:snapToGrid w:val="0"/>
              <w:jc w:val="left"/>
              <w:rPr>
                <w:rFonts w:ascii="宋体" w:hAnsi="宋体"/>
                <w:kern w:val="0"/>
                <w:szCs w:val="21"/>
                <w:highlight w:val="none"/>
              </w:rPr>
            </w:pPr>
          </w:p>
        </w:tc>
      </w:tr>
      <w:tr w14:paraId="224E74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44347F62">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tcPr>
          <w:p w14:paraId="3E9A9D92">
            <w:pPr>
              <w:autoSpaceDE w:val="0"/>
              <w:autoSpaceDN w:val="0"/>
              <w:adjustRightInd w:val="0"/>
              <w:snapToGrid w:val="0"/>
              <w:jc w:val="left"/>
              <w:rPr>
                <w:rFonts w:ascii="宋体" w:hAnsi="宋体"/>
                <w:kern w:val="0"/>
                <w:szCs w:val="21"/>
                <w:highlight w:val="none"/>
              </w:rPr>
            </w:pPr>
          </w:p>
        </w:tc>
        <w:tc>
          <w:tcPr>
            <w:tcW w:w="776" w:type="dxa"/>
          </w:tcPr>
          <w:p w14:paraId="5D2E86AD">
            <w:pPr>
              <w:autoSpaceDE w:val="0"/>
              <w:autoSpaceDN w:val="0"/>
              <w:adjustRightInd w:val="0"/>
              <w:snapToGrid w:val="0"/>
              <w:jc w:val="left"/>
              <w:rPr>
                <w:rFonts w:ascii="宋体" w:hAnsi="宋体"/>
                <w:kern w:val="0"/>
                <w:szCs w:val="21"/>
                <w:highlight w:val="none"/>
              </w:rPr>
            </w:pPr>
          </w:p>
        </w:tc>
        <w:tc>
          <w:tcPr>
            <w:tcW w:w="1167" w:type="dxa"/>
          </w:tcPr>
          <w:p w14:paraId="2868EBBE">
            <w:pPr>
              <w:autoSpaceDE w:val="0"/>
              <w:autoSpaceDN w:val="0"/>
              <w:adjustRightInd w:val="0"/>
              <w:snapToGrid w:val="0"/>
              <w:jc w:val="left"/>
              <w:rPr>
                <w:rFonts w:ascii="宋体" w:hAnsi="宋体"/>
                <w:kern w:val="0"/>
                <w:szCs w:val="21"/>
                <w:highlight w:val="none"/>
              </w:rPr>
            </w:pPr>
          </w:p>
        </w:tc>
        <w:tc>
          <w:tcPr>
            <w:tcW w:w="776" w:type="dxa"/>
          </w:tcPr>
          <w:p w14:paraId="41396AB5">
            <w:pPr>
              <w:autoSpaceDE w:val="0"/>
              <w:autoSpaceDN w:val="0"/>
              <w:adjustRightInd w:val="0"/>
              <w:snapToGrid w:val="0"/>
              <w:jc w:val="left"/>
              <w:rPr>
                <w:rFonts w:ascii="宋体" w:hAnsi="宋体"/>
                <w:kern w:val="0"/>
                <w:szCs w:val="21"/>
                <w:highlight w:val="none"/>
              </w:rPr>
            </w:pPr>
          </w:p>
        </w:tc>
        <w:tc>
          <w:tcPr>
            <w:tcW w:w="778" w:type="dxa"/>
          </w:tcPr>
          <w:p w14:paraId="59A4E2C5">
            <w:pPr>
              <w:autoSpaceDE w:val="0"/>
              <w:autoSpaceDN w:val="0"/>
              <w:adjustRightInd w:val="0"/>
              <w:snapToGrid w:val="0"/>
              <w:jc w:val="left"/>
              <w:rPr>
                <w:rFonts w:ascii="宋体" w:hAnsi="宋体"/>
                <w:kern w:val="0"/>
                <w:szCs w:val="21"/>
                <w:highlight w:val="none"/>
              </w:rPr>
            </w:pPr>
          </w:p>
        </w:tc>
        <w:tc>
          <w:tcPr>
            <w:tcW w:w="776" w:type="dxa"/>
          </w:tcPr>
          <w:p w14:paraId="4E63D3BE">
            <w:pPr>
              <w:autoSpaceDE w:val="0"/>
              <w:autoSpaceDN w:val="0"/>
              <w:adjustRightInd w:val="0"/>
              <w:snapToGrid w:val="0"/>
              <w:jc w:val="left"/>
              <w:rPr>
                <w:rFonts w:ascii="宋体" w:hAnsi="宋体"/>
                <w:kern w:val="0"/>
                <w:szCs w:val="21"/>
                <w:highlight w:val="none"/>
              </w:rPr>
            </w:pPr>
          </w:p>
        </w:tc>
        <w:tc>
          <w:tcPr>
            <w:tcW w:w="2723" w:type="dxa"/>
          </w:tcPr>
          <w:p w14:paraId="7CEAF9F2">
            <w:pPr>
              <w:autoSpaceDE w:val="0"/>
              <w:autoSpaceDN w:val="0"/>
              <w:adjustRightInd w:val="0"/>
              <w:snapToGrid w:val="0"/>
              <w:jc w:val="left"/>
              <w:rPr>
                <w:rFonts w:ascii="宋体" w:hAnsi="宋体"/>
                <w:kern w:val="0"/>
                <w:szCs w:val="21"/>
                <w:highlight w:val="none"/>
              </w:rPr>
            </w:pPr>
          </w:p>
        </w:tc>
        <w:tc>
          <w:tcPr>
            <w:tcW w:w="896" w:type="dxa"/>
          </w:tcPr>
          <w:p w14:paraId="483BD335">
            <w:pPr>
              <w:autoSpaceDE w:val="0"/>
              <w:autoSpaceDN w:val="0"/>
              <w:adjustRightInd w:val="0"/>
              <w:snapToGrid w:val="0"/>
              <w:jc w:val="left"/>
              <w:rPr>
                <w:rFonts w:ascii="宋体" w:hAnsi="宋体"/>
                <w:kern w:val="0"/>
                <w:szCs w:val="21"/>
                <w:highlight w:val="none"/>
              </w:rPr>
            </w:pPr>
          </w:p>
        </w:tc>
      </w:tr>
      <w:tr w14:paraId="66BAF5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163588B5">
            <w:pPr>
              <w:autoSpaceDE w:val="0"/>
              <w:autoSpaceDN w:val="0"/>
              <w:adjustRightInd w:val="0"/>
              <w:snapToGrid w:val="0"/>
              <w:jc w:val="center"/>
              <w:rPr>
                <w:rFonts w:ascii="宋体" w:hAnsi="宋体"/>
                <w:kern w:val="0"/>
                <w:szCs w:val="21"/>
                <w:highlight w:val="none"/>
              </w:rPr>
            </w:pPr>
          </w:p>
        </w:tc>
        <w:tc>
          <w:tcPr>
            <w:tcW w:w="734" w:type="dxa"/>
          </w:tcPr>
          <w:p w14:paraId="5AB1FD2B">
            <w:pPr>
              <w:autoSpaceDE w:val="0"/>
              <w:autoSpaceDN w:val="0"/>
              <w:adjustRightInd w:val="0"/>
              <w:snapToGrid w:val="0"/>
              <w:jc w:val="left"/>
              <w:rPr>
                <w:rFonts w:ascii="宋体" w:hAnsi="宋体"/>
                <w:kern w:val="0"/>
                <w:szCs w:val="21"/>
                <w:highlight w:val="none"/>
              </w:rPr>
            </w:pPr>
          </w:p>
        </w:tc>
        <w:tc>
          <w:tcPr>
            <w:tcW w:w="776" w:type="dxa"/>
          </w:tcPr>
          <w:p w14:paraId="01E89D38">
            <w:pPr>
              <w:autoSpaceDE w:val="0"/>
              <w:autoSpaceDN w:val="0"/>
              <w:adjustRightInd w:val="0"/>
              <w:snapToGrid w:val="0"/>
              <w:jc w:val="left"/>
              <w:rPr>
                <w:rFonts w:ascii="宋体" w:hAnsi="宋体"/>
                <w:kern w:val="0"/>
                <w:szCs w:val="21"/>
                <w:highlight w:val="none"/>
              </w:rPr>
            </w:pPr>
          </w:p>
        </w:tc>
        <w:tc>
          <w:tcPr>
            <w:tcW w:w="1167" w:type="dxa"/>
          </w:tcPr>
          <w:p w14:paraId="713B36AC">
            <w:pPr>
              <w:autoSpaceDE w:val="0"/>
              <w:autoSpaceDN w:val="0"/>
              <w:adjustRightInd w:val="0"/>
              <w:snapToGrid w:val="0"/>
              <w:jc w:val="left"/>
              <w:rPr>
                <w:rFonts w:ascii="宋体" w:hAnsi="宋体"/>
                <w:kern w:val="0"/>
                <w:szCs w:val="21"/>
                <w:highlight w:val="none"/>
              </w:rPr>
            </w:pPr>
          </w:p>
        </w:tc>
        <w:tc>
          <w:tcPr>
            <w:tcW w:w="776" w:type="dxa"/>
          </w:tcPr>
          <w:p w14:paraId="561CE3C7">
            <w:pPr>
              <w:autoSpaceDE w:val="0"/>
              <w:autoSpaceDN w:val="0"/>
              <w:adjustRightInd w:val="0"/>
              <w:snapToGrid w:val="0"/>
              <w:jc w:val="left"/>
              <w:rPr>
                <w:rFonts w:ascii="宋体" w:hAnsi="宋体"/>
                <w:kern w:val="0"/>
                <w:szCs w:val="21"/>
                <w:highlight w:val="none"/>
              </w:rPr>
            </w:pPr>
          </w:p>
        </w:tc>
        <w:tc>
          <w:tcPr>
            <w:tcW w:w="778" w:type="dxa"/>
          </w:tcPr>
          <w:p w14:paraId="5AC47F55">
            <w:pPr>
              <w:autoSpaceDE w:val="0"/>
              <w:autoSpaceDN w:val="0"/>
              <w:adjustRightInd w:val="0"/>
              <w:snapToGrid w:val="0"/>
              <w:jc w:val="left"/>
              <w:rPr>
                <w:rFonts w:ascii="宋体" w:hAnsi="宋体"/>
                <w:kern w:val="0"/>
                <w:szCs w:val="21"/>
                <w:highlight w:val="none"/>
              </w:rPr>
            </w:pPr>
          </w:p>
        </w:tc>
        <w:tc>
          <w:tcPr>
            <w:tcW w:w="776" w:type="dxa"/>
          </w:tcPr>
          <w:p w14:paraId="095C4E85">
            <w:pPr>
              <w:autoSpaceDE w:val="0"/>
              <w:autoSpaceDN w:val="0"/>
              <w:adjustRightInd w:val="0"/>
              <w:snapToGrid w:val="0"/>
              <w:jc w:val="left"/>
              <w:rPr>
                <w:rFonts w:ascii="宋体" w:hAnsi="宋体"/>
                <w:kern w:val="0"/>
                <w:szCs w:val="21"/>
                <w:highlight w:val="none"/>
              </w:rPr>
            </w:pPr>
          </w:p>
        </w:tc>
        <w:tc>
          <w:tcPr>
            <w:tcW w:w="2723" w:type="dxa"/>
          </w:tcPr>
          <w:p w14:paraId="1F7A8F3C">
            <w:pPr>
              <w:autoSpaceDE w:val="0"/>
              <w:autoSpaceDN w:val="0"/>
              <w:adjustRightInd w:val="0"/>
              <w:snapToGrid w:val="0"/>
              <w:jc w:val="left"/>
              <w:rPr>
                <w:rFonts w:ascii="宋体" w:hAnsi="宋体"/>
                <w:kern w:val="0"/>
                <w:szCs w:val="21"/>
                <w:highlight w:val="none"/>
              </w:rPr>
            </w:pPr>
          </w:p>
        </w:tc>
        <w:tc>
          <w:tcPr>
            <w:tcW w:w="896" w:type="dxa"/>
          </w:tcPr>
          <w:p w14:paraId="7BD9F454">
            <w:pPr>
              <w:autoSpaceDE w:val="0"/>
              <w:autoSpaceDN w:val="0"/>
              <w:adjustRightInd w:val="0"/>
              <w:snapToGrid w:val="0"/>
              <w:jc w:val="left"/>
              <w:rPr>
                <w:rFonts w:ascii="宋体" w:hAnsi="宋体"/>
                <w:kern w:val="0"/>
                <w:szCs w:val="21"/>
                <w:highlight w:val="none"/>
              </w:rPr>
            </w:pPr>
          </w:p>
        </w:tc>
      </w:tr>
      <w:tr w14:paraId="10605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F140BFC">
            <w:pPr>
              <w:autoSpaceDE w:val="0"/>
              <w:autoSpaceDN w:val="0"/>
              <w:adjustRightInd w:val="0"/>
              <w:snapToGrid w:val="0"/>
              <w:jc w:val="left"/>
              <w:rPr>
                <w:rFonts w:ascii="宋体" w:hAnsi="宋体"/>
                <w:kern w:val="0"/>
                <w:szCs w:val="21"/>
                <w:highlight w:val="none"/>
              </w:rPr>
            </w:pPr>
          </w:p>
        </w:tc>
        <w:tc>
          <w:tcPr>
            <w:tcW w:w="734" w:type="dxa"/>
          </w:tcPr>
          <w:p w14:paraId="5C16891D">
            <w:pPr>
              <w:autoSpaceDE w:val="0"/>
              <w:autoSpaceDN w:val="0"/>
              <w:adjustRightInd w:val="0"/>
              <w:snapToGrid w:val="0"/>
              <w:jc w:val="left"/>
              <w:rPr>
                <w:rFonts w:ascii="宋体" w:hAnsi="宋体"/>
                <w:kern w:val="0"/>
                <w:szCs w:val="21"/>
                <w:highlight w:val="none"/>
              </w:rPr>
            </w:pPr>
          </w:p>
        </w:tc>
        <w:tc>
          <w:tcPr>
            <w:tcW w:w="776" w:type="dxa"/>
          </w:tcPr>
          <w:p w14:paraId="42B967E3">
            <w:pPr>
              <w:autoSpaceDE w:val="0"/>
              <w:autoSpaceDN w:val="0"/>
              <w:adjustRightInd w:val="0"/>
              <w:snapToGrid w:val="0"/>
              <w:jc w:val="left"/>
              <w:rPr>
                <w:rFonts w:ascii="宋体" w:hAnsi="宋体"/>
                <w:kern w:val="0"/>
                <w:szCs w:val="21"/>
                <w:highlight w:val="none"/>
              </w:rPr>
            </w:pPr>
          </w:p>
        </w:tc>
        <w:tc>
          <w:tcPr>
            <w:tcW w:w="1167" w:type="dxa"/>
          </w:tcPr>
          <w:p w14:paraId="2EE0C388">
            <w:pPr>
              <w:autoSpaceDE w:val="0"/>
              <w:autoSpaceDN w:val="0"/>
              <w:adjustRightInd w:val="0"/>
              <w:snapToGrid w:val="0"/>
              <w:jc w:val="left"/>
              <w:rPr>
                <w:rFonts w:ascii="宋体" w:hAnsi="宋体"/>
                <w:kern w:val="0"/>
                <w:szCs w:val="21"/>
                <w:highlight w:val="none"/>
              </w:rPr>
            </w:pPr>
          </w:p>
        </w:tc>
        <w:tc>
          <w:tcPr>
            <w:tcW w:w="776" w:type="dxa"/>
          </w:tcPr>
          <w:p w14:paraId="7BB80E24">
            <w:pPr>
              <w:autoSpaceDE w:val="0"/>
              <w:autoSpaceDN w:val="0"/>
              <w:adjustRightInd w:val="0"/>
              <w:snapToGrid w:val="0"/>
              <w:jc w:val="left"/>
              <w:rPr>
                <w:rFonts w:ascii="宋体" w:hAnsi="宋体"/>
                <w:kern w:val="0"/>
                <w:szCs w:val="21"/>
                <w:highlight w:val="none"/>
              </w:rPr>
            </w:pPr>
          </w:p>
        </w:tc>
        <w:tc>
          <w:tcPr>
            <w:tcW w:w="778" w:type="dxa"/>
          </w:tcPr>
          <w:p w14:paraId="2BDB4EA4">
            <w:pPr>
              <w:autoSpaceDE w:val="0"/>
              <w:autoSpaceDN w:val="0"/>
              <w:adjustRightInd w:val="0"/>
              <w:snapToGrid w:val="0"/>
              <w:jc w:val="left"/>
              <w:rPr>
                <w:rFonts w:ascii="宋体" w:hAnsi="宋体"/>
                <w:kern w:val="0"/>
                <w:szCs w:val="21"/>
                <w:highlight w:val="none"/>
              </w:rPr>
            </w:pPr>
          </w:p>
        </w:tc>
        <w:tc>
          <w:tcPr>
            <w:tcW w:w="776" w:type="dxa"/>
          </w:tcPr>
          <w:p w14:paraId="10E578AA">
            <w:pPr>
              <w:autoSpaceDE w:val="0"/>
              <w:autoSpaceDN w:val="0"/>
              <w:adjustRightInd w:val="0"/>
              <w:snapToGrid w:val="0"/>
              <w:jc w:val="left"/>
              <w:rPr>
                <w:rFonts w:ascii="宋体" w:hAnsi="宋体"/>
                <w:kern w:val="0"/>
                <w:szCs w:val="21"/>
                <w:highlight w:val="none"/>
              </w:rPr>
            </w:pPr>
          </w:p>
        </w:tc>
        <w:tc>
          <w:tcPr>
            <w:tcW w:w="2723" w:type="dxa"/>
          </w:tcPr>
          <w:p w14:paraId="105E3529">
            <w:pPr>
              <w:autoSpaceDE w:val="0"/>
              <w:autoSpaceDN w:val="0"/>
              <w:adjustRightInd w:val="0"/>
              <w:snapToGrid w:val="0"/>
              <w:jc w:val="left"/>
              <w:rPr>
                <w:rFonts w:ascii="宋体" w:hAnsi="宋体"/>
                <w:kern w:val="0"/>
                <w:szCs w:val="21"/>
                <w:highlight w:val="none"/>
              </w:rPr>
            </w:pPr>
          </w:p>
        </w:tc>
        <w:tc>
          <w:tcPr>
            <w:tcW w:w="896" w:type="dxa"/>
          </w:tcPr>
          <w:p w14:paraId="1DD347E0">
            <w:pPr>
              <w:autoSpaceDE w:val="0"/>
              <w:autoSpaceDN w:val="0"/>
              <w:adjustRightInd w:val="0"/>
              <w:snapToGrid w:val="0"/>
              <w:jc w:val="left"/>
              <w:rPr>
                <w:rFonts w:ascii="宋体" w:hAnsi="宋体"/>
                <w:kern w:val="0"/>
                <w:szCs w:val="21"/>
                <w:highlight w:val="none"/>
              </w:rPr>
            </w:pPr>
          </w:p>
        </w:tc>
      </w:tr>
      <w:tr w14:paraId="75B33D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71A9B71">
            <w:pPr>
              <w:autoSpaceDE w:val="0"/>
              <w:autoSpaceDN w:val="0"/>
              <w:adjustRightInd w:val="0"/>
              <w:snapToGrid w:val="0"/>
              <w:jc w:val="left"/>
              <w:rPr>
                <w:rFonts w:ascii="宋体" w:hAnsi="宋体"/>
                <w:kern w:val="0"/>
                <w:szCs w:val="21"/>
                <w:highlight w:val="none"/>
              </w:rPr>
            </w:pPr>
          </w:p>
        </w:tc>
        <w:tc>
          <w:tcPr>
            <w:tcW w:w="734" w:type="dxa"/>
          </w:tcPr>
          <w:p w14:paraId="23955A5C">
            <w:pPr>
              <w:autoSpaceDE w:val="0"/>
              <w:autoSpaceDN w:val="0"/>
              <w:adjustRightInd w:val="0"/>
              <w:snapToGrid w:val="0"/>
              <w:jc w:val="left"/>
              <w:rPr>
                <w:rFonts w:ascii="宋体" w:hAnsi="宋体"/>
                <w:kern w:val="0"/>
                <w:szCs w:val="21"/>
                <w:highlight w:val="none"/>
              </w:rPr>
            </w:pPr>
          </w:p>
        </w:tc>
        <w:tc>
          <w:tcPr>
            <w:tcW w:w="776" w:type="dxa"/>
          </w:tcPr>
          <w:p w14:paraId="5486E8EB">
            <w:pPr>
              <w:autoSpaceDE w:val="0"/>
              <w:autoSpaceDN w:val="0"/>
              <w:adjustRightInd w:val="0"/>
              <w:snapToGrid w:val="0"/>
              <w:jc w:val="left"/>
              <w:rPr>
                <w:rFonts w:ascii="宋体" w:hAnsi="宋体"/>
                <w:kern w:val="0"/>
                <w:szCs w:val="21"/>
                <w:highlight w:val="none"/>
              </w:rPr>
            </w:pPr>
          </w:p>
        </w:tc>
        <w:tc>
          <w:tcPr>
            <w:tcW w:w="1167" w:type="dxa"/>
          </w:tcPr>
          <w:p w14:paraId="204A9726">
            <w:pPr>
              <w:autoSpaceDE w:val="0"/>
              <w:autoSpaceDN w:val="0"/>
              <w:adjustRightInd w:val="0"/>
              <w:snapToGrid w:val="0"/>
              <w:jc w:val="left"/>
              <w:rPr>
                <w:rFonts w:ascii="宋体" w:hAnsi="宋体"/>
                <w:kern w:val="0"/>
                <w:szCs w:val="21"/>
                <w:highlight w:val="none"/>
              </w:rPr>
            </w:pPr>
          </w:p>
        </w:tc>
        <w:tc>
          <w:tcPr>
            <w:tcW w:w="776" w:type="dxa"/>
          </w:tcPr>
          <w:p w14:paraId="385067FB">
            <w:pPr>
              <w:autoSpaceDE w:val="0"/>
              <w:autoSpaceDN w:val="0"/>
              <w:adjustRightInd w:val="0"/>
              <w:snapToGrid w:val="0"/>
              <w:jc w:val="left"/>
              <w:rPr>
                <w:rFonts w:ascii="宋体" w:hAnsi="宋体"/>
                <w:kern w:val="0"/>
                <w:szCs w:val="21"/>
                <w:highlight w:val="none"/>
              </w:rPr>
            </w:pPr>
          </w:p>
        </w:tc>
        <w:tc>
          <w:tcPr>
            <w:tcW w:w="778" w:type="dxa"/>
          </w:tcPr>
          <w:p w14:paraId="3F9083A4">
            <w:pPr>
              <w:autoSpaceDE w:val="0"/>
              <w:autoSpaceDN w:val="0"/>
              <w:adjustRightInd w:val="0"/>
              <w:snapToGrid w:val="0"/>
              <w:jc w:val="left"/>
              <w:rPr>
                <w:rFonts w:ascii="宋体" w:hAnsi="宋体"/>
                <w:kern w:val="0"/>
                <w:szCs w:val="21"/>
                <w:highlight w:val="none"/>
              </w:rPr>
            </w:pPr>
          </w:p>
        </w:tc>
        <w:tc>
          <w:tcPr>
            <w:tcW w:w="776" w:type="dxa"/>
          </w:tcPr>
          <w:p w14:paraId="3502C274">
            <w:pPr>
              <w:autoSpaceDE w:val="0"/>
              <w:autoSpaceDN w:val="0"/>
              <w:adjustRightInd w:val="0"/>
              <w:snapToGrid w:val="0"/>
              <w:jc w:val="left"/>
              <w:rPr>
                <w:rFonts w:ascii="宋体" w:hAnsi="宋体"/>
                <w:kern w:val="0"/>
                <w:szCs w:val="21"/>
                <w:highlight w:val="none"/>
              </w:rPr>
            </w:pPr>
          </w:p>
        </w:tc>
        <w:tc>
          <w:tcPr>
            <w:tcW w:w="2723" w:type="dxa"/>
          </w:tcPr>
          <w:p w14:paraId="547C6BA8">
            <w:pPr>
              <w:autoSpaceDE w:val="0"/>
              <w:autoSpaceDN w:val="0"/>
              <w:adjustRightInd w:val="0"/>
              <w:snapToGrid w:val="0"/>
              <w:jc w:val="left"/>
              <w:rPr>
                <w:rFonts w:ascii="宋体" w:hAnsi="宋体"/>
                <w:kern w:val="0"/>
                <w:szCs w:val="21"/>
                <w:highlight w:val="none"/>
              </w:rPr>
            </w:pPr>
          </w:p>
        </w:tc>
        <w:tc>
          <w:tcPr>
            <w:tcW w:w="896" w:type="dxa"/>
          </w:tcPr>
          <w:p w14:paraId="52A9E044">
            <w:pPr>
              <w:autoSpaceDE w:val="0"/>
              <w:autoSpaceDN w:val="0"/>
              <w:adjustRightInd w:val="0"/>
              <w:snapToGrid w:val="0"/>
              <w:jc w:val="left"/>
              <w:rPr>
                <w:rFonts w:ascii="宋体" w:hAnsi="宋体"/>
                <w:kern w:val="0"/>
                <w:szCs w:val="21"/>
                <w:highlight w:val="none"/>
              </w:rPr>
            </w:pPr>
          </w:p>
        </w:tc>
      </w:tr>
      <w:tr w14:paraId="2C9C36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08C3ACA">
            <w:pPr>
              <w:autoSpaceDE w:val="0"/>
              <w:autoSpaceDN w:val="0"/>
              <w:adjustRightInd w:val="0"/>
              <w:snapToGrid w:val="0"/>
              <w:jc w:val="left"/>
              <w:rPr>
                <w:rFonts w:ascii="宋体" w:hAnsi="宋体"/>
                <w:kern w:val="0"/>
                <w:szCs w:val="21"/>
                <w:highlight w:val="none"/>
              </w:rPr>
            </w:pPr>
          </w:p>
        </w:tc>
        <w:tc>
          <w:tcPr>
            <w:tcW w:w="734" w:type="dxa"/>
          </w:tcPr>
          <w:p w14:paraId="04918930">
            <w:pPr>
              <w:autoSpaceDE w:val="0"/>
              <w:autoSpaceDN w:val="0"/>
              <w:adjustRightInd w:val="0"/>
              <w:snapToGrid w:val="0"/>
              <w:jc w:val="left"/>
              <w:rPr>
                <w:rFonts w:ascii="宋体" w:hAnsi="宋体"/>
                <w:kern w:val="0"/>
                <w:szCs w:val="21"/>
                <w:highlight w:val="none"/>
              </w:rPr>
            </w:pPr>
          </w:p>
        </w:tc>
        <w:tc>
          <w:tcPr>
            <w:tcW w:w="776" w:type="dxa"/>
          </w:tcPr>
          <w:p w14:paraId="273B9F23">
            <w:pPr>
              <w:autoSpaceDE w:val="0"/>
              <w:autoSpaceDN w:val="0"/>
              <w:adjustRightInd w:val="0"/>
              <w:snapToGrid w:val="0"/>
              <w:jc w:val="left"/>
              <w:rPr>
                <w:rFonts w:ascii="宋体" w:hAnsi="宋体"/>
                <w:kern w:val="0"/>
                <w:szCs w:val="21"/>
                <w:highlight w:val="none"/>
              </w:rPr>
            </w:pPr>
          </w:p>
        </w:tc>
        <w:tc>
          <w:tcPr>
            <w:tcW w:w="1167" w:type="dxa"/>
          </w:tcPr>
          <w:p w14:paraId="46AD86E5">
            <w:pPr>
              <w:autoSpaceDE w:val="0"/>
              <w:autoSpaceDN w:val="0"/>
              <w:adjustRightInd w:val="0"/>
              <w:snapToGrid w:val="0"/>
              <w:jc w:val="left"/>
              <w:rPr>
                <w:rFonts w:ascii="宋体" w:hAnsi="宋体"/>
                <w:kern w:val="0"/>
                <w:szCs w:val="21"/>
                <w:highlight w:val="none"/>
              </w:rPr>
            </w:pPr>
          </w:p>
        </w:tc>
        <w:tc>
          <w:tcPr>
            <w:tcW w:w="776" w:type="dxa"/>
          </w:tcPr>
          <w:p w14:paraId="1C5994A6">
            <w:pPr>
              <w:autoSpaceDE w:val="0"/>
              <w:autoSpaceDN w:val="0"/>
              <w:adjustRightInd w:val="0"/>
              <w:snapToGrid w:val="0"/>
              <w:jc w:val="left"/>
              <w:rPr>
                <w:rFonts w:ascii="宋体" w:hAnsi="宋体"/>
                <w:kern w:val="0"/>
                <w:szCs w:val="21"/>
                <w:highlight w:val="none"/>
              </w:rPr>
            </w:pPr>
          </w:p>
        </w:tc>
        <w:tc>
          <w:tcPr>
            <w:tcW w:w="778" w:type="dxa"/>
          </w:tcPr>
          <w:p w14:paraId="607367E6">
            <w:pPr>
              <w:autoSpaceDE w:val="0"/>
              <w:autoSpaceDN w:val="0"/>
              <w:adjustRightInd w:val="0"/>
              <w:snapToGrid w:val="0"/>
              <w:jc w:val="left"/>
              <w:rPr>
                <w:rFonts w:ascii="宋体" w:hAnsi="宋体"/>
                <w:kern w:val="0"/>
                <w:szCs w:val="21"/>
                <w:highlight w:val="none"/>
              </w:rPr>
            </w:pPr>
          </w:p>
        </w:tc>
        <w:tc>
          <w:tcPr>
            <w:tcW w:w="776" w:type="dxa"/>
          </w:tcPr>
          <w:p w14:paraId="3A15BCE6">
            <w:pPr>
              <w:autoSpaceDE w:val="0"/>
              <w:autoSpaceDN w:val="0"/>
              <w:adjustRightInd w:val="0"/>
              <w:snapToGrid w:val="0"/>
              <w:jc w:val="left"/>
              <w:rPr>
                <w:rFonts w:ascii="宋体" w:hAnsi="宋体"/>
                <w:kern w:val="0"/>
                <w:szCs w:val="21"/>
                <w:highlight w:val="none"/>
              </w:rPr>
            </w:pPr>
          </w:p>
        </w:tc>
        <w:tc>
          <w:tcPr>
            <w:tcW w:w="2723" w:type="dxa"/>
          </w:tcPr>
          <w:p w14:paraId="3758A366">
            <w:pPr>
              <w:autoSpaceDE w:val="0"/>
              <w:autoSpaceDN w:val="0"/>
              <w:adjustRightInd w:val="0"/>
              <w:snapToGrid w:val="0"/>
              <w:jc w:val="left"/>
              <w:rPr>
                <w:rFonts w:ascii="宋体" w:hAnsi="宋体"/>
                <w:kern w:val="0"/>
                <w:szCs w:val="21"/>
                <w:highlight w:val="none"/>
              </w:rPr>
            </w:pPr>
          </w:p>
        </w:tc>
        <w:tc>
          <w:tcPr>
            <w:tcW w:w="896" w:type="dxa"/>
          </w:tcPr>
          <w:p w14:paraId="77D02120">
            <w:pPr>
              <w:autoSpaceDE w:val="0"/>
              <w:autoSpaceDN w:val="0"/>
              <w:adjustRightInd w:val="0"/>
              <w:snapToGrid w:val="0"/>
              <w:jc w:val="left"/>
              <w:rPr>
                <w:rFonts w:ascii="宋体" w:hAnsi="宋体"/>
                <w:kern w:val="0"/>
                <w:szCs w:val="21"/>
                <w:highlight w:val="none"/>
              </w:rPr>
            </w:pPr>
          </w:p>
        </w:tc>
      </w:tr>
      <w:tr w14:paraId="24DD33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860CDEF">
            <w:pPr>
              <w:autoSpaceDE w:val="0"/>
              <w:autoSpaceDN w:val="0"/>
              <w:adjustRightInd w:val="0"/>
              <w:snapToGrid w:val="0"/>
              <w:jc w:val="left"/>
              <w:rPr>
                <w:rFonts w:ascii="宋体" w:hAnsi="宋体"/>
                <w:kern w:val="0"/>
                <w:szCs w:val="21"/>
                <w:highlight w:val="none"/>
              </w:rPr>
            </w:pPr>
          </w:p>
        </w:tc>
        <w:tc>
          <w:tcPr>
            <w:tcW w:w="734" w:type="dxa"/>
          </w:tcPr>
          <w:p w14:paraId="0BAACFE7">
            <w:pPr>
              <w:autoSpaceDE w:val="0"/>
              <w:autoSpaceDN w:val="0"/>
              <w:adjustRightInd w:val="0"/>
              <w:snapToGrid w:val="0"/>
              <w:jc w:val="left"/>
              <w:rPr>
                <w:rFonts w:ascii="宋体" w:hAnsi="宋体"/>
                <w:kern w:val="0"/>
                <w:szCs w:val="21"/>
                <w:highlight w:val="none"/>
              </w:rPr>
            </w:pPr>
          </w:p>
        </w:tc>
        <w:tc>
          <w:tcPr>
            <w:tcW w:w="776" w:type="dxa"/>
          </w:tcPr>
          <w:p w14:paraId="6FF210D0">
            <w:pPr>
              <w:autoSpaceDE w:val="0"/>
              <w:autoSpaceDN w:val="0"/>
              <w:adjustRightInd w:val="0"/>
              <w:snapToGrid w:val="0"/>
              <w:jc w:val="left"/>
              <w:rPr>
                <w:rFonts w:ascii="宋体" w:hAnsi="宋体"/>
                <w:kern w:val="0"/>
                <w:szCs w:val="21"/>
                <w:highlight w:val="none"/>
              </w:rPr>
            </w:pPr>
          </w:p>
        </w:tc>
        <w:tc>
          <w:tcPr>
            <w:tcW w:w="1167" w:type="dxa"/>
          </w:tcPr>
          <w:p w14:paraId="10B49059">
            <w:pPr>
              <w:autoSpaceDE w:val="0"/>
              <w:autoSpaceDN w:val="0"/>
              <w:adjustRightInd w:val="0"/>
              <w:snapToGrid w:val="0"/>
              <w:jc w:val="left"/>
              <w:rPr>
                <w:rFonts w:ascii="宋体" w:hAnsi="宋体"/>
                <w:kern w:val="0"/>
                <w:szCs w:val="21"/>
                <w:highlight w:val="none"/>
              </w:rPr>
            </w:pPr>
          </w:p>
        </w:tc>
        <w:tc>
          <w:tcPr>
            <w:tcW w:w="776" w:type="dxa"/>
          </w:tcPr>
          <w:p w14:paraId="4CF6A9DF">
            <w:pPr>
              <w:autoSpaceDE w:val="0"/>
              <w:autoSpaceDN w:val="0"/>
              <w:adjustRightInd w:val="0"/>
              <w:snapToGrid w:val="0"/>
              <w:jc w:val="left"/>
              <w:rPr>
                <w:rFonts w:ascii="宋体" w:hAnsi="宋体"/>
                <w:kern w:val="0"/>
                <w:szCs w:val="21"/>
                <w:highlight w:val="none"/>
              </w:rPr>
            </w:pPr>
          </w:p>
        </w:tc>
        <w:tc>
          <w:tcPr>
            <w:tcW w:w="778" w:type="dxa"/>
          </w:tcPr>
          <w:p w14:paraId="2184E546">
            <w:pPr>
              <w:autoSpaceDE w:val="0"/>
              <w:autoSpaceDN w:val="0"/>
              <w:adjustRightInd w:val="0"/>
              <w:snapToGrid w:val="0"/>
              <w:jc w:val="left"/>
              <w:rPr>
                <w:rFonts w:ascii="宋体" w:hAnsi="宋体"/>
                <w:kern w:val="0"/>
                <w:szCs w:val="21"/>
                <w:highlight w:val="none"/>
              </w:rPr>
            </w:pPr>
          </w:p>
        </w:tc>
        <w:tc>
          <w:tcPr>
            <w:tcW w:w="776" w:type="dxa"/>
          </w:tcPr>
          <w:p w14:paraId="32360CBB">
            <w:pPr>
              <w:autoSpaceDE w:val="0"/>
              <w:autoSpaceDN w:val="0"/>
              <w:adjustRightInd w:val="0"/>
              <w:snapToGrid w:val="0"/>
              <w:jc w:val="left"/>
              <w:rPr>
                <w:rFonts w:ascii="宋体" w:hAnsi="宋体"/>
                <w:kern w:val="0"/>
                <w:szCs w:val="21"/>
                <w:highlight w:val="none"/>
              </w:rPr>
            </w:pPr>
          </w:p>
        </w:tc>
        <w:tc>
          <w:tcPr>
            <w:tcW w:w="2723" w:type="dxa"/>
          </w:tcPr>
          <w:p w14:paraId="366000B2">
            <w:pPr>
              <w:autoSpaceDE w:val="0"/>
              <w:autoSpaceDN w:val="0"/>
              <w:adjustRightInd w:val="0"/>
              <w:snapToGrid w:val="0"/>
              <w:jc w:val="left"/>
              <w:rPr>
                <w:rFonts w:ascii="宋体" w:hAnsi="宋体"/>
                <w:kern w:val="0"/>
                <w:szCs w:val="21"/>
                <w:highlight w:val="none"/>
              </w:rPr>
            </w:pPr>
          </w:p>
        </w:tc>
        <w:tc>
          <w:tcPr>
            <w:tcW w:w="896" w:type="dxa"/>
          </w:tcPr>
          <w:p w14:paraId="3B54C5C4">
            <w:pPr>
              <w:autoSpaceDE w:val="0"/>
              <w:autoSpaceDN w:val="0"/>
              <w:adjustRightInd w:val="0"/>
              <w:snapToGrid w:val="0"/>
              <w:jc w:val="left"/>
              <w:rPr>
                <w:rFonts w:ascii="宋体" w:hAnsi="宋体"/>
                <w:kern w:val="0"/>
                <w:szCs w:val="21"/>
                <w:highlight w:val="none"/>
              </w:rPr>
            </w:pPr>
          </w:p>
        </w:tc>
      </w:tr>
      <w:tr w14:paraId="7E32FA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8F3FEB8">
            <w:pPr>
              <w:autoSpaceDE w:val="0"/>
              <w:autoSpaceDN w:val="0"/>
              <w:adjustRightInd w:val="0"/>
              <w:snapToGrid w:val="0"/>
              <w:jc w:val="left"/>
              <w:rPr>
                <w:rFonts w:ascii="宋体" w:hAnsi="宋体"/>
                <w:kern w:val="0"/>
                <w:szCs w:val="21"/>
                <w:highlight w:val="none"/>
              </w:rPr>
            </w:pPr>
          </w:p>
        </w:tc>
        <w:tc>
          <w:tcPr>
            <w:tcW w:w="734" w:type="dxa"/>
          </w:tcPr>
          <w:p w14:paraId="7734570A">
            <w:pPr>
              <w:autoSpaceDE w:val="0"/>
              <w:autoSpaceDN w:val="0"/>
              <w:adjustRightInd w:val="0"/>
              <w:snapToGrid w:val="0"/>
              <w:jc w:val="left"/>
              <w:rPr>
                <w:rFonts w:ascii="宋体" w:hAnsi="宋体"/>
                <w:kern w:val="0"/>
                <w:szCs w:val="21"/>
                <w:highlight w:val="none"/>
              </w:rPr>
            </w:pPr>
          </w:p>
        </w:tc>
        <w:tc>
          <w:tcPr>
            <w:tcW w:w="776" w:type="dxa"/>
          </w:tcPr>
          <w:p w14:paraId="20053305">
            <w:pPr>
              <w:autoSpaceDE w:val="0"/>
              <w:autoSpaceDN w:val="0"/>
              <w:adjustRightInd w:val="0"/>
              <w:snapToGrid w:val="0"/>
              <w:jc w:val="left"/>
              <w:rPr>
                <w:rFonts w:ascii="宋体" w:hAnsi="宋体"/>
                <w:kern w:val="0"/>
                <w:szCs w:val="21"/>
                <w:highlight w:val="none"/>
              </w:rPr>
            </w:pPr>
          </w:p>
        </w:tc>
        <w:tc>
          <w:tcPr>
            <w:tcW w:w="1167" w:type="dxa"/>
          </w:tcPr>
          <w:p w14:paraId="1EDB684A">
            <w:pPr>
              <w:autoSpaceDE w:val="0"/>
              <w:autoSpaceDN w:val="0"/>
              <w:adjustRightInd w:val="0"/>
              <w:snapToGrid w:val="0"/>
              <w:jc w:val="left"/>
              <w:rPr>
                <w:rFonts w:ascii="宋体" w:hAnsi="宋体"/>
                <w:kern w:val="0"/>
                <w:szCs w:val="21"/>
                <w:highlight w:val="none"/>
              </w:rPr>
            </w:pPr>
          </w:p>
        </w:tc>
        <w:tc>
          <w:tcPr>
            <w:tcW w:w="776" w:type="dxa"/>
          </w:tcPr>
          <w:p w14:paraId="13BF2B7B">
            <w:pPr>
              <w:autoSpaceDE w:val="0"/>
              <w:autoSpaceDN w:val="0"/>
              <w:adjustRightInd w:val="0"/>
              <w:snapToGrid w:val="0"/>
              <w:jc w:val="left"/>
              <w:rPr>
                <w:rFonts w:ascii="宋体" w:hAnsi="宋体"/>
                <w:kern w:val="0"/>
                <w:szCs w:val="21"/>
                <w:highlight w:val="none"/>
              </w:rPr>
            </w:pPr>
          </w:p>
        </w:tc>
        <w:tc>
          <w:tcPr>
            <w:tcW w:w="778" w:type="dxa"/>
          </w:tcPr>
          <w:p w14:paraId="08AD9EB1">
            <w:pPr>
              <w:autoSpaceDE w:val="0"/>
              <w:autoSpaceDN w:val="0"/>
              <w:adjustRightInd w:val="0"/>
              <w:snapToGrid w:val="0"/>
              <w:jc w:val="left"/>
              <w:rPr>
                <w:rFonts w:ascii="宋体" w:hAnsi="宋体"/>
                <w:kern w:val="0"/>
                <w:szCs w:val="21"/>
                <w:highlight w:val="none"/>
              </w:rPr>
            </w:pPr>
          </w:p>
        </w:tc>
        <w:tc>
          <w:tcPr>
            <w:tcW w:w="776" w:type="dxa"/>
          </w:tcPr>
          <w:p w14:paraId="25932A4E">
            <w:pPr>
              <w:autoSpaceDE w:val="0"/>
              <w:autoSpaceDN w:val="0"/>
              <w:adjustRightInd w:val="0"/>
              <w:snapToGrid w:val="0"/>
              <w:jc w:val="left"/>
              <w:rPr>
                <w:rFonts w:ascii="宋体" w:hAnsi="宋体"/>
                <w:kern w:val="0"/>
                <w:szCs w:val="21"/>
                <w:highlight w:val="none"/>
              </w:rPr>
            </w:pPr>
          </w:p>
        </w:tc>
        <w:tc>
          <w:tcPr>
            <w:tcW w:w="2723" w:type="dxa"/>
          </w:tcPr>
          <w:p w14:paraId="5E5E92FC">
            <w:pPr>
              <w:autoSpaceDE w:val="0"/>
              <w:autoSpaceDN w:val="0"/>
              <w:adjustRightInd w:val="0"/>
              <w:snapToGrid w:val="0"/>
              <w:jc w:val="left"/>
              <w:rPr>
                <w:rFonts w:ascii="宋体" w:hAnsi="宋体"/>
                <w:kern w:val="0"/>
                <w:szCs w:val="21"/>
                <w:highlight w:val="none"/>
              </w:rPr>
            </w:pPr>
          </w:p>
        </w:tc>
        <w:tc>
          <w:tcPr>
            <w:tcW w:w="896" w:type="dxa"/>
          </w:tcPr>
          <w:p w14:paraId="2AA251B9">
            <w:pPr>
              <w:autoSpaceDE w:val="0"/>
              <w:autoSpaceDN w:val="0"/>
              <w:adjustRightInd w:val="0"/>
              <w:snapToGrid w:val="0"/>
              <w:jc w:val="left"/>
              <w:rPr>
                <w:rFonts w:ascii="宋体" w:hAnsi="宋体"/>
                <w:kern w:val="0"/>
                <w:szCs w:val="21"/>
                <w:highlight w:val="none"/>
              </w:rPr>
            </w:pPr>
          </w:p>
        </w:tc>
      </w:tr>
      <w:tr w14:paraId="39DCF7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E64E51E">
            <w:pPr>
              <w:autoSpaceDE w:val="0"/>
              <w:autoSpaceDN w:val="0"/>
              <w:adjustRightInd w:val="0"/>
              <w:snapToGrid w:val="0"/>
              <w:jc w:val="left"/>
              <w:rPr>
                <w:rFonts w:ascii="宋体" w:hAnsi="宋体"/>
                <w:kern w:val="0"/>
                <w:szCs w:val="21"/>
                <w:highlight w:val="none"/>
              </w:rPr>
            </w:pPr>
          </w:p>
        </w:tc>
        <w:tc>
          <w:tcPr>
            <w:tcW w:w="734" w:type="dxa"/>
          </w:tcPr>
          <w:p w14:paraId="77F1F21D">
            <w:pPr>
              <w:autoSpaceDE w:val="0"/>
              <w:autoSpaceDN w:val="0"/>
              <w:adjustRightInd w:val="0"/>
              <w:snapToGrid w:val="0"/>
              <w:jc w:val="left"/>
              <w:rPr>
                <w:rFonts w:ascii="宋体" w:hAnsi="宋体"/>
                <w:kern w:val="0"/>
                <w:szCs w:val="21"/>
                <w:highlight w:val="none"/>
              </w:rPr>
            </w:pPr>
          </w:p>
        </w:tc>
        <w:tc>
          <w:tcPr>
            <w:tcW w:w="776" w:type="dxa"/>
          </w:tcPr>
          <w:p w14:paraId="27933F68">
            <w:pPr>
              <w:autoSpaceDE w:val="0"/>
              <w:autoSpaceDN w:val="0"/>
              <w:adjustRightInd w:val="0"/>
              <w:snapToGrid w:val="0"/>
              <w:jc w:val="left"/>
              <w:rPr>
                <w:rFonts w:ascii="宋体" w:hAnsi="宋体"/>
                <w:kern w:val="0"/>
                <w:szCs w:val="21"/>
                <w:highlight w:val="none"/>
              </w:rPr>
            </w:pPr>
          </w:p>
        </w:tc>
        <w:tc>
          <w:tcPr>
            <w:tcW w:w="1167" w:type="dxa"/>
          </w:tcPr>
          <w:p w14:paraId="26771D7E">
            <w:pPr>
              <w:autoSpaceDE w:val="0"/>
              <w:autoSpaceDN w:val="0"/>
              <w:adjustRightInd w:val="0"/>
              <w:snapToGrid w:val="0"/>
              <w:jc w:val="left"/>
              <w:rPr>
                <w:rFonts w:ascii="宋体" w:hAnsi="宋体"/>
                <w:kern w:val="0"/>
                <w:szCs w:val="21"/>
                <w:highlight w:val="none"/>
              </w:rPr>
            </w:pPr>
          </w:p>
        </w:tc>
        <w:tc>
          <w:tcPr>
            <w:tcW w:w="776" w:type="dxa"/>
          </w:tcPr>
          <w:p w14:paraId="7E18E797">
            <w:pPr>
              <w:autoSpaceDE w:val="0"/>
              <w:autoSpaceDN w:val="0"/>
              <w:adjustRightInd w:val="0"/>
              <w:snapToGrid w:val="0"/>
              <w:jc w:val="left"/>
              <w:rPr>
                <w:rFonts w:ascii="宋体" w:hAnsi="宋体"/>
                <w:kern w:val="0"/>
                <w:szCs w:val="21"/>
                <w:highlight w:val="none"/>
              </w:rPr>
            </w:pPr>
          </w:p>
        </w:tc>
        <w:tc>
          <w:tcPr>
            <w:tcW w:w="778" w:type="dxa"/>
          </w:tcPr>
          <w:p w14:paraId="48FACD07">
            <w:pPr>
              <w:autoSpaceDE w:val="0"/>
              <w:autoSpaceDN w:val="0"/>
              <w:adjustRightInd w:val="0"/>
              <w:snapToGrid w:val="0"/>
              <w:jc w:val="left"/>
              <w:rPr>
                <w:rFonts w:ascii="宋体" w:hAnsi="宋体"/>
                <w:kern w:val="0"/>
                <w:szCs w:val="21"/>
                <w:highlight w:val="none"/>
              </w:rPr>
            </w:pPr>
          </w:p>
        </w:tc>
        <w:tc>
          <w:tcPr>
            <w:tcW w:w="776" w:type="dxa"/>
          </w:tcPr>
          <w:p w14:paraId="7BC7F5D3">
            <w:pPr>
              <w:autoSpaceDE w:val="0"/>
              <w:autoSpaceDN w:val="0"/>
              <w:adjustRightInd w:val="0"/>
              <w:snapToGrid w:val="0"/>
              <w:jc w:val="left"/>
              <w:rPr>
                <w:rFonts w:ascii="宋体" w:hAnsi="宋体"/>
                <w:kern w:val="0"/>
                <w:szCs w:val="21"/>
                <w:highlight w:val="none"/>
              </w:rPr>
            </w:pPr>
          </w:p>
        </w:tc>
        <w:tc>
          <w:tcPr>
            <w:tcW w:w="2723" w:type="dxa"/>
          </w:tcPr>
          <w:p w14:paraId="77E00109">
            <w:pPr>
              <w:autoSpaceDE w:val="0"/>
              <w:autoSpaceDN w:val="0"/>
              <w:adjustRightInd w:val="0"/>
              <w:snapToGrid w:val="0"/>
              <w:jc w:val="left"/>
              <w:rPr>
                <w:rFonts w:ascii="宋体" w:hAnsi="宋体"/>
                <w:kern w:val="0"/>
                <w:szCs w:val="21"/>
                <w:highlight w:val="none"/>
              </w:rPr>
            </w:pPr>
          </w:p>
        </w:tc>
        <w:tc>
          <w:tcPr>
            <w:tcW w:w="896" w:type="dxa"/>
          </w:tcPr>
          <w:p w14:paraId="510455E6">
            <w:pPr>
              <w:autoSpaceDE w:val="0"/>
              <w:autoSpaceDN w:val="0"/>
              <w:adjustRightInd w:val="0"/>
              <w:snapToGrid w:val="0"/>
              <w:jc w:val="left"/>
              <w:rPr>
                <w:rFonts w:ascii="宋体" w:hAnsi="宋体"/>
                <w:kern w:val="0"/>
                <w:szCs w:val="21"/>
                <w:highlight w:val="none"/>
              </w:rPr>
            </w:pPr>
          </w:p>
        </w:tc>
      </w:tr>
      <w:tr w14:paraId="2C7A10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181B8F2">
            <w:pPr>
              <w:autoSpaceDE w:val="0"/>
              <w:autoSpaceDN w:val="0"/>
              <w:adjustRightInd w:val="0"/>
              <w:snapToGrid w:val="0"/>
              <w:jc w:val="left"/>
              <w:rPr>
                <w:rFonts w:ascii="宋体" w:hAnsi="宋体"/>
                <w:kern w:val="0"/>
                <w:szCs w:val="21"/>
                <w:highlight w:val="none"/>
              </w:rPr>
            </w:pPr>
          </w:p>
        </w:tc>
        <w:tc>
          <w:tcPr>
            <w:tcW w:w="734" w:type="dxa"/>
          </w:tcPr>
          <w:p w14:paraId="17531D00">
            <w:pPr>
              <w:autoSpaceDE w:val="0"/>
              <w:autoSpaceDN w:val="0"/>
              <w:adjustRightInd w:val="0"/>
              <w:snapToGrid w:val="0"/>
              <w:jc w:val="left"/>
              <w:rPr>
                <w:rFonts w:ascii="宋体" w:hAnsi="宋体"/>
                <w:kern w:val="0"/>
                <w:szCs w:val="21"/>
                <w:highlight w:val="none"/>
              </w:rPr>
            </w:pPr>
          </w:p>
        </w:tc>
        <w:tc>
          <w:tcPr>
            <w:tcW w:w="776" w:type="dxa"/>
          </w:tcPr>
          <w:p w14:paraId="2A6BB243">
            <w:pPr>
              <w:autoSpaceDE w:val="0"/>
              <w:autoSpaceDN w:val="0"/>
              <w:adjustRightInd w:val="0"/>
              <w:snapToGrid w:val="0"/>
              <w:jc w:val="left"/>
              <w:rPr>
                <w:rFonts w:ascii="宋体" w:hAnsi="宋体"/>
                <w:kern w:val="0"/>
                <w:szCs w:val="21"/>
                <w:highlight w:val="none"/>
              </w:rPr>
            </w:pPr>
          </w:p>
        </w:tc>
        <w:tc>
          <w:tcPr>
            <w:tcW w:w="1167" w:type="dxa"/>
          </w:tcPr>
          <w:p w14:paraId="14126D8D">
            <w:pPr>
              <w:autoSpaceDE w:val="0"/>
              <w:autoSpaceDN w:val="0"/>
              <w:adjustRightInd w:val="0"/>
              <w:snapToGrid w:val="0"/>
              <w:jc w:val="left"/>
              <w:rPr>
                <w:rFonts w:ascii="宋体" w:hAnsi="宋体"/>
                <w:kern w:val="0"/>
                <w:szCs w:val="21"/>
                <w:highlight w:val="none"/>
              </w:rPr>
            </w:pPr>
          </w:p>
        </w:tc>
        <w:tc>
          <w:tcPr>
            <w:tcW w:w="776" w:type="dxa"/>
          </w:tcPr>
          <w:p w14:paraId="6F2E95CD">
            <w:pPr>
              <w:autoSpaceDE w:val="0"/>
              <w:autoSpaceDN w:val="0"/>
              <w:adjustRightInd w:val="0"/>
              <w:snapToGrid w:val="0"/>
              <w:jc w:val="left"/>
              <w:rPr>
                <w:rFonts w:ascii="宋体" w:hAnsi="宋体"/>
                <w:kern w:val="0"/>
                <w:szCs w:val="21"/>
                <w:highlight w:val="none"/>
              </w:rPr>
            </w:pPr>
          </w:p>
        </w:tc>
        <w:tc>
          <w:tcPr>
            <w:tcW w:w="778" w:type="dxa"/>
          </w:tcPr>
          <w:p w14:paraId="3666A518">
            <w:pPr>
              <w:autoSpaceDE w:val="0"/>
              <w:autoSpaceDN w:val="0"/>
              <w:adjustRightInd w:val="0"/>
              <w:snapToGrid w:val="0"/>
              <w:jc w:val="left"/>
              <w:rPr>
                <w:rFonts w:ascii="宋体" w:hAnsi="宋体"/>
                <w:kern w:val="0"/>
                <w:szCs w:val="21"/>
                <w:highlight w:val="none"/>
              </w:rPr>
            </w:pPr>
          </w:p>
        </w:tc>
        <w:tc>
          <w:tcPr>
            <w:tcW w:w="776" w:type="dxa"/>
          </w:tcPr>
          <w:p w14:paraId="6476D4F3">
            <w:pPr>
              <w:autoSpaceDE w:val="0"/>
              <w:autoSpaceDN w:val="0"/>
              <w:adjustRightInd w:val="0"/>
              <w:snapToGrid w:val="0"/>
              <w:jc w:val="left"/>
              <w:rPr>
                <w:rFonts w:ascii="宋体" w:hAnsi="宋体"/>
                <w:kern w:val="0"/>
                <w:szCs w:val="21"/>
                <w:highlight w:val="none"/>
              </w:rPr>
            </w:pPr>
          </w:p>
        </w:tc>
        <w:tc>
          <w:tcPr>
            <w:tcW w:w="2723" w:type="dxa"/>
          </w:tcPr>
          <w:p w14:paraId="66B9E9F0">
            <w:pPr>
              <w:autoSpaceDE w:val="0"/>
              <w:autoSpaceDN w:val="0"/>
              <w:adjustRightInd w:val="0"/>
              <w:snapToGrid w:val="0"/>
              <w:jc w:val="left"/>
              <w:rPr>
                <w:rFonts w:ascii="宋体" w:hAnsi="宋体"/>
                <w:kern w:val="0"/>
                <w:szCs w:val="21"/>
                <w:highlight w:val="none"/>
              </w:rPr>
            </w:pPr>
          </w:p>
        </w:tc>
        <w:tc>
          <w:tcPr>
            <w:tcW w:w="896" w:type="dxa"/>
          </w:tcPr>
          <w:p w14:paraId="29338C5E">
            <w:pPr>
              <w:autoSpaceDE w:val="0"/>
              <w:autoSpaceDN w:val="0"/>
              <w:adjustRightInd w:val="0"/>
              <w:snapToGrid w:val="0"/>
              <w:jc w:val="left"/>
              <w:rPr>
                <w:rFonts w:ascii="宋体" w:hAnsi="宋体"/>
                <w:kern w:val="0"/>
                <w:szCs w:val="21"/>
                <w:highlight w:val="none"/>
              </w:rPr>
            </w:pPr>
          </w:p>
        </w:tc>
      </w:tr>
      <w:tr w14:paraId="2D72AB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863A24">
            <w:pPr>
              <w:autoSpaceDE w:val="0"/>
              <w:autoSpaceDN w:val="0"/>
              <w:adjustRightInd w:val="0"/>
              <w:snapToGrid w:val="0"/>
              <w:jc w:val="left"/>
              <w:rPr>
                <w:rFonts w:ascii="宋体" w:hAnsi="宋体"/>
                <w:kern w:val="0"/>
                <w:szCs w:val="21"/>
                <w:highlight w:val="none"/>
              </w:rPr>
            </w:pPr>
          </w:p>
        </w:tc>
        <w:tc>
          <w:tcPr>
            <w:tcW w:w="734" w:type="dxa"/>
          </w:tcPr>
          <w:p w14:paraId="214E450A">
            <w:pPr>
              <w:autoSpaceDE w:val="0"/>
              <w:autoSpaceDN w:val="0"/>
              <w:adjustRightInd w:val="0"/>
              <w:snapToGrid w:val="0"/>
              <w:jc w:val="left"/>
              <w:rPr>
                <w:rFonts w:ascii="宋体" w:hAnsi="宋体"/>
                <w:kern w:val="0"/>
                <w:szCs w:val="21"/>
                <w:highlight w:val="none"/>
              </w:rPr>
            </w:pPr>
          </w:p>
        </w:tc>
        <w:tc>
          <w:tcPr>
            <w:tcW w:w="776" w:type="dxa"/>
          </w:tcPr>
          <w:p w14:paraId="31E6DC58">
            <w:pPr>
              <w:autoSpaceDE w:val="0"/>
              <w:autoSpaceDN w:val="0"/>
              <w:adjustRightInd w:val="0"/>
              <w:snapToGrid w:val="0"/>
              <w:jc w:val="left"/>
              <w:rPr>
                <w:rFonts w:ascii="宋体" w:hAnsi="宋体"/>
                <w:kern w:val="0"/>
                <w:szCs w:val="21"/>
                <w:highlight w:val="none"/>
              </w:rPr>
            </w:pPr>
          </w:p>
        </w:tc>
        <w:tc>
          <w:tcPr>
            <w:tcW w:w="1167" w:type="dxa"/>
          </w:tcPr>
          <w:p w14:paraId="146840BA">
            <w:pPr>
              <w:autoSpaceDE w:val="0"/>
              <w:autoSpaceDN w:val="0"/>
              <w:adjustRightInd w:val="0"/>
              <w:snapToGrid w:val="0"/>
              <w:jc w:val="left"/>
              <w:rPr>
                <w:rFonts w:ascii="宋体" w:hAnsi="宋体"/>
                <w:kern w:val="0"/>
                <w:szCs w:val="21"/>
                <w:highlight w:val="none"/>
              </w:rPr>
            </w:pPr>
          </w:p>
        </w:tc>
        <w:tc>
          <w:tcPr>
            <w:tcW w:w="776" w:type="dxa"/>
          </w:tcPr>
          <w:p w14:paraId="7EEF6C50">
            <w:pPr>
              <w:autoSpaceDE w:val="0"/>
              <w:autoSpaceDN w:val="0"/>
              <w:adjustRightInd w:val="0"/>
              <w:snapToGrid w:val="0"/>
              <w:jc w:val="left"/>
              <w:rPr>
                <w:rFonts w:ascii="宋体" w:hAnsi="宋体"/>
                <w:kern w:val="0"/>
                <w:szCs w:val="21"/>
                <w:highlight w:val="none"/>
              </w:rPr>
            </w:pPr>
          </w:p>
        </w:tc>
        <w:tc>
          <w:tcPr>
            <w:tcW w:w="778" w:type="dxa"/>
          </w:tcPr>
          <w:p w14:paraId="46F3CBCF">
            <w:pPr>
              <w:autoSpaceDE w:val="0"/>
              <w:autoSpaceDN w:val="0"/>
              <w:adjustRightInd w:val="0"/>
              <w:snapToGrid w:val="0"/>
              <w:jc w:val="left"/>
              <w:rPr>
                <w:rFonts w:ascii="宋体" w:hAnsi="宋体"/>
                <w:kern w:val="0"/>
                <w:szCs w:val="21"/>
                <w:highlight w:val="none"/>
              </w:rPr>
            </w:pPr>
          </w:p>
        </w:tc>
        <w:tc>
          <w:tcPr>
            <w:tcW w:w="776" w:type="dxa"/>
          </w:tcPr>
          <w:p w14:paraId="04D92969">
            <w:pPr>
              <w:autoSpaceDE w:val="0"/>
              <w:autoSpaceDN w:val="0"/>
              <w:adjustRightInd w:val="0"/>
              <w:snapToGrid w:val="0"/>
              <w:jc w:val="left"/>
              <w:rPr>
                <w:rFonts w:ascii="宋体" w:hAnsi="宋体"/>
                <w:kern w:val="0"/>
                <w:szCs w:val="21"/>
                <w:highlight w:val="none"/>
              </w:rPr>
            </w:pPr>
          </w:p>
        </w:tc>
        <w:tc>
          <w:tcPr>
            <w:tcW w:w="2723" w:type="dxa"/>
          </w:tcPr>
          <w:p w14:paraId="1EAB80C1">
            <w:pPr>
              <w:autoSpaceDE w:val="0"/>
              <w:autoSpaceDN w:val="0"/>
              <w:adjustRightInd w:val="0"/>
              <w:snapToGrid w:val="0"/>
              <w:jc w:val="left"/>
              <w:rPr>
                <w:rFonts w:ascii="宋体" w:hAnsi="宋体"/>
                <w:kern w:val="0"/>
                <w:szCs w:val="21"/>
                <w:highlight w:val="none"/>
              </w:rPr>
            </w:pPr>
          </w:p>
        </w:tc>
        <w:tc>
          <w:tcPr>
            <w:tcW w:w="896" w:type="dxa"/>
          </w:tcPr>
          <w:p w14:paraId="11054C9F">
            <w:pPr>
              <w:autoSpaceDE w:val="0"/>
              <w:autoSpaceDN w:val="0"/>
              <w:adjustRightInd w:val="0"/>
              <w:snapToGrid w:val="0"/>
              <w:jc w:val="left"/>
              <w:rPr>
                <w:rFonts w:ascii="宋体" w:hAnsi="宋体"/>
                <w:kern w:val="0"/>
                <w:szCs w:val="21"/>
                <w:highlight w:val="none"/>
              </w:rPr>
            </w:pPr>
          </w:p>
        </w:tc>
      </w:tr>
      <w:tr w14:paraId="623F87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7E80753">
            <w:pPr>
              <w:autoSpaceDE w:val="0"/>
              <w:autoSpaceDN w:val="0"/>
              <w:adjustRightInd w:val="0"/>
              <w:snapToGrid w:val="0"/>
              <w:jc w:val="left"/>
              <w:rPr>
                <w:rFonts w:ascii="宋体" w:hAnsi="宋体"/>
                <w:kern w:val="0"/>
                <w:szCs w:val="21"/>
                <w:highlight w:val="none"/>
              </w:rPr>
            </w:pPr>
          </w:p>
        </w:tc>
        <w:tc>
          <w:tcPr>
            <w:tcW w:w="734" w:type="dxa"/>
          </w:tcPr>
          <w:p w14:paraId="617AC194">
            <w:pPr>
              <w:autoSpaceDE w:val="0"/>
              <w:autoSpaceDN w:val="0"/>
              <w:adjustRightInd w:val="0"/>
              <w:snapToGrid w:val="0"/>
              <w:jc w:val="left"/>
              <w:rPr>
                <w:rFonts w:ascii="宋体" w:hAnsi="宋体"/>
                <w:kern w:val="0"/>
                <w:szCs w:val="21"/>
                <w:highlight w:val="none"/>
              </w:rPr>
            </w:pPr>
          </w:p>
        </w:tc>
        <w:tc>
          <w:tcPr>
            <w:tcW w:w="776" w:type="dxa"/>
          </w:tcPr>
          <w:p w14:paraId="37DD57B6">
            <w:pPr>
              <w:autoSpaceDE w:val="0"/>
              <w:autoSpaceDN w:val="0"/>
              <w:adjustRightInd w:val="0"/>
              <w:snapToGrid w:val="0"/>
              <w:jc w:val="left"/>
              <w:rPr>
                <w:rFonts w:ascii="宋体" w:hAnsi="宋体"/>
                <w:kern w:val="0"/>
                <w:szCs w:val="21"/>
                <w:highlight w:val="none"/>
              </w:rPr>
            </w:pPr>
          </w:p>
        </w:tc>
        <w:tc>
          <w:tcPr>
            <w:tcW w:w="1167" w:type="dxa"/>
          </w:tcPr>
          <w:p w14:paraId="2238F345">
            <w:pPr>
              <w:autoSpaceDE w:val="0"/>
              <w:autoSpaceDN w:val="0"/>
              <w:adjustRightInd w:val="0"/>
              <w:snapToGrid w:val="0"/>
              <w:jc w:val="left"/>
              <w:rPr>
                <w:rFonts w:ascii="宋体" w:hAnsi="宋体"/>
                <w:kern w:val="0"/>
                <w:szCs w:val="21"/>
                <w:highlight w:val="none"/>
              </w:rPr>
            </w:pPr>
          </w:p>
        </w:tc>
        <w:tc>
          <w:tcPr>
            <w:tcW w:w="776" w:type="dxa"/>
          </w:tcPr>
          <w:p w14:paraId="38EE3B9B">
            <w:pPr>
              <w:autoSpaceDE w:val="0"/>
              <w:autoSpaceDN w:val="0"/>
              <w:adjustRightInd w:val="0"/>
              <w:snapToGrid w:val="0"/>
              <w:jc w:val="left"/>
              <w:rPr>
                <w:rFonts w:ascii="宋体" w:hAnsi="宋体"/>
                <w:kern w:val="0"/>
                <w:szCs w:val="21"/>
                <w:highlight w:val="none"/>
              </w:rPr>
            </w:pPr>
          </w:p>
        </w:tc>
        <w:tc>
          <w:tcPr>
            <w:tcW w:w="778" w:type="dxa"/>
          </w:tcPr>
          <w:p w14:paraId="2013D69E">
            <w:pPr>
              <w:autoSpaceDE w:val="0"/>
              <w:autoSpaceDN w:val="0"/>
              <w:adjustRightInd w:val="0"/>
              <w:snapToGrid w:val="0"/>
              <w:jc w:val="left"/>
              <w:rPr>
                <w:rFonts w:ascii="宋体" w:hAnsi="宋体"/>
                <w:kern w:val="0"/>
                <w:szCs w:val="21"/>
                <w:highlight w:val="none"/>
              </w:rPr>
            </w:pPr>
          </w:p>
        </w:tc>
        <w:tc>
          <w:tcPr>
            <w:tcW w:w="776" w:type="dxa"/>
          </w:tcPr>
          <w:p w14:paraId="693BDF9F">
            <w:pPr>
              <w:autoSpaceDE w:val="0"/>
              <w:autoSpaceDN w:val="0"/>
              <w:adjustRightInd w:val="0"/>
              <w:snapToGrid w:val="0"/>
              <w:jc w:val="left"/>
              <w:rPr>
                <w:rFonts w:ascii="宋体" w:hAnsi="宋体"/>
                <w:kern w:val="0"/>
                <w:szCs w:val="21"/>
                <w:highlight w:val="none"/>
              </w:rPr>
            </w:pPr>
          </w:p>
        </w:tc>
        <w:tc>
          <w:tcPr>
            <w:tcW w:w="2723" w:type="dxa"/>
          </w:tcPr>
          <w:p w14:paraId="236A07F6">
            <w:pPr>
              <w:autoSpaceDE w:val="0"/>
              <w:autoSpaceDN w:val="0"/>
              <w:adjustRightInd w:val="0"/>
              <w:snapToGrid w:val="0"/>
              <w:jc w:val="left"/>
              <w:rPr>
                <w:rFonts w:ascii="宋体" w:hAnsi="宋体"/>
                <w:kern w:val="0"/>
                <w:szCs w:val="21"/>
                <w:highlight w:val="none"/>
              </w:rPr>
            </w:pPr>
          </w:p>
        </w:tc>
        <w:tc>
          <w:tcPr>
            <w:tcW w:w="896" w:type="dxa"/>
          </w:tcPr>
          <w:p w14:paraId="05F759DD">
            <w:pPr>
              <w:autoSpaceDE w:val="0"/>
              <w:autoSpaceDN w:val="0"/>
              <w:adjustRightInd w:val="0"/>
              <w:snapToGrid w:val="0"/>
              <w:jc w:val="left"/>
              <w:rPr>
                <w:rFonts w:ascii="宋体" w:hAnsi="宋体"/>
                <w:kern w:val="0"/>
                <w:szCs w:val="21"/>
                <w:highlight w:val="none"/>
              </w:rPr>
            </w:pPr>
          </w:p>
        </w:tc>
      </w:tr>
      <w:tr w14:paraId="6D949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06CBD97">
            <w:pPr>
              <w:autoSpaceDE w:val="0"/>
              <w:autoSpaceDN w:val="0"/>
              <w:adjustRightInd w:val="0"/>
              <w:snapToGrid w:val="0"/>
              <w:jc w:val="left"/>
              <w:rPr>
                <w:rFonts w:ascii="宋体" w:hAnsi="宋体"/>
                <w:kern w:val="0"/>
                <w:szCs w:val="21"/>
                <w:highlight w:val="none"/>
              </w:rPr>
            </w:pPr>
          </w:p>
        </w:tc>
        <w:tc>
          <w:tcPr>
            <w:tcW w:w="734" w:type="dxa"/>
          </w:tcPr>
          <w:p w14:paraId="273BFF23">
            <w:pPr>
              <w:autoSpaceDE w:val="0"/>
              <w:autoSpaceDN w:val="0"/>
              <w:adjustRightInd w:val="0"/>
              <w:snapToGrid w:val="0"/>
              <w:jc w:val="left"/>
              <w:rPr>
                <w:rFonts w:ascii="宋体" w:hAnsi="宋体"/>
                <w:kern w:val="0"/>
                <w:szCs w:val="21"/>
                <w:highlight w:val="none"/>
              </w:rPr>
            </w:pPr>
          </w:p>
        </w:tc>
        <w:tc>
          <w:tcPr>
            <w:tcW w:w="776" w:type="dxa"/>
          </w:tcPr>
          <w:p w14:paraId="78F643B5">
            <w:pPr>
              <w:autoSpaceDE w:val="0"/>
              <w:autoSpaceDN w:val="0"/>
              <w:adjustRightInd w:val="0"/>
              <w:snapToGrid w:val="0"/>
              <w:jc w:val="left"/>
              <w:rPr>
                <w:rFonts w:ascii="宋体" w:hAnsi="宋体"/>
                <w:kern w:val="0"/>
                <w:szCs w:val="21"/>
                <w:highlight w:val="none"/>
              </w:rPr>
            </w:pPr>
          </w:p>
        </w:tc>
        <w:tc>
          <w:tcPr>
            <w:tcW w:w="1167" w:type="dxa"/>
          </w:tcPr>
          <w:p w14:paraId="66F9B773">
            <w:pPr>
              <w:autoSpaceDE w:val="0"/>
              <w:autoSpaceDN w:val="0"/>
              <w:adjustRightInd w:val="0"/>
              <w:snapToGrid w:val="0"/>
              <w:jc w:val="left"/>
              <w:rPr>
                <w:rFonts w:ascii="宋体" w:hAnsi="宋体"/>
                <w:kern w:val="0"/>
                <w:szCs w:val="21"/>
                <w:highlight w:val="none"/>
              </w:rPr>
            </w:pPr>
          </w:p>
        </w:tc>
        <w:tc>
          <w:tcPr>
            <w:tcW w:w="776" w:type="dxa"/>
          </w:tcPr>
          <w:p w14:paraId="1B66181C">
            <w:pPr>
              <w:autoSpaceDE w:val="0"/>
              <w:autoSpaceDN w:val="0"/>
              <w:adjustRightInd w:val="0"/>
              <w:snapToGrid w:val="0"/>
              <w:jc w:val="left"/>
              <w:rPr>
                <w:rFonts w:ascii="宋体" w:hAnsi="宋体"/>
                <w:kern w:val="0"/>
                <w:szCs w:val="21"/>
                <w:highlight w:val="none"/>
              </w:rPr>
            </w:pPr>
          </w:p>
        </w:tc>
        <w:tc>
          <w:tcPr>
            <w:tcW w:w="778" w:type="dxa"/>
          </w:tcPr>
          <w:p w14:paraId="43893461">
            <w:pPr>
              <w:autoSpaceDE w:val="0"/>
              <w:autoSpaceDN w:val="0"/>
              <w:adjustRightInd w:val="0"/>
              <w:snapToGrid w:val="0"/>
              <w:jc w:val="left"/>
              <w:rPr>
                <w:rFonts w:ascii="宋体" w:hAnsi="宋体"/>
                <w:kern w:val="0"/>
                <w:szCs w:val="21"/>
                <w:highlight w:val="none"/>
              </w:rPr>
            </w:pPr>
          </w:p>
        </w:tc>
        <w:tc>
          <w:tcPr>
            <w:tcW w:w="776" w:type="dxa"/>
          </w:tcPr>
          <w:p w14:paraId="5E876D27">
            <w:pPr>
              <w:autoSpaceDE w:val="0"/>
              <w:autoSpaceDN w:val="0"/>
              <w:adjustRightInd w:val="0"/>
              <w:snapToGrid w:val="0"/>
              <w:jc w:val="left"/>
              <w:rPr>
                <w:rFonts w:ascii="宋体" w:hAnsi="宋体"/>
                <w:kern w:val="0"/>
                <w:szCs w:val="21"/>
                <w:highlight w:val="none"/>
              </w:rPr>
            </w:pPr>
          </w:p>
        </w:tc>
        <w:tc>
          <w:tcPr>
            <w:tcW w:w="2723" w:type="dxa"/>
          </w:tcPr>
          <w:p w14:paraId="1DA12A42">
            <w:pPr>
              <w:autoSpaceDE w:val="0"/>
              <w:autoSpaceDN w:val="0"/>
              <w:adjustRightInd w:val="0"/>
              <w:snapToGrid w:val="0"/>
              <w:jc w:val="left"/>
              <w:rPr>
                <w:rFonts w:ascii="宋体" w:hAnsi="宋体"/>
                <w:kern w:val="0"/>
                <w:szCs w:val="21"/>
                <w:highlight w:val="none"/>
              </w:rPr>
            </w:pPr>
          </w:p>
        </w:tc>
        <w:tc>
          <w:tcPr>
            <w:tcW w:w="896" w:type="dxa"/>
          </w:tcPr>
          <w:p w14:paraId="7C658A67">
            <w:pPr>
              <w:autoSpaceDE w:val="0"/>
              <w:autoSpaceDN w:val="0"/>
              <w:adjustRightInd w:val="0"/>
              <w:snapToGrid w:val="0"/>
              <w:jc w:val="left"/>
              <w:rPr>
                <w:rFonts w:ascii="宋体" w:hAnsi="宋体"/>
                <w:kern w:val="0"/>
                <w:szCs w:val="21"/>
                <w:highlight w:val="none"/>
              </w:rPr>
            </w:pPr>
          </w:p>
        </w:tc>
      </w:tr>
      <w:tr w14:paraId="3F2E92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0CC57B2">
            <w:pPr>
              <w:autoSpaceDE w:val="0"/>
              <w:autoSpaceDN w:val="0"/>
              <w:adjustRightInd w:val="0"/>
              <w:snapToGrid w:val="0"/>
              <w:jc w:val="left"/>
              <w:rPr>
                <w:rFonts w:ascii="宋体" w:hAnsi="宋体"/>
                <w:kern w:val="0"/>
                <w:szCs w:val="21"/>
                <w:highlight w:val="none"/>
              </w:rPr>
            </w:pPr>
          </w:p>
        </w:tc>
        <w:tc>
          <w:tcPr>
            <w:tcW w:w="734" w:type="dxa"/>
          </w:tcPr>
          <w:p w14:paraId="6E52C9F9">
            <w:pPr>
              <w:autoSpaceDE w:val="0"/>
              <w:autoSpaceDN w:val="0"/>
              <w:adjustRightInd w:val="0"/>
              <w:snapToGrid w:val="0"/>
              <w:jc w:val="left"/>
              <w:rPr>
                <w:rFonts w:ascii="宋体" w:hAnsi="宋体"/>
                <w:kern w:val="0"/>
                <w:szCs w:val="21"/>
                <w:highlight w:val="none"/>
              </w:rPr>
            </w:pPr>
          </w:p>
        </w:tc>
        <w:tc>
          <w:tcPr>
            <w:tcW w:w="776" w:type="dxa"/>
          </w:tcPr>
          <w:p w14:paraId="5AC1D5A8">
            <w:pPr>
              <w:autoSpaceDE w:val="0"/>
              <w:autoSpaceDN w:val="0"/>
              <w:adjustRightInd w:val="0"/>
              <w:snapToGrid w:val="0"/>
              <w:jc w:val="left"/>
              <w:rPr>
                <w:rFonts w:ascii="宋体" w:hAnsi="宋体"/>
                <w:kern w:val="0"/>
                <w:szCs w:val="21"/>
                <w:highlight w:val="none"/>
              </w:rPr>
            </w:pPr>
          </w:p>
        </w:tc>
        <w:tc>
          <w:tcPr>
            <w:tcW w:w="1167" w:type="dxa"/>
          </w:tcPr>
          <w:p w14:paraId="78F774C8">
            <w:pPr>
              <w:autoSpaceDE w:val="0"/>
              <w:autoSpaceDN w:val="0"/>
              <w:adjustRightInd w:val="0"/>
              <w:snapToGrid w:val="0"/>
              <w:jc w:val="left"/>
              <w:rPr>
                <w:rFonts w:ascii="宋体" w:hAnsi="宋体"/>
                <w:kern w:val="0"/>
                <w:szCs w:val="21"/>
                <w:highlight w:val="none"/>
              </w:rPr>
            </w:pPr>
          </w:p>
        </w:tc>
        <w:tc>
          <w:tcPr>
            <w:tcW w:w="776" w:type="dxa"/>
          </w:tcPr>
          <w:p w14:paraId="47261475">
            <w:pPr>
              <w:autoSpaceDE w:val="0"/>
              <w:autoSpaceDN w:val="0"/>
              <w:adjustRightInd w:val="0"/>
              <w:snapToGrid w:val="0"/>
              <w:jc w:val="left"/>
              <w:rPr>
                <w:rFonts w:ascii="宋体" w:hAnsi="宋体"/>
                <w:kern w:val="0"/>
                <w:szCs w:val="21"/>
                <w:highlight w:val="none"/>
              </w:rPr>
            </w:pPr>
          </w:p>
        </w:tc>
        <w:tc>
          <w:tcPr>
            <w:tcW w:w="778" w:type="dxa"/>
          </w:tcPr>
          <w:p w14:paraId="305447F7">
            <w:pPr>
              <w:autoSpaceDE w:val="0"/>
              <w:autoSpaceDN w:val="0"/>
              <w:adjustRightInd w:val="0"/>
              <w:snapToGrid w:val="0"/>
              <w:jc w:val="left"/>
              <w:rPr>
                <w:rFonts w:ascii="宋体" w:hAnsi="宋体"/>
                <w:kern w:val="0"/>
                <w:szCs w:val="21"/>
                <w:highlight w:val="none"/>
              </w:rPr>
            </w:pPr>
          </w:p>
        </w:tc>
        <w:tc>
          <w:tcPr>
            <w:tcW w:w="776" w:type="dxa"/>
          </w:tcPr>
          <w:p w14:paraId="59B51468">
            <w:pPr>
              <w:autoSpaceDE w:val="0"/>
              <w:autoSpaceDN w:val="0"/>
              <w:adjustRightInd w:val="0"/>
              <w:snapToGrid w:val="0"/>
              <w:jc w:val="left"/>
              <w:rPr>
                <w:rFonts w:ascii="宋体" w:hAnsi="宋体"/>
                <w:kern w:val="0"/>
                <w:szCs w:val="21"/>
                <w:highlight w:val="none"/>
              </w:rPr>
            </w:pPr>
          </w:p>
        </w:tc>
        <w:tc>
          <w:tcPr>
            <w:tcW w:w="2723" w:type="dxa"/>
          </w:tcPr>
          <w:p w14:paraId="2E21BC39">
            <w:pPr>
              <w:autoSpaceDE w:val="0"/>
              <w:autoSpaceDN w:val="0"/>
              <w:adjustRightInd w:val="0"/>
              <w:snapToGrid w:val="0"/>
              <w:jc w:val="left"/>
              <w:rPr>
                <w:rFonts w:ascii="宋体" w:hAnsi="宋体"/>
                <w:kern w:val="0"/>
                <w:szCs w:val="21"/>
                <w:highlight w:val="none"/>
              </w:rPr>
            </w:pPr>
          </w:p>
        </w:tc>
        <w:tc>
          <w:tcPr>
            <w:tcW w:w="896" w:type="dxa"/>
          </w:tcPr>
          <w:p w14:paraId="0ED7BDAA">
            <w:pPr>
              <w:autoSpaceDE w:val="0"/>
              <w:autoSpaceDN w:val="0"/>
              <w:adjustRightInd w:val="0"/>
              <w:snapToGrid w:val="0"/>
              <w:jc w:val="left"/>
              <w:rPr>
                <w:rFonts w:ascii="宋体" w:hAnsi="宋体"/>
                <w:kern w:val="0"/>
                <w:szCs w:val="21"/>
                <w:highlight w:val="none"/>
              </w:rPr>
            </w:pPr>
          </w:p>
        </w:tc>
      </w:tr>
      <w:tr w14:paraId="36545C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F194502">
            <w:pPr>
              <w:autoSpaceDE w:val="0"/>
              <w:autoSpaceDN w:val="0"/>
              <w:adjustRightInd w:val="0"/>
              <w:snapToGrid w:val="0"/>
              <w:jc w:val="left"/>
              <w:rPr>
                <w:rFonts w:ascii="宋体" w:hAnsi="宋体"/>
                <w:kern w:val="0"/>
                <w:szCs w:val="21"/>
                <w:highlight w:val="none"/>
              </w:rPr>
            </w:pPr>
          </w:p>
        </w:tc>
        <w:tc>
          <w:tcPr>
            <w:tcW w:w="734" w:type="dxa"/>
          </w:tcPr>
          <w:p w14:paraId="0EA75C04">
            <w:pPr>
              <w:autoSpaceDE w:val="0"/>
              <w:autoSpaceDN w:val="0"/>
              <w:adjustRightInd w:val="0"/>
              <w:snapToGrid w:val="0"/>
              <w:jc w:val="left"/>
              <w:rPr>
                <w:rFonts w:ascii="宋体" w:hAnsi="宋体"/>
                <w:kern w:val="0"/>
                <w:szCs w:val="21"/>
                <w:highlight w:val="none"/>
              </w:rPr>
            </w:pPr>
          </w:p>
        </w:tc>
        <w:tc>
          <w:tcPr>
            <w:tcW w:w="776" w:type="dxa"/>
          </w:tcPr>
          <w:p w14:paraId="552430BE">
            <w:pPr>
              <w:autoSpaceDE w:val="0"/>
              <w:autoSpaceDN w:val="0"/>
              <w:adjustRightInd w:val="0"/>
              <w:snapToGrid w:val="0"/>
              <w:jc w:val="left"/>
              <w:rPr>
                <w:rFonts w:ascii="宋体" w:hAnsi="宋体"/>
                <w:kern w:val="0"/>
                <w:szCs w:val="21"/>
                <w:highlight w:val="none"/>
              </w:rPr>
            </w:pPr>
          </w:p>
        </w:tc>
        <w:tc>
          <w:tcPr>
            <w:tcW w:w="1167" w:type="dxa"/>
          </w:tcPr>
          <w:p w14:paraId="058036AD">
            <w:pPr>
              <w:autoSpaceDE w:val="0"/>
              <w:autoSpaceDN w:val="0"/>
              <w:adjustRightInd w:val="0"/>
              <w:snapToGrid w:val="0"/>
              <w:jc w:val="left"/>
              <w:rPr>
                <w:rFonts w:ascii="宋体" w:hAnsi="宋体"/>
                <w:kern w:val="0"/>
                <w:szCs w:val="21"/>
                <w:highlight w:val="none"/>
              </w:rPr>
            </w:pPr>
          </w:p>
        </w:tc>
        <w:tc>
          <w:tcPr>
            <w:tcW w:w="776" w:type="dxa"/>
          </w:tcPr>
          <w:p w14:paraId="0D577696">
            <w:pPr>
              <w:autoSpaceDE w:val="0"/>
              <w:autoSpaceDN w:val="0"/>
              <w:adjustRightInd w:val="0"/>
              <w:snapToGrid w:val="0"/>
              <w:jc w:val="left"/>
              <w:rPr>
                <w:rFonts w:ascii="宋体" w:hAnsi="宋体"/>
                <w:kern w:val="0"/>
                <w:szCs w:val="21"/>
                <w:highlight w:val="none"/>
              </w:rPr>
            </w:pPr>
          </w:p>
        </w:tc>
        <w:tc>
          <w:tcPr>
            <w:tcW w:w="778" w:type="dxa"/>
          </w:tcPr>
          <w:p w14:paraId="21366C40">
            <w:pPr>
              <w:autoSpaceDE w:val="0"/>
              <w:autoSpaceDN w:val="0"/>
              <w:adjustRightInd w:val="0"/>
              <w:snapToGrid w:val="0"/>
              <w:jc w:val="left"/>
              <w:rPr>
                <w:rFonts w:ascii="宋体" w:hAnsi="宋体"/>
                <w:kern w:val="0"/>
                <w:szCs w:val="21"/>
                <w:highlight w:val="none"/>
              </w:rPr>
            </w:pPr>
          </w:p>
        </w:tc>
        <w:tc>
          <w:tcPr>
            <w:tcW w:w="776" w:type="dxa"/>
          </w:tcPr>
          <w:p w14:paraId="327FE03B">
            <w:pPr>
              <w:autoSpaceDE w:val="0"/>
              <w:autoSpaceDN w:val="0"/>
              <w:adjustRightInd w:val="0"/>
              <w:snapToGrid w:val="0"/>
              <w:jc w:val="left"/>
              <w:rPr>
                <w:rFonts w:ascii="宋体" w:hAnsi="宋体"/>
                <w:kern w:val="0"/>
                <w:szCs w:val="21"/>
                <w:highlight w:val="none"/>
              </w:rPr>
            </w:pPr>
          </w:p>
        </w:tc>
        <w:tc>
          <w:tcPr>
            <w:tcW w:w="2723" w:type="dxa"/>
          </w:tcPr>
          <w:p w14:paraId="4A43DC02">
            <w:pPr>
              <w:autoSpaceDE w:val="0"/>
              <w:autoSpaceDN w:val="0"/>
              <w:adjustRightInd w:val="0"/>
              <w:snapToGrid w:val="0"/>
              <w:jc w:val="left"/>
              <w:rPr>
                <w:rFonts w:ascii="宋体" w:hAnsi="宋体"/>
                <w:kern w:val="0"/>
                <w:szCs w:val="21"/>
                <w:highlight w:val="none"/>
              </w:rPr>
            </w:pPr>
          </w:p>
        </w:tc>
        <w:tc>
          <w:tcPr>
            <w:tcW w:w="896" w:type="dxa"/>
          </w:tcPr>
          <w:p w14:paraId="6E6F595A">
            <w:pPr>
              <w:autoSpaceDE w:val="0"/>
              <w:autoSpaceDN w:val="0"/>
              <w:adjustRightInd w:val="0"/>
              <w:snapToGrid w:val="0"/>
              <w:jc w:val="left"/>
              <w:rPr>
                <w:rFonts w:ascii="宋体" w:hAnsi="宋体"/>
                <w:kern w:val="0"/>
                <w:szCs w:val="21"/>
                <w:highlight w:val="none"/>
              </w:rPr>
            </w:pPr>
          </w:p>
        </w:tc>
      </w:tr>
      <w:tr w14:paraId="6FA41F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B33A0C9">
            <w:pPr>
              <w:autoSpaceDE w:val="0"/>
              <w:autoSpaceDN w:val="0"/>
              <w:adjustRightInd w:val="0"/>
              <w:snapToGrid w:val="0"/>
              <w:jc w:val="left"/>
              <w:rPr>
                <w:rFonts w:ascii="宋体" w:hAnsi="宋体"/>
                <w:kern w:val="0"/>
                <w:szCs w:val="21"/>
                <w:highlight w:val="none"/>
              </w:rPr>
            </w:pPr>
          </w:p>
        </w:tc>
        <w:tc>
          <w:tcPr>
            <w:tcW w:w="734" w:type="dxa"/>
          </w:tcPr>
          <w:p w14:paraId="3FFB501D">
            <w:pPr>
              <w:autoSpaceDE w:val="0"/>
              <w:autoSpaceDN w:val="0"/>
              <w:adjustRightInd w:val="0"/>
              <w:snapToGrid w:val="0"/>
              <w:jc w:val="left"/>
              <w:rPr>
                <w:rFonts w:ascii="宋体" w:hAnsi="宋体"/>
                <w:kern w:val="0"/>
                <w:szCs w:val="21"/>
                <w:highlight w:val="none"/>
              </w:rPr>
            </w:pPr>
          </w:p>
        </w:tc>
        <w:tc>
          <w:tcPr>
            <w:tcW w:w="776" w:type="dxa"/>
          </w:tcPr>
          <w:p w14:paraId="0F2E5E6C">
            <w:pPr>
              <w:autoSpaceDE w:val="0"/>
              <w:autoSpaceDN w:val="0"/>
              <w:adjustRightInd w:val="0"/>
              <w:snapToGrid w:val="0"/>
              <w:jc w:val="left"/>
              <w:rPr>
                <w:rFonts w:ascii="宋体" w:hAnsi="宋体"/>
                <w:kern w:val="0"/>
                <w:szCs w:val="21"/>
                <w:highlight w:val="none"/>
              </w:rPr>
            </w:pPr>
          </w:p>
        </w:tc>
        <w:tc>
          <w:tcPr>
            <w:tcW w:w="1167" w:type="dxa"/>
          </w:tcPr>
          <w:p w14:paraId="088D6816">
            <w:pPr>
              <w:autoSpaceDE w:val="0"/>
              <w:autoSpaceDN w:val="0"/>
              <w:adjustRightInd w:val="0"/>
              <w:snapToGrid w:val="0"/>
              <w:jc w:val="left"/>
              <w:rPr>
                <w:rFonts w:ascii="宋体" w:hAnsi="宋体"/>
                <w:kern w:val="0"/>
                <w:szCs w:val="21"/>
                <w:highlight w:val="none"/>
              </w:rPr>
            </w:pPr>
          </w:p>
        </w:tc>
        <w:tc>
          <w:tcPr>
            <w:tcW w:w="776" w:type="dxa"/>
          </w:tcPr>
          <w:p w14:paraId="30E168C6">
            <w:pPr>
              <w:autoSpaceDE w:val="0"/>
              <w:autoSpaceDN w:val="0"/>
              <w:adjustRightInd w:val="0"/>
              <w:snapToGrid w:val="0"/>
              <w:jc w:val="left"/>
              <w:rPr>
                <w:rFonts w:ascii="宋体" w:hAnsi="宋体"/>
                <w:kern w:val="0"/>
                <w:szCs w:val="21"/>
                <w:highlight w:val="none"/>
              </w:rPr>
            </w:pPr>
          </w:p>
        </w:tc>
        <w:tc>
          <w:tcPr>
            <w:tcW w:w="778" w:type="dxa"/>
          </w:tcPr>
          <w:p w14:paraId="05E4190D">
            <w:pPr>
              <w:autoSpaceDE w:val="0"/>
              <w:autoSpaceDN w:val="0"/>
              <w:adjustRightInd w:val="0"/>
              <w:snapToGrid w:val="0"/>
              <w:jc w:val="left"/>
              <w:rPr>
                <w:rFonts w:ascii="宋体" w:hAnsi="宋体"/>
                <w:kern w:val="0"/>
                <w:szCs w:val="21"/>
                <w:highlight w:val="none"/>
              </w:rPr>
            </w:pPr>
          </w:p>
        </w:tc>
        <w:tc>
          <w:tcPr>
            <w:tcW w:w="776" w:type="dxa"/>
          </w:tcPr>
          <w:p w14:paraId="0B5F4716">
            <w:pPr>
              <w:autoSpaceDE w:val="0"/>
              <w:autoSpaceDN w:val="0"/>
              <w:adjustRightInd w:val="0"/>
              <w:snapToGrid w:val="0"/>
              <w:jc w:val="left"/>
              <w:rPr>
                <w:rFonts w:ascii="宋体" w:hAnsi="宋体"/>
                <w:kern w:val="0"/>
                <w:szCs w:val="21"/>
                <w:highlight w:val="none"/>
              </w:rPr>
            </w:pPr>
          </w:p>
        </w:tc>
        <w:tc>
          <w:tcPr>
            <w:tcW w:w="2723" w:type="dxa"/>
          </w:tcPr>
          <w:p w14:paraId="26D7FC79">
            <w:pPr>
              <w:autoSpaceDE w:val="0"/>
              <w:autoSpaceDN w:val="0"/>
              <w:adjustRightInd w:val="0"/>
              <w:snapToGrid w:val="0"/>
              <w:jc w:val="left"/>
              <w:rPr>
                <w:rFonts w:ascii="宋体" w:hAnsi="宋体"/>
                <w:kern w:val="0"/>
                <w:szCs w:val="21"/>
                <w:highlight w:val="none"/>
              </w:rPr>
            </w:pPr>
          </w:p>
        </w:tc>
        <w:tc>
          <w:tcPr>
            <w:tcW w:w="896" w:type="dxa"/>
          </w:tcPr>
          <w:p w14:paraId="31507DF4">
            <w:pPr>
              <w:autoSpaceDE w:val="0"/>
              <w:autoSpaceDN w:val="0"/>
              <w:adjustRightInd w:val="0"/>
              <w:snapToGrid w:val="0"/>
              <w:jc w:val="left"/>
              <w:rPr>
                <w:rFonts w:ascii="宋体" w:hAnsi="宋体"/>
                <w:kern w:val="0"/>
                <w:szCs w:val="21"/>
                <w:highlight w:val="none"/>
              </w:rPr>
            </w:pPr>
          </w:p>
        </w:tc>
      </w:tr>
      <w:tr w14:paraId="174C16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61B489">
            <w:pPr>
              <w:autoSpaceDE w:val="0"/>
              <w:autoSpaceDN w:val="0"/>
              <w:adjustRightInd w:val="0"/>
              <w:snapToGrid w:val="0"/>
              <w:jc w:val="left"/>
              <w:rPr>
                <w:rFonts w:ascii="宋体" w:hAnsi="宋体"/>
                <w:kern w:val="0"/>
                <w:szCs w:val="21"/>
                <w:highlight w:val="none"/>
              </w:rPr>
            </w:pPr>
          </w:p>
        </w:tc>
        <w:tc>
          <w:tcPr>
            <w:tcW w:w="734" w:type="dxa"/>
          </w:tcPr>
          <w:p w14:paraId="74BC340F">
            <w:pPr>
              <w:autoSpaceDE w:val="0"/>
              <w:autoSpaceDN w:val="0"/>
              <w:adjustRightInd w:val="0"/>
              <w:snapToGrid w:val="0"/>
              <w:jc w:val="left"/>
              <w:rPr>
                <w:rFonts w:ascii="宋体" w:hAnsi="宋体"/>
                <w:kern w:val="0"/>
                <w:szCs w:val="21"/>
                <w:highlight w:val="none"/>
              </w:rPr>
            </w:pPr>
          </w:p>
        </w:tc>
        <w:tc>
          <w:tcPr>
            <w:tcW w:w="776" w:type="dxa"/>
          </w:tcPr>
          <w:p w14:paraId="4DA69B2F">
            <w:pPr>
              <w:autoSpaceDE w:val="0"/>
              <w:autoSpaceDN w:val="0"/>
              <w:adjustRightInd w:val="0"/>
              <w:snapToGrid w:val="0"/>
              <w:jc w:val="left"/>
              <w:rPr>
                <w:rFonts w:ascii="宋体" w:hAnsi="宋体"/>
                <w:kern w:val="0"/>
                <w:szCs w:val="21"/>
                <w:highlight w:val="none"/>
              </w:rPr>
            </w:pPr>
          </w:p>
        </w:tc>
        <w:tc>
          <w:tcPr>
            <w:tcW w:w="1167" w:type="dxa"/>
          </w:tcPr>
          <w:p w14:paraId="47129B44">
            <w:pPr>
              <w:autoSpaceDE w:val="0"/>
              <w:autoSpaceDN w:val="0"/>
              <w:adjustRightInd w:val="0"/>
              <w:snapToGrid w:val="0"/>
              <w:jc w:val="left"/>
              <w:rPr>
                <w:rFonts w:ascii="宋体" w:hAnsi="宋体"/>
                <w:kern w:val="0"/>
                <w:szCs w:val="21"/>
                <w:highlight w:val="none"/>
              </w:rPr>
            </w:pPr>
          </w:p>
        </w:tc>
        <w:tc>
          <w:tcPr>
            <w:tcW w:w="776" w:type="dxa"/>
          </w:tcPr>
          <w:p w14:paraId="0C33641B">
            <w:pPr>
              <w:autoSpaceDE w:val="0"/>
              <w:autoSpaceDN w:val="0"/>
              <w:adjustRightInd w:val="0"/>
              <w:snapToGrid w:val="0"/>
              <w:jc w:val="left"/>
              <w:rPr>
                <w:rFonts w:ascii="宋体" w:hAnsi="宋体"/>
                <w:kern w:val="0"/>
                <w:szCs w:val="21"/>
                <w:highlight w:val="none"/>
              </w:rPr>
            </w:pPr>
          </w:p>
        </w:tc>
        <w:tc>
          <w:tcPr>
            <w:tcW w:w="778" w:type="dxa"/>
          </w:tcPr>
          <w:p w14:paraId="54F4C317">
            <w:pPr>
              <w:autoSpaceDE w:val="0"/>
              <w:autoSpaceDN w:val="0"/>
              <w:adjustRightInd w:val="0"/>
              <w:snapToGrid w:val="0"/>
              <w:jc w:val="left"/>
              <w:rPr>
                <w:rFonts w:ascii="宋体" w:hAnsi="宋体"/>
                <w:kern w:val="0"/>
                <w:szCs w:val="21"/>
                <w:highlight w:val="none"/>
              </w:rPr>
            </w:pPr>
          </w:p>
        </w:tc>
        <w:tc>
          <w:tcPr>
            <w:tcW w:w="776" w:type="dxa"/>
          </w:tcPr>
          <w:p w14:paraId="3C09AB0B">
            <w:pPr>
              <w:autoSpaceDE w:val="0"/>
              <w:autoSpaceDN w:val="0"/>
              <w:adjustRightInd w:val="0"/>
              <w:snapToGrid w:val="0"/>
              <w:jc w:val="left"/>
              <w:rPr>
                <w:rFonts w:ascii="宋体" w:hAnsi="宋体"/>
                <w:kern w:val="0"/>
                <w:szCs w:val="21"/>
                <w:highlight w:val="none"/>
              </w:rPr>
            </w:pPr>
          </w:p>
        </w:tc>
        <w:tc>
          <w:tcPr>
            <w:tcW w:w="2723" w:type="dxa"/>
          </w:tcPr>
          <w:p w14:paraId="32F70894">
            <w:pPr>
              <w:autoSpaceDE w:val="0"/>
              <w:autoSpaceDN w:val="0"/>
              <w:adjustRightInd w:val="0"/>
              <w:snapToGrid w:val="0"/>
              <w:jc w:val="left"/>
              <w:rPr>
                <w:rFonts w:ascii="宋体" w:hAnsi="宋体"/>
                <w:kern w:val="0"/>
                <w:szCs w:val="21"/>
                <w:highlight w:val="none"/>
              </w:rPr>
            </w:pPr>
          </w:p>
        </w:tc>
        <w:tc>
          <w:tcPr>
            <w:tcW w:w="896" w:type="dxa"/>
          </w:tcPr>
          <w:p w14:paraId="49CFE5D7">
            <w:pPr>
              <w:autoSpaceDE w:val="0"/>
              <w:autoSpaceDN w:val="0"/>
              <w:adjustRightInd w:val="0"/>
              <w:snapToGrid w:val="0"/>
              <w:jc w:val="left"/>
              <w:rPr>
                <w:rFonts w:ascii="宋体" w:hAnsi="宋体"/>
                <w:kern w:val="0"/>
                <w:szCs w:val="21"/>
                <w:highlight w:val="none"/>
              </w:rPr>
            </w:pPr>
          </w:p>
        </w:tc>
      </w:tr>
      <w:tr w14:paraId="2A938A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840654">
            <w:pPr>
              <w:autoSpaceDE w:val="0"/>
              <w:autoSpaceDN w:val="0"/>
              <w:adjustRightInd w:val="0"/>
              <w:snapToGrid w:val="0"/>
              <w:jc w:val="left"/>
              <w:rPr>
                <w:rFonts w:ascii="宋体" w:hAnsi="宋体"/>
                <w:kern w:val="0"/>
                <w:szCs w:val="21"/>
                <w:highlight w:val="none"/>
              </w:rPr>
            </w:pPr>
          </w:p>
        </w:tc>
        <w:tc>
          <w:tcPr>
            <w:tcW w:w="734" w:type="dxa"/>
          </w:tcPr>
          <w:p w14:paraId="7D0A63F8">
            <w:pPr>
              <w:autoSpaceDE w:val="0"/>
              <w:autoSpaceDN w:val="0"/>
              <w:adjustRightInd w:val="0"/>
              <w:snapToGrid w:val="0"/>
              <w:jc w:val="left"/>
              <w:rPr>
                <w:rFonts w:ascii="宋体" w:hAnsi="宋体"/>
                <w:kern w:val="0"/>
                <w:szCs w:val="21"/>
                <w:highlight w:val="none"/>
              </w:rPr>
            </w:pPr>
          </w:p>
        </w:tc>
        <w:tc>
          <w:tcPr>
            <w:tcW w:w="776" w:type="dxa"/>
          </w:tcPr>
          <w:p w14:paraId="5B18B074">
            <w:pPr>
              <w:autoSpaceDE w:val="0"/>
              <w:autoSpaceDN w:val="0"/>
              <w:adjustRightInd w:val="0"/>
              <w:snapToGrid w:val="0"/>
              <w:jc w:val="left"/>
              <w:rPr>
                <w:rFonts w:ascii="宋体" w:hAnsi="宋体"/>
                <w:kern w:val="0"/>
                <w:szCs w:val="21"/>
                <w:highlight w:val="none"/>
              </w:rPr>
            </w:pPr>
          </w:p>
        </w:tc>
        <w:tc>
          <w:tcPr>
            <w:tcW w:w="1167" w:type="dxa"/>
          </w:tcPr>
          <w:p w14:paraId="4E6FA464">
            <w:pPr>
              <w:autoSpaceDE w:val="0"/>
              <w:autoSpaceDN w:val="0"/>
              <w:adjustRightInd w:val="0"/>
              <w:snapToGrid w:val="0"/>
              <w:jc w:val="left"/>
              <w:rPr>
                <w:rFonts w:ascii="宋体" w:hAnsi="宋体"/>
                <w:kern w:val="0"/>
                <w:szCs w:val="21"/>
                <w:highlight w:val="none"/>
              </w:rPr>
            </w:pPr>
          </w:p>
        </w:tc>
        <w:tc>
          <w:tcPr>
            <w:tcW w:w="776" w:type="dxa"/>
          </w:tcPr>
          <w:p w14:paraId="06642311">
            <w:pPr>
              <w:autoSpaceDE w:val="0"/>
              <w:autoSpaceDN w:val="0"/>
              <w:adjustRightInd w:val="0"/>
              <w:snapToGrid w:val="0"/>
              <w:jc w:val="left"/>
              <w:rPr>
                <w:rFonts w:ascii="宋体" w:hAnsi="宋体"/>
                <w:kern w:val="0"/>
                <w:szCs w:val="21"/>
                <w:highlight w:val="none"/>
              </w:rPr>
            </w:pPr>
          </w:p>
        </w:tc>
        <w:tc>
          <w:tcPr>
            <w:tcW w:w="778" w:type="dxa"/>
          </w:tcPr>
          <w:p w14:paraId="710DF817">
            <w:pPr>
              <w:autoSpaceDE w:val="0"/>
              <w:autoSpaceDN w:val="0"/>
              <w:adjustRightInd w:val="0"/>
              <w:snapToGrid w:val="0"/>
              <w:jc w:val="left"/>
              <w:rPr>
                <w:rFonts w:ascii="宋体" w:hAnsi="宋体"/>
                <w:kern w:val="0"/>
                <w:szCs w:val="21"/>
                <w:highlight w:val="none"/>
              </w:rPr>
            </w:pPr>
          </w:p>
        </w:tc>
        <w:tc>
          <w:tcPr>
            <w:tcW w:w="776" w:type="dxa"/>
          </w:tcPr>
          <w:p w14:paraId="5F0A87E2">
            <w:pPr>
              <w:autoSpaceDE w:val="0"/>
              <w:autoSpaceDN w:val="0"/>
              <w:adjustRightInd w:val="0"/>
              <w:snapToGrid w:val="0"/>
              <w:jc w:val="left"/>
              <w:rPr>
                <w:rFonts w:ascii="宋体" w:hAnsi="宋体"/>
                <w:kern w:val="0"/>
                <w:szCs w:val="21"/>
                <w:highlight w:val="none"/>
              </w:rPr>
            </w:pPr>
          </w:p>
        </w:tc>
        <w:tc>
          <w:tcPr>
            <w:tcW w:w="2723" w:type="dxa"/>
          </w:tcPr>
          <w:p w14:paraId="6DC2BF8C">
            <w:pPr>
              <w:autoSpaceDE w:val="0"/>
              <w:autoSpaceDN w:val="0"/>
              <w:adjustRightInd w:val="0"/>
              <w:snapToGrid w:val="0"/>
              <w:jc w:val="left"/>
              <w:rPr>
                <w:rFonts w:ascii="宋体" w:hAnsi="宋体"/>
                <w:kern w:val="0"/>
                <w:szCs w:val="21"/>
                <w:highlight w:val="none"/>
              </w:rPr>
            </w:pPr>
          </w:p>
        </w:tc>
        <w:tc>
          <w:tcPr>
            <w:tcW w:w="896" w:type="dxa"/>
          </w:tcPr>
          <w:p w14:paraId="065878BF">
            <w:pPr>
              <w:autoSpaceDE w:val="0"/>
              <w:autoSpaceDN w:val="0"/>
              <w:adjustRightInd w:val="0"/>
              <w:snapToGrid w:val="0"/>
              <w:jc w:val="left"/>
              <w:rPr>
                <w:rFonts w:ascii="宋体" w:hAnsi="宋体"/>
                <w:kern w:val="0"/>
                <w:szCs w:val="21"/>
                <w:highlight w:val="none"/>
              </w:rPr>
            </w:pPr>
          </w:p>
        </w:tc>
      </w:tr>
      <w:tr w14:paraId="3A1C94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FBA3E3">
            <w:pPr>
              <w:autoSpaceDE w:val="0"/>
              <w:autoSpaceDN w:val="0"/>
              <w:adjustRightInd w:val="0"/>
              <w:snapToGrid w:val="0"/>
              <w:jc w:val="left"/>
              <w:rPr>
                <w:rFonts w:ascii="宋体" w:hAnsi="宋体"/>
                <w:kern w:val="0"/>
                <w:szCs w:val="21"/>
                <w:highlight w:val="none"/>
              </w:rPr>
            </w:pPr>
          </w:p>
        </w:tc>
        <w:tc>
          <w:tcPr>
            <w:tcW w:w="734" w:type="dxa"/>
          </w:tcPr>
          <w:p w14:paraId="2EBF3F5D">
            <w:pPr>
              <w:autoSpaceDE w:val="0"/>
              <w:autoSpaceDN w:val="0"/>
              <w:adjustRightInd w:val="0"/>
              <w:snapToGrid w:val="0"/>
              <w:jc w:val="left"/>
              <w:rPr>
                <w:rFonts w:ascii="宋体" w:hAnsi="宋体"/>
                <w:kern w:val="0"/>
                <w:szCs w:val="21"/>
                <w:highlight w:val="none"/>
              </w:rPr>
            </w:pPr>
          </w:p>
        </w:tc>
        <w:tc>
          <w:tcPr>
            <w:tcW w:w="776" w:type="dxa"/>
          </w:tcPr>
          <w:p w14:paraId="56CBF981">
            <w:pPr>
              <w:autoSpaceDE w:val="0"/>
              <w:autoSpaceDN w:val="0"/>
              <w:adjustRightInd w:val="0"/>
              <w:snapToGrid w:val="0"/>
              <w:jc w:val="left"/>
              <w:rPr>
                <w:rFonts w:ascii="宋体" w:hAnsi="宋体"/>
                <w:kern w:val="0"/>
                <w:szCs w:val="21"/>
                <w:highlight w:val="none"/>
              </w:rPr>
            </w:pPr>
          </w:p>
        </w:tc>
        <w:tc>
          <w:tcPr>
            <w:tcW w:w="1167" w:type="dxa"/>
          </w:tcPr>
          <w:p w14:paraId="1BCFA2D2">
            <w:pPr>
              <w:autoSpaceDE w:val="0"/>
              <w:autoSpaceDN w:val="0"/>
              <w:adjustRightInd w:val="0"/>
              <w:snapToGrid w:val="0"/>
              <w:jc w:val="left"/>
              <w:rPr>
                <w:rFonts w:ascii="宋体" w:hAnsi="宋体"/>
                <w:kern w:val="0"/>
                <w:szCs w:val="21"/>
                <w:highlight w:val="none"/>
              </w:rPr>
            </w:pPr>
          </w:p>
        </w:tc>
        <w:tc>
          <w:tcPr>
            <w:tcW w:w="776" w:type="dxa"/>
          </w:tcPr>
          <w:p w14:paraId="3DF2E52B">
            <w:pPr>
              <w:autoSpaceDE w:val="0"/>
              <w:autoSpaceDN w:val="0"/>
              <w:adjustRightInd w:val="0"/>
              <w:snapToGrid w:val="0"/>
              <w:jc w:val="left"/>
              <w:rPr>
                <w:rFonts w:ascii="宋体" w:hAnsi="宋体"/>
                <w:kern w:val="0"/>
                <w:szCs w:val="21"/>
                <w:highlight w:val="none"/>
              </w:rPr>
            </w:pPr>
          </w:p>
        </w:tc>
        <w:tc>
          <w:tcPr>
            <w:tcW w:w="778" w:type="dxa"/>
          </w:tcPr>
          <w:p w14:paraId="616043EA">
            <w:pPr>
              <w:autoSpaceDE w:val="0"/>
              <w:autoSpaceDN w:val="0"/>
              <w:adjustRightInd w:val="0"/>
              <w:snapToGrid w:val="0"/>
              <w:jc w:val="left"/>
              <w:rPr>
                <w:rFonts w:ascii="宋体" w:hAnsi="宋体"/>
                <w:kern w:val="0"/>
                <w:szCs w:val="21"/>
                <w:highlight w:val="none"/>
              </w:rPr>
            </w:pPr>
          </w:p>
        </w:tc>
        <w:tc>
          <w:tcPr>
            <w:tcW w:w="776" w:type="dxa"/>
          </w:tcPr>
          <w:p w14:paraId="238EBF3C">
            <w:pPr>
              <w:autoSpaceDE w:val="0"/>
              <w:autoSpaceDN w:val="0"/>
              <w:adjustRightInd w:val="0"/>
              <w:snapToGrid w:val="0"/>
              <w:jc w:val="left"/>
              <w:rPr>
                <w:rFonts w:ascii="宋体" w:hAnsi="宋体"/>
                <w:kern w:val="0"/>
                <w:szCs w:val="21"/>
                <w:highlight w:val="none"/>
              </w:rPr>
            </w:pPr>
          </w:p>
        </w:tc>
        <w:tc>
          <w:tcPr>
            <w:tcW w:w="2723" w:type="dxa"/>
          </w:tcPr>
          <w:p w14:paraId="5243CBD1">
            <w:pPr>
              <w:autoSpaceDE w:val="0"/>
              <w:autoSpaceDN w:val="0"/>
              <w:adjustRightInd w:val="0"/>
              <w:snapToGrid w:val="0"/>
              <w:jc w:val="left"/>
              <w:rPr>
                <w:rFonts w:ascii="宋体" w:hAnsi="宋体"/>
                <w:kern w:val="0"/>
                <w:szCs w:val="21"/>
                <w:highlight w:val="none"/>
              </w:rPr>
            </w:pPr>
          </w:p>
        </w:tc>
        <w:tc>
          <w:tcPr>
            <w:tcW w:w="896" w:type="dxa"/>
          </w:tcPr>
          <w:p w14:paraId="3202557A">
            <w:pPr>
              <w:autoSpaceDE w:val="0"/>
              <w:autoSpaceDN w:val="0"/>
              <w:adjustRightInd w:val="0"/>
              <w:snapToGrid w:val="0"/>
              <w:jc w:val="left"/>
              <w:rPr>
                <w:rFonts w:ascii="宋体" w:hAnsi="宋体"/>
                <w:kern w:val="0"/>
                <w:szCs w:val="21"/>
                <w:highlight w:val="none"/>
              </w:rPr>
            </w:pPr>
          </w:p>
        </w:tc>
      </w:tr>
    </w:tbl>
    <w:p w14:paraId="3145FEA0">
      <w:pPr>
        <w:spacing w:line="20" w:lineRule="exact"/>
        <w:jc w:val="center"/>
        <w:rPr>
          <w:rFonts w:ascii="宋体" w:hAnsi="宋体"/>
          <w:szCs w:val="21"/>
          <w:highlight w:val="none"/>
        </w:rPr>
      </w:pPr>
    </w:p>
    <w:p w14:paraId="27DAFD4B">
      <w:pPr>
        <w:spacing w:line="360" w:lineRule="auto"/>
        <w:ind w:firstLine="420" w:firstLineChars="200"/>
        <w:jc w:val="center"/>
        <w:rPr>
          <w:rFonts w:ascii="宋体" w:hAnsi="宋体"/>
          <w:sz w:val="32"/>
          <w:szCs w:val="32"/>
          <w:highlight w:val="none"/>
        </w:rPr>
      </w:pPr>
      <w:r>
        <w:rPr>
          <w:rFonts w:hint="eastAsia" w:ascii="宋体" w:hAnsi="宋体"/>
          <w:szCs w:val="21"/>
          <w:highlight w:val="none"/>
        </w:rPr>
        <w:t>备注：本表仅填项目经理、</w:t>
      </w:r>
      <w:r>
        <w:rPr>
          <w:rFonts w:hint="eastAsia" w:ascii="宋体" w:hAnsi="宋体"/>
          <w:szCs w:val="21"/>
          <w:highlight w:val="none"/>
          <w:lang w:val="en-US" w:eastAsia="zh-CN"/>
        </w:rPr>
        <w:t>主要管理人员</w:t>
      </w:r>
      <w:r>
        <w:rPr>
          <w:rFonts w:hint="eastAsia" w:ascii="宋体" w:hAnsi="宋体"/>
          <w:szCs w:val="21"/>
          <w:highlight w:val="none"/>
        </w:rPr>
        <w:t>相关信息</w:t>
      </w:r>
      <w:r>
        <w:rPr>
          <w:rFonts w:ascii="宋体" w:hAnsi="宋体"/>
          <w:sz w:val="32"/>
          <w:szCs w:val="32"/>
          <w:highlight w:val="none"/>
        </w:rPr>
        <w:br w:type="page"/>
      </w:r>
      <w:r>
        <w:rPr>
          <w:rFonts w:hint="eastAsia" w:ascii="宋体" w:hAnsi="宋体"/>
          <w:sz w:val="32"/>
          <w:szCs w:val="32"/>
          <w:highlight w:val="none"/>
        </w:rPr>
        <w:t>项目经理简历表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26D56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C7C3365">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14:paraId="2DDCAC2E">
            <w:pPr>
              <w:autoSpaceDE w:val="0"/>
              <w:autoSpaceDN w:val="0"/>
              <w:adjustRightInd w:val="0"/>
              <w:snapToGrid w:val="0"/>
              <w:jc w:val="center"/>
              <w:rPr>
                <w:rFonts w:ascii="宋体" w:hAnsi="宋体"/>
                <w:kern w:val="0"/>
                <w:szCs w:val="21"/>
                <w:highlight w:val="none"/>
              </w:rPr>
            </w:pPr>
          </w:p>
        </w:tc>
        <w:tc>
          <w:tcPr>
            <w:tcW w:w="1020" w:type="dxa"/>
            <w:vAlign w:val="center"/>
          </w:tcPr>
          <w:p w14:paraId="0B038903">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14:paraId="13148605">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3BD9A2FC">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14:paraId="6571EF7C">
            <w:pPr>
              <w:autoSpaceDE w:val="0"/>
              <w:autoSpaceDN w:val="0"/>
              <w:adjustRightInd w:val="0"/>
              <w:snapToGrid w:val="0"/>
              <w:jc w:val="center"/>
              <w:rPr>
                <w:rFonts w:ascii="宋体" w:hAnsi="宋体"/>
                <w:kern w:val="0"/>
                <w:szCs w:val="21"/>
                <w:highlight w:val="none"/>
              </w:rPr>
            </w:pPr>
          </w:p>
        </w:tc>
      </w:tr>
      <w:tr w14:paraId="58C93D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711FF0C">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14:paraId="67157873">
            <w:pPr>
              <w:autoSpaceDE w:val="0"/>
              <w:autoSpaceDN w:val="0"/>
              <w:adjustRightInd w:val="0"/>
              <w:snapToGrid w:val="0"/>
              <w:jc w:val="center"/>
              <w:rPr>
                <w:rFonts w:ascii="宋体" w:hAnsi="宋体"/>
                <w:kern w:val="0"/>
                <w:szCs w:val="21"/>
                <w:highlight w:val="none"/>
              </w:rPr>
            </w:pPr>
          </w:p>
        </w:tc>
        <w:tc>
          <w:tcPr>
            <w:tcW w:w="1020" w:type="dxa"/>
            <w:vAlign w:val="center"/>
          </w:tcPr>
          <w:p w14:paraId="15A28360">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14:paraId="06EBCC45">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383B20E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14:paraId="31793F17">
            <w:pPr>
              <w:autoSpaceDE w:val="0"/>
              <w:autoSpaceDN w:val="0"/>
              <w:adjustRightInd w:val="0"/>
              <w:snapToGrid w:val="0"/>
              <w:jc w:val="center"/>
              <w:rPr>
                <w:rFonts w:ascii="宋体" w:hAnsi="宋体"/>
                <w:kern w:val="0"/>
                <w:szCs w:val="21"/>
                <w:highlight w:val="none"/>
              </w:rPr>
            </w:pPr>
          </w:p>
        </w:tc>
      </w:tr>
      <w:tr w14:paraId="6D64F8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9DA38D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14:paraId="6359BF54">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14:paraId="3A1367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3B3CEF8">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14:paraId="48A923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9D6354D">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14:paraId="7EC2F477">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14:paraId="59607F87">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14:paraId="09A7F9D4">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14:paraId="1467B6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3AFAFD">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9B8C55D">
            <w:pPr>
              <w:autoSpaceDE w:val="0"/>
              <w:autoSpaceDN w:val="0"/>
              <w:adjustRightInd w:val="0"/>
              <w:snapToGrid w:val="0"/>
              <w:jc w:val="center"/>
              <w:rPr>
                <w:rFonts w:ascii="宋体" w:hAnsi="宋体"/>
                <w:kern w:val="0"/>
                <w:szCs w:val="21"/>
                <w:highlight w:val="none"/>
              </w:rPr>
            </w:pPr>
          </w:p>
        </w:tc>
        <w:tc>
          <w:tcPr>
            <w:tcW w:w="1388" w:type="dxa"/>
            <w:vAlign w:val="center"/>
          </w:tcPr>
          <w:p w14:paraId="4C5A5B2A">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C55B689">
            <w:pPr>
              <w:autoSpaceDE w:val="0"/>
              <w:autoSpaceDN w:val="0"/>
              <w:adjustRightInd w:val="0"/>
              <w:snapToGrid w:val="0"/>
              <w:jc w:val="center"/>
              <w:rPr>
                <w:rFonts w:ascii="宋体" w:hAnsi="宋体"/>
                <w:kern w:val="0"/>
                <w:szCs w:val="21"/>
                <w:highlight w:val="none"/>
              </w:rPr>
            </w:pPr>
          </w:p>
        </w:tc>
      </w:tr>
      <w:tr w14:paraId="2457F3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8958BDB">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ADAAA2B">
            <w:pPr>
              <w:autoSpaceDE w:val="0"/>
              <w:autoSpaceDN w:val="0"/>
              <w:adjustRightInd w:val="0"/>
              <w:snapToGrid w:val="0"/>
              <w:jc w:val="center"/>
              <w:rPr>
                <w:rFonts w:ascii="宋体" w:hAnsi="宋体"/>
                <w:kern w:val="0"/>
                <w:szCs w:val="21"/>
                <w:highlight w:val="none"/>
              </w:rPr>
            </w:pPr>
          </w:p>
        </w:tc>
        <w:tc>
          <w:tcPr>
            <w:tcW w:w="1388" w:type="dxa"/>
            <w:vAlign w:val="center"/>
          </w:tcPr>
          <w:p w14:paraId="2E324381">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E9A9D18">
            <w:pPr>
              <w:autoSpaceDE w:val="0"/>
              <w:autoSpaceDN w:val="0"/>
              <w:adjustRightInd w:val="0"/>
              <w:snapToGrid w:val="0"/>
              <w:jc w:val="center"/>
              <w:rPr>
                <w:rFonts w:ascii="宋体" w:hAnsi="宋体"/>
                <w:kern w:val="0"/>
                <w:szCs w:val="21"/>
                <w:highlight w:val="none"/>
              </w:rPr>
            </w:pPr>
          </w:p>
        </w:tc>
      </w:tr>
      <w:tr w14:paraId="73D6BD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9A39397">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84354FE">
            <w:pPr>
              <w:autoSpaceDE w:val="0"/>
              <w:autoSpaceDN w:val="0"/>
              <w:adjustRightInd w:val="0"/>
              <w:snapToGrid w:val="0"/>
              <w:jc w:val="center"/>
              <w:rPr>
                <w:rFonts w:ascii="宋体" w:hAnsi="宋体"/>
                <w:kern w:val="0"/>
                <w:szCs w:val="21"/>
                <w:highlight w:val="none"/>
              </w:rPr>
            </w:pPr>
          </w:p>
        </w:tc>
        <w:tc>
          <w:tcPr>
            <w:tcW w:w="1388" w:type="dxa"/>
            <w:vAlign w:val="center"/>
          </w:tcPr>
          <w:p w14:paraId="026C80DF">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CD5BB93">
            <w:pPr>
              <w:autoSpaceDE w:val="0"/>
              <w:autoSpaceDN w:val="0"/>
              <w:adjustRightInd w:val="0"/>
              <w:snapToGrid w:val="0"/>
              <w:jc w:val="center"/>
              <w:rPr>
                <w:rFonts w:ascii="宋体" w:hAnsi="宋体"/>
                <w:kern w:val="0"/>
                <w:szCs w:val="21"/>
                <w:highlight w:val="none"/>
              </w:rPr>
            </w:pPr>
          </w:p>
        </w:tc>
      </w:tr>
      <w:tr w14:paraId="388F0F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4F8D84A">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2B7B7D1">
            <w:pPr>
              <w:autoSpaceDE w:val="0"/>
              <w:autoSpaceDN w:val="0"/>
              <w:adjustRightInd w:val="0"/>
              <w:snapToGrid w:val="0"/>
              <w:jc w:val="center"/>
              <w:rPr>
                <w:rFonts w:ascii="宋体" w:hAnsi="宋体"/>
                <w:kern w:val="0"/>
                <w:szCs w:val="21"/>
                <w:highlight w:val="none"/>
              </w:rPr>
            </w:pPr>
          </w:p>
        </w:tc>
        <w:tc>
          <w:tcPr>
            <w:tcW w:w="1388" w:type="dxa"/>
            <w:vAlign w:val="center"/>
          </w:tcPr>
          <w:p w14:paraId="475CA195">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730AF96">
            <w:pPr>
              <w:autoSpaceDE w:val="0"/>
              <w:autoSpaceDN w:val="0"/>
              <w:adjustRightInd w:val="0"/>
              <w:snapToGrid w:val="0"/>
              <w:jc w:val="center"/>
              <w:rPr>
                <w:rFonts w:ascii="宋体" w:hAnsi="宋体"/>
                <w:kern w:val="0"/>
                <w:szCs w:val="21"/>
                <w:highlight w:val="none"/>
              </w:rPr>
            </w:pPr>
          </w:p>
        </w:tc>
      </w:tr>
      <w:tr w14:paraId="6471B6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54CCFD">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5ED75F2">
            <w:pPr>
              <w:autoSpaceDE w:val="0"/>
              <w:autoSpaceDN w:val="0"/>
              <w:adjustRightInd w:val="0"/>
              <w:snapToGrid w:val="0"/>
              <w:jc w:val="center"/>
              <w:rPr>
                <w:rFonts w:ascii="宋体" w:hAnsi="宋体"/>
                <w:kern w:val="0"/>
                <w:szCs w:val="21"/>
                <w:highlight w:val="none"/>
              </w:rPr>
            </w:pPr>
          </w:p>
        </w:tc>
        <w:tc>
          <w:tcPr>
            <w:tcW w:w="1388" w:type="dxa"/>
            <w:vAlign w:val="center"/>
          </w:tcPr>
          <w:p w14:paraId="41DDB1C5">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20AAEEB">
            <w:pPr>
              <w:autoSpaceDE w:val="0"/>
              <w:autoSpaceDN w:val="0"/>
              <w:adjustRightInd w:val="0"/>
              <w:snapToGrid w:val="0"/>
              <w:jc w:val="center"/>
              <w:rPr>
                <w:rFonts w:ascii="宋体" w:hAnsi="宋体"/>
                <w:kern w:val="0"/>
                <w:szCs w:val="21"/>
                <w:highlight w:val="none"/>
              </w:rPr>
            </w:pPr>
          </w:p>
        </w:tc>
      </w:tr>
      <w:tr w14:paraId="31B00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9F3715B">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6A2FEA93">
            <w:pPr>
              <w:autoSpaceDE w:val="0"/>
              <w:autoSpaceDN w:val="0"/>
              <w:adjustRightInd w:val="0"/>
              <w:snapToGrid w:val="0"/>
              <w:jc w:val="center"/>
              <w:rPr>
                <w:rFonts w:ascii="宋体" w:hAnsi="宋体"/>
                <w:kern w:val="0"/>
                <w:szCs w:val="21"/>
                <w:highlight w:val="none"/>
              </w:rPr>
            </w:pPr>
          </w:p>
        </w:tc>
        <w:tc>
          <w:tcPr>
            <w:tcW w:w="1388" w:type="dxa"/>
            <w:vAlign w:val="center"/>
          </w:tcPr>
          <w:p w14:paraId="287E434F">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C51616C">
            <w:pPr>
              <w:autoSpaceDE w:val="0"/>
              <w:autoSpaceDN w:val="0"/>
              <w:adjustRightInd w:val="0"/>
              <w:snapToGrid w:val="0"/>
              <w:jc w:val="center"/>
              <w:rPr>
                <w:rFonts w:ascii="宋体" w:hAnsi="宋体"/>
                <w:kern w:val="0"/>
                <w:szCs w:val="21"/>
                <w:highlight w:val="none"/>
              </w:rPr>
            </w:pPr>
          </w:p>
        </w:tc>
      </w:tr>
      <w:tr w14:paraId="093EBA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A3200A0">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D560BF9">
            <w:pPr>
              <w:autoSpaceDE w:val="0"/>
              <w:autoSpaceDN w:val="0"/>
              <w:adjustRightInd w:val="0"/>
              <w:snapToGrid w:val="0"/>
              <w:jc w:val="center"/>
              <w:rPr>
                <w:rFonts w:ascii="宋体" w:hAnsi="宋体"/>
                <w:kern w:val="0"/>
                <w:szCs w:val="21"/>
                <w:highlight w:val="none"/>
              </w:rPr>
            </w:pPr>
          </w:p>
        </w:tc>
        <w:tc>
          <w:tcPr>
            <w:tcW w:w="1388" w:type="dxa"/>
            <w:vAlign w:val="center"/>
          </w:tcPr>
          <w:p w14:paraId="5EDF892A">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6C25137">
            <w:pPr>
              <w:autoSpaceDE w:val="0"/>
              <w:autoSpaceDN w:val="0"/>
              <w:adjustRightInd w:val="0"/>
              <w:snapToGrid w:val="0"/>
              <w:jc w:val="center"/>
              <w:rPr>
                <w:rFonts w:ascii="宋体" w:hAnsi="宋体"/>
                <w:kern w:val="0"/>
                <w:szCs w:val="21"/>
                <w:highlight w:val="none"/>
              </w:rPr>
            </w:pPr>
          </w:p>
        </w:tc>
      </w:tr>
      <w:tr w14:paraId="58A24B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92130E9">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09AA078">
            <w:pPr>
              <w:autoSpaceDE w:val="0"/>
              <w:autoSpaceDN w:val="0"/>
              <w:adjustRightInd w:val="0"/>
              <w:snapToGrid w:val="0"/>
              <w:jc w:val="center"/>
              <w:rPr>
                <w:rFonts w:ascii="宋体" w:hAnsi="宋体"/>
                <w:kern w:val="0"/>
                <w:szCs w:val="21"/>
                <w:highlight w:val="none"/>
              </w:rPr>
            </w:pPr>
          </w:p>
        </w:tc>
        <w:tc>
          <w:tcPr>
            <w:tcW w:w="1388" w:type="dxa"/>
            <w:vAlign w:val="center"/>
          </w:tcPr>
          <w:p w14:paraId="2F839704">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890EA5D">
            <w:pPr>
              <w:autoSpaceDE w:val="0"/>
              <w:autoSpaceDN w:val="0"/>
              <w:adjustRightInd w:val="0"/>
              <w:snapToGrid w:val="0"/>
              <w:jc w:val="center"/>
              <w:rPr>
                <w:rFonts w:ascii="宋体" w:hAnsi="宋体"/>
                <w:kern w:val="0"/>
                <w:szCs w:val="21"/>
                <w:highlight w:val="none"/>
              </w:rPr>
            </w:pPr>
          </w:p>
        </w:tc>
      </w:tr>
      <w:tr w14:paraId="7D1500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87A3386">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E6DA3FC">
            <w:pPr>
              <w:autoSpaceDE w:val="0"/>
              <w:autoSpaceDN w:val="0"/>
              <w:adjustRightInd w:val="0"/>
              <w:snapToGrid w:val="0"/>
              <w:jc w:val="center"/>
              <w:rPr>
                <w:rFonts w:ascii="宋体" w:hAnsi="宋体"/>
                <w:kern w:val="0"/>
                <w:szCs w:val="21"/>
                <w:highlight w:val="none"/>
              </w:rPr>
            </w:pPr>
          </w:p>
        </w:tc>
        <w:tc>
          <w:tcPr>
            <w:tcW w:w="1388" w:type="dxa"/>
            <w:vAlign w:val="center"/>
          </w:tcPr>
          <w:p w14:paraId="68696900">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2C892188">
            <w:pPr>
              <w:autoSpaceDE w:val="0"/>
              <w:autoSpaceDN w:val="0"/>
              <w:adjustRightInd w:val="0"/>
              <w:snapToGrid w:val="0"/>
              <w:jc w:val="center"/>
              <w:rPr>
                <w:rFonts w:ascii="宋体" w:hAnsi="宋体"/>
                <w:kern w:val="0"/>
                <w:szCs w:val="21"/>
                <w:highlight w:val="none"/>
              </w:rPr>
            </w:pPr>
          </w:p>
        </w:tc>
      </w:tr>
      <w:tr w14:paraId="77D6AB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2F1AC1">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4D72538">
            <w:pPr>
              <w:autoSpaceDE w:val="0"/>
              <w:autoSpaceDN w:val="0"/>
              <w:adjustRightInd w:val="0"/>
              <w:snapToGrid w:val="0"/>
              <w:jc w:val="center"/>
              <w:rPr>
                <w:rFonts w:ascii="宋体" w:hAnsi="宋体"/>
                <w:kern w:val="0"/>
                <w:szCs w:val="21"/>
                <w:highlight w:val="none"/>
              </w:rPr>
            </w:pPr>
          </w:p>
        </w:tc>
        <w:tc>
          <w:tcPr>
            <w:tcW w:w="1388" w:type="dxa"/>
            <w:vAlign w:val="center"/>
          </w:tcPr>
          <w:p w14:paraId="3DB68B6C">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867AC97">
            <w:pPr>
              <w:autoSpaceDE w:val="0"/>
              <w:autoSpaceDN w:val="0"/>
              <w:adjustRightInd w:val="0"/>
              <w:snapToGrid w:val="0"/>
              <w:jc w:val="center"/>
              <w:rPr>
                <w:rFonts w:ascii="宋体" w:hAnsi="宋体"/>
                <w:kern w:val="0"/>
                <w:szCs w:val="21"/>
                <w:highlight w:val="none"/>
              </w:rPr>
            </w:pPr>
          </w:p>
        </w:tc>
      </w:tr>
      <w:tr w14:paraId="5C3A30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93D557">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609BA64F">
            <w:pPr>
              <w:autoSpaceDE w:val="0"/>
              <w:autoSpaceDN w:val="0"/>
              <w:adjustRightInd w:val="0"/>
              <w:snapToGrid w:val="0"/>
              <w:jc w:val="center"/>
              <w:rPr>
                <w:rFonts w:ascii="宋体" w:hAnsi="宋体"/>
                <w:kern w:val="0"/>
                <w:szCs w:val="21"/>
                <w:highlight w:val="none"/>
              </w:rPr>
            </w:pPr>
          </w:p>
        </w:tc>
        <w:tc>
          <w:tcPr>
            <w:tcW w:w="1388" w:type="dxa"/>
            <w:vAlign w:val="center"/>
          </w:tcPr>
          <w:p w14:paraId="596C618B">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37AD6F74">
            <w:pPr>
              <w:autoSpaceDE w:val="0"/>
              <w:autoSpaceDN w:val="0"/>
              <w:adjustRightInd w:val="0"/>
              <w:snapToGrid w:val="0"/>
              <w:jc w:val="center"/>
              <w:rPr>
                <w:rFonts w:ascii="宋体" w:hAnsi="宋体"/>
                <w:kern w:val="0"/>
                <w:szCs w:val="21"/>
                <w:highlight w:val="none"/>
              </w:rPr>
            </w:pPr>
          </w:p>
        </w:tc>
      </w:tr>
      <w:tr w14:paraId="41077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515374F">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0993DB0A">
            <w:pPr>
              <w:autoSpaceDE w:val="0"/>
              <w:autoSpaceDN w:val="0"/>
              <w:adjustRightInd w:val="0"/>
              <w:snapToGrid w:val="0"/>
              <w:jc w:val="center"/>
              <w:rPr>
                <w:rFonts w:ascii="宋体" w:hAnsi="宋体"/>
                <w:kern w:val="0"/>
                <w:szCs w:val="21"/>
                <w:highlight w:val="none"/>
              </w:rPr>
            </w:pPr>
          </w:p>
        </w:tc>
        <w:tc>
          <w:tcPr>
            <w:tcW w:w="1388" w:type="dxa"/>
            <w:vAlign w:val="center"/>
          </w:tcPr>
          <w:p w14:paraId="19915A0E">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5E625D1A">
            <w:pPr>
              <w:autoSpaceDE w:val="0"/>
              <w:autoSpaceDN w:val="0"/>
              <w:adjustRightInd w:val="0"/>
              <w:snapToGrid w:val="0"/>
              <w:jc w:val="center"/>
              <w:rPr>
                <w:rFonts w:ascii="宋体" w:hAnsi="宋体"/>
                <w:kern w:val="0"/>
                <w:szCs w:val="21"/>
                <w:highlight w:val="none"/>
              </w:rPr>
            </w:pPr>
          </w:p>
        </w:tc>
      </w:tr>
      <w:tr w14:paraId="4C6456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C6048F">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95997AE">
            <w:pPr>
              <w:autoSpaceDE w:val="0"/>
              <w:autoSpaceDN w:val="0"/>
              <w:adjustRightInd w:val="0"/>
              <w:snapToGrid w:val="0"/>
              <w:jc w:val="center"/>
              <w:rPr>
                <w:rFonts w:ascii="宋体" w:hAnsi="宋体"/>
                <w:kern w:val="0"/>
                <w:szCs w:val="21"/>
                <w:highlight w:val="none"/>
              </w:rPr>
            </w:pPr>
          </w:p>
        </w:tc>
        <w:tc>
          <w:tcPr>
            <w:tcW w:w="1388" w:type="dxa"/>
            <w:vAlign w:val="center"/>
          </w:tcPr>
          <w:p w14:paraId="590850C4">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5A5C16AC">
            <w:pPr>
              <w:autoSpaceDE w:val="0"/>
              <w:autoSpaceDN w:val="0"/>
              <w:adjustRightInd w:val="0"/>
              <w:snapToGrid w:val="0"/>
              <w:jc w:val="center"/>
              <w:rPr>
                <w:rFonts w:ascii="宋体" w:hAnsi="宋体"/>
                <w:kern w:val="0"/>
                <w:szCs w:val="21"/>
                <w:highlight w:val="none"/>
              </w:rPr>
            </w:pPr>
          </w:p>
        </w:tc>
      </w:tr>
    </w:tbl>
    <w:p w14:paraId="3223F2E8">
      <w:pPr>
        <w:spacing w:line="360" w:lineRule="auto"/>
        <w:rPr>
          <w:rFonts w:ascii="宋体" w:hAnsi="宋体"/>
          <w:highlight w:val="none"/>
        </w:rPr>
      </w:pPr>
      <w:bookmarkStart w:id="485" w:name="_Toc224103515"/>
    </w:p>
    <w:bookmarkEnd w:id="485"/>
    <w:p w14:paraId="12F11ED0">
      <w:pPr>
        <w:adjustRightInd w:val="0"/>
        <w:snapToGrid w:val="0"/>
        <w:spacing w:line="360" w:lineRule="auto"/>
        <w:rPr>
          <w:rFonts w:ascii="宋体" w:hAnsi="宋体"/>
          <w:highlight w:val="none"/>
        </w:rPr>
      </w:pPr>
    </w:p>
    <w:bookmarkEnd w:id="478"/>
    <w:bookmarkEnd w:id="479"/>
    <w:bookmarkEnd w:id="480"/>
    <w:bookmarkEnd w:id="481"/>
    <w:bookmarkEnd w:id="482"/>
    <w:p w14:paraId="728F0DD5">
      <w:pPr>
        <w:pStyle w:val="4"/>
        <w:spacing w:before="0" w:after="0" w:line="360" w:lineRule="auto"/>
        <w:jc w:val="center"/>
        <w:rPr>
          <w:rFonts w:ascii="宋体" w:hAnsi="宋体"/>
          <w:b w:val="0"/>
          <w:highlight w:val="none"/>
        </w:rPr>
      </w:pPr>
      <w:bookmarkStart w:id="486" w:name="_Toc11964"/>
      <w:r>
        <w:rPr>
          <w:rFonts w:ascii="宋体" w:hAnsi="宋体"/>
          <w:b w:val="0"/>
          <w:highlight w:val="none"/>
        </w:rPr>
        <w:t>（</w:t>
      </w:r>
      <w:r>
        <w:rPr>
          <w:rFonts w:hint="eastAsia" w:ascii="宋体" w:hAnsi="宋体"/>
          <w:b w:val="0"/>
          <w:highlight w:val="none"/>
          <w:lang w:val="en-US" w:eastAsia="zh-CN"/>
        </w:rPr>
        <w:t>四</w:t>
      </w:r>
      <w:r>
        <w:rPr>
          <w:rFonts w:ascii="宋体" w:hAnsi="宋体"/>
          <w:b w:val="0"/>
          <w:highlight w:val="none"/>
        </w:rPr>
        <w:t>）</w:t>
      </w:r>
      <w:r>
        <w:rPr>
          <w:rFonts w:hint="eastAsia" w:ascii="宋体" w:hAnsi="宋体"/>
          <w:b w:val="0"/>
          <w:highlight w:val="none"/>
        </w:rPr>
        <w:t>承诺</w:t>
      </w:r>
      <w:bookmarkEnd w:id="486"/>
    </w:p>
    <w:p w14:paraId="0120C438">
      <w:pPr>
        <w:snapToGrid w:val="0"/>
        <w:spacing w:line="380" w:lineRule="exact"/>
        <w:rPr>
          <w:rFonts w:ascii="宋体" w:hAnsi="宋体"/>
          <w:szCs w:val="21"/>
          <w:highlight w:val="none"/>
          <w:u w:val="single"/>
        </w:rPr>
      </w:pPr>
      <w:r>
        <w:rPr>
          <w:rFonts w:hint="eastAsia" w:ascii="宋体" w:hAnsi="宋体"/>
          <w:szCs w:val="21"/>
          <w:highlight w:val="none"/>
          <w:u w:val="single"/>
        </w:rPr>
        <w:t xml:space="preserve">        （</w:t>
      </w:r>
      <w:r>
        <w:rPr>
          <w:rFonts w:hint="eastAsia" w:ascii="宋体" w:hAnsi="宋体"/>
          <w:szCs w:val="21"/>
          <w:highlight w:val="none"/>
          <w:u w:val="single"/>
          <w:lang w:eastAsia="zh-CN"/>
        </w:rPr>
        <w:t>比选人</w:t>
      </w:r>
      <w:r>
        <w:rPr>
          <w:rFonts w:hint="eastAsia" w:ascii="宋体" w:hAnsi="宋体"/>
          <w:szCs w:val="21"/>
          <w:highlight w:val="none"/>
          <w:u w:val="single"/>
        </w:rPr>
        <w:t>名称）</w:t>
      </w:r>
      <w:r>
        <w:rPr>
          <w:rFonts w:hint="eastAsia" w:ascii="宋体" w:hAnsi="宋体"/>
          <w:szCs w:val="21"/>
          <w:highlight w:val="none"/>
        </w:rPr>
        <w:t>：</w:t>
      </w:r>
    </w:p>
    <w:p w14:paraId="7E70B19D">
      <w:pPr>
        <w:snapToGrid w:val="0"/>
        <w:spacing w:line="38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w:t>
      </w:r>
      <w:r>
        <w:rPr>
          <w:rFonts w:hint="eastAsia" w:ascii="宋体" w:hAnsi="宋体"/>
          <w:szCs w:val="21"/>
          <w:highlight w:val="none"/>
          <w:u w:val="single"/>
          <w:lang w:val="en-US" w:eastAsia="zh-CN"/>
        </w:rPr>
        <w:t>竞选</w:t>
      </w:r>
      <w:r>
        <w:rPr>
          <w:rFonts w:hint="eastAsia" w:ascii="宋体" w:hAnsi="宋体"/>
          <w:szCs w:val="21"/>
          <w:highlight w:val="none"/>
          <w:u w:val="single"/>
        </w:rPr>
        <w:t>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的投标，自愿作出以下承诺：</w:t>
      </w:r>
    </w:p>
    <w:p w14:paraId="77734575">
      <w:pPr>
        <w:snapToGrid w:val="0"/>
        <w:spacing w:line="380" w:lineRule="exact"/>
        <w:ind w:firstLine="420" w:firstLineChars="200"/>
        <w:rPr>
          <w:rFonts w:ascii="宋体" w:hAnsi="宋体"/>
          <w:szCs w:val="21"/>
          <w:highlight w:val="none"/>
        </w:rPr>
      </w:pPr>
      <w:r>
        <w:rPr>
          <w:rFonts w:hint="eastAsia" w:ascii="宋体" w:hAnsi="宋体"/>
          <w:szCs w:val="21"/>
          <w:highlight w:val="none"/>
        </w:rPr>
        <w:t>1、我公司投标截止日投标资格情况不存在下列情形之一：</w:t>
      </w:r>
    </w:p>
    <w:p w14:paraId="0653991C">
      <w:pPr>
        <w:snapToGrid w:val="0"/>
        <w:spacing w:line="38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14:paraId="4C4468E6">
      <w:pPr>
        <w:snapToGrid w:val="0"/>
        <w:spacing w:line="38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14:paraId="75A35793">
      <w:pPr>
        <w:snapToGrid w:val="0"/>
        <w:spacing w:line="38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14:paraId="1EC57F64">
      <w:pPr>
        <w:snapToGrid w:val="0"/>
        <w:spacing w:line="38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14:paraId="604CAF2D">
      <w:pPr>
        <w:snapToGrid w:val="0"/>
        <w:spacing w:line="38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主管部门暂停在渝承揽新业务且在暂停期内。</w:t>
      </w:r>
    </w:p>
    <w:p w14:paraId="2C2927C2">
      <w:pPr>
        <w:snapToGrid w:val="0"/>
        <w:spacing w:line="380" w:lineRule="exact"/>
        <w:ind w:firstLine="420" w:firstLineChars="200"/>
        <w:rPr>
          <w:rFonts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14:paraId="7780694E">
      <w:pPr>
        <w:snapToGrid w:val="0"/>
        <w:spacing w:line="380" w:lineRule="exact"/>
        <w:ind w:firstLine="420" w:firstLineChars="200"/>
        <w:rPr>
          <w:rFonts w:ascii="宋体" w:hAnsi="宋体"/>
          <w:szCs w:val="21"/>
          <w:highlight w:val="none"/>
        </w:rPr>
      </w:pPr>
      <w:r>
        <w:rPr>
          <w:rFonts w:hint="eastAsia" w:ascii="宋体" w:hAnsi="宋体"/>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208140AC">
      <w:pPr>
        <w:snapToGrid w:val="0"/>
        <w:spacing w:line="380" w:lineRule="exact"/>
        <w:ind w:firstLine="420" w:firstLineChars="200"/>
        <w:rPr>
          <w:rFonts w:ascii="宋体" w:hAnsi="宋体"/>
          <w:szCs w:val="21"/>
          <w:highlight w:val="none"/>
        </w:rPr>
      </w:pPr>
      <w:r>
        <w:rPr>
          <w:rFonts w:hint="eastAsia" w:ascii="宋体" w:hAnsi="宋体"/>
          <w:szCs w:val="21"/>
          <w:highlight w:val="none"/>
        </w:rPr>
        <w:t>2.2拟派的项目经理未被重庆市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5D27890">
      <w:pPr>
        <w:snapToGrid w:val="0"/>
        <w:spacing w:line="380" w:lineRule="exact"/>
        <w:ind w:firstLine="420" w:firstLineChars="200"/>
        <w:rPr>
          <w:rFonts w:ascii="宋体" w:hAnsi="宋体"/>
          <w:szCs w:val="21"/>
          <w:highlight w:val="none"/>
        </w:rPr>
      </w:pPr>
      <w:r>
        <w:rPr>
          <w:rFonts w:hint="eastAsia" w:ascii="宋体" w:hAnsi="宋体"/>
          <w:szCs w:val="21"/>
          <w:highlight w:val="none"/>
        </w:rPr>
        <w:t>2.3为保证我公司拟派的项目经理到本项目到岗履职，我公司还承诺：</w:t>
      </w:r>
    </w:p>
    <w:p w14:paraId="377FF4F9">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若我公司拟派本项目的项目经理有在其他项目任职的情形的（或有在其他项目中标或拟中标的情形的），应在收到中标通知书后</w:t>
      </w:r>
      <w:r>
        <w:rPr>
          <w:rFonts w:hint="eastAsia" w:ascii="宋体" w:hAnsi="宋体"/>
          <w:szCs w:val="21"/>
          <w:highlight w:val="none"/>
          <w:u w:val="single"/>
        </w:rPr>
        <w:t xml:space="preserve"> 14 </w:t>
      </w:r>
      <w:r>
        <w:rPr>
          <w:rFonts w:hint="eastAsia" w:ascii="宋体" w:hAnsi="宋体"/>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1BDFB4EF">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14:paraId="7F98CAB3">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若我公司拟派项目经理放弃在其他项目中标或拟中标的将提供：①经中标或拟中标的其他项目建设单位同意的放弃中标函。</w:t>
      </w:r>
    </w:p>
    <w:p w14:paraId="7C11AD26">
      <w:pPr>
        <w:numPr>
          <w:ilvl w:val="0"/>
          <w:numId w:val="107"/>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highlight w:val="none"/>
          <w:lang w:val="en-US" w:eastAsia="zh-CN"/>
        </w:rPr>
        <w:t>贵单位</w:t>
      </w:r>
      <w:r>
        <w:rPr>
          <w:rFonts w:hint="eastAsia" w:ascii="宋体" w:hAnsi="宋体"/>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highlight w:val="none"/>
          <w:lang w:val="en-US" w:eastAsia="zh-CN"/>
        </w:rPr>
        <w:t>贵单位</w:t>
      </w:r>
      <w:r>
        <w:rPr>
          <w:rFonts w:hint="eastAsia" w:ascii="宋体" w:hAnsi="宋体"/>
          <w:szCs w:val="21"/>
          <w:highlight w:val="none"/>
        </w:rPr>
        <w:t>造成损失的，我公司依法承担违约赔偿责任。</w:t>
      </w:r>
    </w:p>
    <w:p w14:paraId="529B8DF7">
      <w:pPr>
        <w:numPr>
          <w:ilvl w:val="0"/>
          <w:numId w:val="107"/>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我公司承诺：</w:t>
      </w:r>
      <w:r>
        <w:rPr>
          <w:rFonts w:hint="eastAsia" w:ascii="宋体" w:hAnsi="宋体"/>
          <w:szCs w:val="21"/>
          <w:highlight w:val="none"/>
          <w:lang w:val="en-US" w:eastAsia="zh-CN"/>
        </w:rPr>
        <w:t>技术标准</w:t>
      </w:r>
      <w:r>
        <w:rPr>
          <w:rFonts w:hint="eastAsia" w:ascii="宋体" w:hAnsi="宋体"/>
          <w:szCs w:val="21"/>
          <w:highlight w:val="none"/>
        </w:rPr>
        <w:t>给出的范围及数量内容不得修改，每项综合单价报价不得高于对应综合单价最高限价。</w:t>
      </w:r>
      <w:r>
        <w:rPr>
          <w:rFonts w:hint="eastAsia" w:ascii="宋体" w:hAnsi="宋体"/>
          <w:szCs w:val="21"/>
          <w:highlight w:val="none"/>
          <w:lang w:val="en-US" w:eastAsia="zh-CN"/>
        </w:rPr>
        <w:t>贵单位</w:t>
      </w:r>
      <w:r>
        <w:rPr>
          <w:rFonts w:hint="eastAsia" w:ascii="宋体" w:hAnsi="宋体"/>
          <w:szCs w:val="21"/>
          <w:highlight w:val="none"/>
        </w:rPr>
        <w:t>可在合同签订前对我公司已标价</w:t>
      </w:r>
      <w:r>
        <w:rPr>
          <w:rFonts w:hint="eastAsia" w:ascii="宋体" w:hAnsi="宋体"/>
          <w:szCs w:val="21"/>
          <w:highlight w:val="none"/>
          <w:lang w:val="en-US" w:eastAsia="zh-CN"/>
        </w:rPr>
        <w:t>综合单价</w:t>
      </w:r>
      <w:r>
        <w:rPr>
          <w:rFonts w:hint="eastAsia" w:ascii="宋体" w:hAnsi="宋体"/>
          <w:szCs w:val="21"/>
          <w:highlight w:val="none"/>
        </w:rPr>
        <w:t>进行清标。若发现我公司的综合单价报价超过</w:t>
      </w:r>
      <w:r>
        <w:rPr>
          <w:rFonts w:hint="eastAsia" w:ascii="宋体" w:hAnsi="宋体"/>
          <w:szCs w:val="21"/>
          <w:highlight w:val="none"/>
          <w:lang w:val="en-US" w:eastAsia="zh-CN"/>
        </w:rPr>
        <w:t>比选</w:t>
      </w:r>
      <w:r>
        <w:rPr>
          <w:rFonts w:hint="eastAsia" w:ascii="宋体" w:hAnsi="宋体"/>
          <w:szCs w:val="21"/>
          <w:highlight w:val="none"/>
        </w:rPr>
        <w:t>时给出的综合单价最高限价的，在工程结算时</w:t>
      </w:r>
      <w:r>
        <w:rPr>
          <w:rFonts w:hint="eastAsia" w:ascii="宋体" w:hAnsi="宋体"/>
          <w:szCs w:val="21"/>
          <w:highlight w:val="none"/>
          <w:lang w:val="en-US" w:eastAsia="zh-CN"/>
        </w:rPr>
        <w:t>贵单位</w:t>
      </w:r>
      <w:r>
        <w:rPr>
          <w:rFonts w:hint="eastAsia" w:ascii="宋体" w:hAnsi="宋体"/>
          <w:szCs w:val="21"/>
          <w:highlight w:val="none"/>
        </w:rPr>
        <w:t>以发出的综合单价最高限价为基础，按照我公司的中标总报价与本工程的总价最高限价的下浮比例进行同比例下调，我公司无条件接受，否则按我公司违约处理。</w:t>
      </w:r>
    </w:p>
    <w:p w14:paraId="0F335951">
      <w:pPr>
        <w:snapToGrid w:val="0"/>
        <w:spacing w:line="380" w:lineRule="exact"/>
        <w:ind w:firstLine="420" w:firstLineChars="200"/>
        <w:rPr>
          <w:rFonts w:ascii="宋体" w:hAnsi="宋体"/>
          <w:szCs w:val="21"/>
          <w:highlight w:val="none"/>
        </w:rPr>
      </w:pPr>
      <w:r>
        <w:rPr>
          <w:rFonts w:hint="eastAsia" w:ascii="宋体" w:hAnsi="宋体"/>
          <w:szCs w:val="21"/>
          <w:highlight w:val="none"/>
        </w:rPr>
        <w:t>5、我公司在资格审查部分中提供的相关证明材料真实有效，不存在弄虚作假情形。</w:t>
      </w:r>
      <w:r>
        <w:rPr>
          <w:rFonts w:hint="eastAsia" w:ascii="宋体" w:hAnsi="宋体"/>
          <w:szCs w:val="21"/>
          <w:highlight w:val="none"/>
          <w:u w:val="single"/>
          <w:lang w:val="en-US" w:eastAsia="zh-CN"/>
        </w:rPr>
        <w:t>贵单位</w:t>
      </w:r>
      <w:r>
        <w:rPr>
          <w:rFonts w:hint="eastAsia" w:ascii="宋体" w:hAnsi="宋体"/>
          <w:szCs w:val="21"/>
          <w:highlight w:val="none"/>
          <w:u w:val="single"/>
        </w:rPr>
        <w:t>在合同签订前均有权对我</w:t>
      </w:r>
      <w:r>
        <w:rPr>
          <w:rFonts w:hint="eastAsia" w:ascii="宋体" w:hAnsi="宋体"/>
          <w:szCs w:val="21"/>
          <w:highlight w:val="none"/>
          <w:u w:val="single"/>
          <w:lang w:val="en-US" w:eastAsia="zh-CN"/>
        </w:rPr>
        <w:t>公</w:t>
      </w:r>
      <w:r>
        <w:rPr>
          <w:rFonts w:hint="eastAsia" w:ascii="宋体" w:hAnsi="宋体"/>
          <w:szCs w:val="21"/>
          <w:highlight w:val="none"/>
          <w:u w:val="single"/>
        </w:rPr>
        <w:t>司提供的资料进行核实，若发现弄虚作假，</w:t>
      </w:r>
      <w:r>
        <w:rPr>
          <w:rFonts w:hint="eastAsia" w:ascii="宋体" w:hAnsi="宋体"/>
          <w:szCs w:val="21"/>
          <w:highlight w:val="none"/>
          <w:u w:val="single"/>
          <w:lang w:val="en-US" w:eastAsia="zh-CN"/>
        </w:rPr>
        <w:t>按相关规定</w:t>
      </w:r>
      <w:r>
        <w:rPr>
          <w:rFonts w:hint="eastAsia" w:ascii="宋体" w:hAnsi="宋体"/>
          <w:szCs w:val="21"/>
          <w:highlight w:val="none"/>
          <w:u w:val="single"/>
        </w:rPr>
        <w:t>取消</w:t>
      </w:r>
      <w:r>
        <w:rPr>
          <w:rFonts w:hint="eastAsia" w:ascii="宋体" w:hAnsi="宋体"/>
          <w:szCs w:val="21"/>
          <w:highlight w:val="none"/>
          <w:u w:val="single"/>
          <w:lang w:val="en-US" w:eastAsia="zh-CN"/>
        </w:rPr>
        <w:t>我公司</w:t>
      </w:r>
      <w:r>
        <w:rPr>
          <w:rFonts w:hint="eastAsia" w:ascii="宋体" w:hAnsi="宋体"/>
          <w:szCs w:val="21"/>
          <w:highlight w:val="none"/>
          <w:u w:val="single"/>
        </w:rPr>
        <w:t>中标资格，并按相关法律法规报招标投标监督部门，投标保证金不予退还，我</w:t>
      </w:r>
      <w:r>
        <w:rPr>
          <w:rFonts w:hint="eastAsia" w:ascii="宋体" w:hAnsi="宋体"/>
          <w:szCs w:val="21"/>
          <w:highlight w:val="none"/>
          <w:u w:val="single"/>
          <w:lang w:val="en-US" w:eastAsia="zh-CN"/>
        </w:rPr>
        <w:t>公</w:t>
      </w:r>
      <w:r>
        <w:rPr>
          <w:rFonts w:hint="eastAsia" w:ascii="宋体" w:hAnsi="宋体"/>
          <w:szCs w:val="21"/>
          <w:highlight w:val="none"/>
          <w:u w:val="single"/>
        </w:rPr>
        <w:t>司自愿承担因此造成的相关责任并赔偿相应损失</w:t>
      </w:r>
      <w:r>
        <w:rPr>
          <w:rFonts w:hint="eastAsia" w:ascii="宋体" w:hAnsi="宋体"/>
          <w:szCs w:val="21"/>
          <w:highlight w:val="none"/>
        </w:rPr>
        <w:t>。</w:t>
      </w:r>
    </w:p>
    <w:p w14:paraId="0734D1C8">
      <w:pPr>
        <w:snapToGrid w:val="0"/>
        <w:spacing w:line="380" w:lineRule="exact"/>
        <w:ind w:firstLine="420" w:firstLineChars="200"/>
        <w:rPr>
          <w:rFonts w:ascii="宋体" w:hAnsi="宋体"/>
          <w:szCs w:val="21"/>
          <w:highlight w:val="none"/>
        </w:rPr>
      </w:pPr>
      <w:r>
        <w:rPr>
          <w:rFonts w:hint="eastAsia" w:ascii="宋体" w:hAnsi="宋体"/>
          <w:szCs w:val="21"/>
          <w:highlight w:val="none"/>
        </w:rPr>
        <w:t>6、我公司不存在第二章 投标人须知第 1.4.3 项规定的任何一种情形。</w:t>
      </w:r>
    </w:p>
    <w:p w14:paraId="25EEA6B7">
      <w:pPr>
        <w:snapToGrid w:val="0"/>
        <w:spacing w:line="380" w:lineRule="exact"/>
        <w:ind w:firstLine="420" w:firstLineChars="200"/>
        <w:rPr>
          <w:rFonts w:ascii="宋体" w:hAnsi="宋体"/>
          <w:szCs w:val="21"/>
          <w:highlight w:val="none"/>
        </w:rPr>
      </w:pPr>
      <w:r>
        <w:rPr>
          <w:rFonts w:hint="eastAsia" w:ascii="宋体" w:hAnsi="宋体"/>
          <w:szCs w:val="21"/>
          <w:highlight w:val="none"/>
        </w:rPr>
        <w:t>7、我公司的投标文件符合第二章 投标人须知第 1.3.1 项的规定。</w:t>
      </w:r>
    </w:p>
    <w:p w14:paraId="1187BBBE">
      <w:pPr>
        <w:snapToGrid w:val="0"/>
        <w:spacing w:line="380" w:lineRule="exact"/>
        <w:ind w:firstLine="420" w:firstLineChars="200"/>
        <w:rPr>
          <w:rFonts w:ascii="宋体" w:hAnsi="宋体"/>
          <w:szCs w:val="21"/>
          <w:highlight w:val="none"/>
        </w:rPr>
      </w:pPr>
      <w:r>
        <w:rPr>
          <w:rFonts w:hint="eastAsia" w:ascii="宋体" w:hAnsi="宋体"/>
          <w:szCs w:val="21"/>
          <w:highlight w:val="none"/>
        </w:rPr>
        <w:t>8、我公司的投标文件符合第四章 合同条款及格式规定，投标文件中没有</w:t>
      </w:r>
      <w:r>
        <w:rPr>
          <w:rFonts w:hint="eastAsia" w:ascii="宋体" w:hAnsi="宋体"/>
          <w:szCs w:val="21"/>
          <w:highlight w:val="none"/>
          <w:lang w:val="en-US" w:eastAsia="zh-CN"/>
        </w:rPr>
        <w:t>贵单位</w:t>
      </w:r>
      <w:r>
        <w:rPr>
          <w:rFonts w:hint="eastAsia" w:ascii="宋体" w:hAnsi="宋体"/>
          <w:szCs w:val="21"/>
          <w:highlight w:val="none"/>
        </w:rPr>
        <w:t>不能接受的条件。</w:t>
      </w:r>
    </w:p>
    <w:p w14:paraId="790A8CDF">
      <w:pPr>
        <w:keepNext w:val="0"/>
        <w:keepLines w:val="0"/>
        <w:pageBreakBefore w:val="0"/>
        <w:widowControl w:val="0"/>
        <w:kinsoku/>
        <w:wordWrap/>
        <w:overflowPunct/>
        <w:topLinePunct w:val="0"/>
        <w:bidi w:val="0"/>
        <w:snapToGrid w:val="0"/>
        <w:spacing w:line="380" w:lineRule="exact"/>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9、我公司的投标文件符合第七章 技术标准和要求</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并根据技术标准和要求提供</w:t>
      </w:r>
      <w:r>
        <w:rPr>
          <w:rFonts w:hint="eastAsia" w:ascii="宋体" w:hAnsi="宋体"/>
          <w:b/>
          <w:bCs/>
          <w:color w:val="auto"/>
          <w:szCs w:val="21"/>
        </w:rPr>
        <w:t>公安部有效检测报告复印件加盖原厂公章或投标专用章</w:t>
      </w:r>
      <w:r>
        <w:rPr>
          <w:rFonts w:hint="eastAsia" w:ascii="宋体" w:hAnsi="宋体"/>
          <w:b/>
          <w:bCs/>
          <w:color w:val="auto"/>
          <w:szCs w:val="21"/>
          <w:highlight w:val="none"/>
        </w:rPr>
        <w:t>。</w:t>
      </w:r>
    </w:p>
    <w:p w14:paraId="5898C8A8">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10、我公司接受招标文件中关于“不平衡报价”的相关约定（如有）。</w:t>
      </w:r>
    </w:p>
    <w:p w14:paraId="060484E5">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11、我公司接受招标文件中关于“不允许负数报价”的相关要求（如有）</w:t>
      </w:r>
      <w:r>
        <w:rPr>
          <w:rFonts w:hint="eastAsia" w:ascii="宋体" w:hAnsi="宋体"/>
          <w:szCs w:val="21"/>
          <w:highlight w:val="none"/>
        </w:rPr>
        <w:t>。</w:t>
      </w:r>
    </w:p>
    <w:p w14:paraId="481E92A5">
      <w:pPr>
        <w:tabs>
          <w:tab w:val="left" w:pos="4200"/>
          <w:tab w:val="left" w:pos="4620"/>
        </w:tabs>
        <w:autoSpaceDE w:val="0"/>
        <w:autoSpaceDN w:val="0"/>
        <w:adjustRightInd w:val="0"/>
        <w:snapToGrid w:val="0"/>
        <w:spacing w:line="360" w:lineRule="auto"/>
        <w:jc w:val="left"/>
        <w:rPr>
          <w:rFonts w:ascii="宋体" w:hAnsi="宋体"/>
          <w:kern w:val="0"/>
          <w:szCs w:val="21"/>
          <w:highlight w:val="none"/>
        </w:rPr>
      </w:pPr>
    </w:p>
    <w:bookmarkEnd w:id="483"/>
    <w:bookmarkEnd w:id="484"/>
    <w:p w14:paraId="52A383B8">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3DF86549">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5EB2CFFD">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p>
    <w:p w14:paraId="6E26107E">
      <w:pPr>
        <w:tabs>
          <w:tab w:val="left" w:pos="6300"/>
        </w:tabs>
        <w:autoSpaceDE w:val="0"/>
        <w:autoSpaceDN w:val="0"/>
        <w:adjustRightInd w:val="0"/>
        <w:snapToGrid w:val="0"/>
        <w:ind w:firstLine="420" w:firstLineChars="200"/>
        <w:jc w:val="right"/>
        <w:rPr>
          <w:rFonts w:ascii="宋体" w:hAnsi="宋体"/>
          <w:b/>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日</w:t>
      </w:r>
    </w:p>
    <w:p w14:paraId="3CBC0439">
      <w:pPr>
        <w:rPr>
          <w:highlight w:val="none"/>
        </w:rPr>
      </w:pPr>
      <w:r>
        <w:rPr>
          <w:highlight w:val="none"/>
        </w:rPr>
        <w:br w:type="page"/>
      </w:r>
    </w:p>
    <w:p w14:paraId="43F01862">
      <w:pPr>
        <w:pStyle w:val="4"/>
        <w:spacing w:before="0" w:line="360" w:lineRule="auto"/>
        <w:jc w:val="center"/>
        <w:rPr>
          <w:rFonts w:ascii="宋体" w:hAnsi="宋体"/>
          <w:b w:val="0"/>
          <w:highlight w:val="none"/>
        </w:rPr>
      </w:pPr>
      <w:bookmarkStart w:id="487" w:name="_Toc25182"/>
      <w:r>
        <w:rPr>
          <w:rFonts w:hint="eastAsia" w:ascii="宋体" w:hAnsi="宋体"/>
          <w:b w:val="0"/>
          <w:highlight w:val="none"/>
        </w:rPr>
        <w:t>（</w:t>
      </w:r>
      <w:r>
        <w:rPr>
          <w:rFonts w:hint="eastAsia" w:ascii="宋体" w:hAnsi="宋体"/>
          <w:b w:val="0"/>
          <w:highlight w:val="none"/>
          <w:lang w:val="en-US" w:eastAsia="zh-CN"/>
        </w:rPr>
        <w:t>五</w:t>
      </w:r>
      <w:r>
        <w:rPr>
          <w:rFonts w:hint="eastAsia" w:ascii="宋体" w:hAnsi="宋体"/>
          <w:b w:val="0"/>
          <w:highlight w:val="none"/>
        </w:rPr>
        <w:t>）其他资料</w:t>
      </w:r>
      <w:bookmarkEnd w:id="487"/>
    </w:p>
    <w:bookmarkEnd w:id="369"/>
    <w:bookmarkEnd w:id="370"/>
    <w:bookmarkEnd w:id="371"/>
    <w:p w14:paraId="3A39B5F3">
      <w:pPr>
        <w:rPr>
          <w:rFonts w:hint="default"/>
          <w:sz w:val="24"/>
          <w:szCs w:val="24"/>
          <w:highlight w:val="none"/>
          <w:lang w:val="en-US" w:eastAsia="zh-CN"/>
        </w:rPr>
      </w:pPr>
      <w:r>
        <w:rPr>
          <w:rFonts w:hint="eastAsia"/>
          <w:sz w:val="24"/>
          <w:szCs w:val="24"/>
          <w:highlight w:val="none"/>
          <w:lang w:val="en-US" w:eastAsia="zh-CN"/>
        </w:rPr>
        <w:t>1.根据技术标准和要求提供公安部有效检测报告（</w:t>
      </w:r>
      <w:r>
        <w:rPr>
          <w:rFonts w:hint="eastAsia"/>
          <w:sz w:val="24"/>
          <w:szCs w:val="24"/>
          <w:highlight w:val="none"/>
          <w:lang w:val="en-US" w:eastAsia="zh-CN"/>
        </w:rPr>
        <w:t>复印件加盖原厂公章或投标专用章</w:t>
      </w:r>
      <w:r>
        <w:rPr>
          <w:rFonts w:hint="eastAsia"/>
          <w:sz w:val="24"/>
          <w:szCs w:val="24"/>
          <w:highlight w:val="none"/>
          <w:lang w:val="en-US" w:eastAsia="zh-CN"/>
        </w:rPr>
        <w:t>）</w:t>
      </w:r>
    </w:p>
    <w:p w14:paraId="5A607004">
      <w:pPr>
        <w:pStyle w:val="31"/>
        <w:rPr>
          <w:rFonts w:hint="default"/>
          <w:sz w:val="32"/>
          <w:szCs w:val="32"/>
          <w:lang w:val="en-US" w:eastAsia="zh-CN"/>
        </w:rPr>
      </w:pPr>
      <w:r>
        <w:rPr>
          <w:rFonts w:hint="eastAsia"/>
          <w:sz w:val="32"/>
          <w:szCs w:val="32"/>
          <w:lang w:val="en-US" w:eastAsia="zh-CN"/>
        </w:rPr>
        <w:t>2.……</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2D3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8AA2">
    <w:pPr>
      <w:pStyle w:val="29"/>
      <w:jc w:val="center"/>
    </w:pPr>
    <w:r>
      <w:fldChar w:fldCharType="begin"/>
    </w:r>
    <w:r>
      <w:instrText xml:space="preserve">PAGE   \* MERGEFORMAT</w:instrText>
    </w:r>
    <w:r>
      <w:fldChar w:fldCharType="separate"/>
    </w:r>
    <w:r>
      <w:rPr>
        <w:lang w:val="zh-CN"/>
      </w:rPr>
      <w:t>2</w:t>
    </w:r>
    <w:r>
      <w:fldChar w:fldCharType="end"/>
    </w:r>
  </w:p>
  <w:p w14:paraId="3A17D159">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A45E0">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35CD">
    <w:pPr>
      <w:pStyle w:val="17"/>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69DAC1BE">
                          <w:pPr>
                            <w:pStyle w:val="29"/>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lvw/RAAAAAwEAAA8AAAAAAAAAAQAgAAAAIgAAAGRycy9kb3ducmV2LnhtbFBLAQIU&#10;ABQAAAAIAIdO4kBw8oQp+gEAAAEEAAAOAAAAAAAAAAEAIAAAACABAABkcnMvZTJvRG9jLnhtbFBL&#10;BQYAAAAABgAGAFkBAACMBQAAAAA=&#10;">
              <v:fill on="f" focussize="0,0"/>
              <v:stroke on="f"/>
              <v:imagedata o:title=""/>
              <o:lock v:ext="edit" aspectratio="f"/>
              <v:textbox inset="0mm,0mm,0mm,0mm" style="mso-fit-shape-to-text:t;">
                <w:txbxContent>
                  <w:p w14:paraId="69DAC1BE">
                    <w:pPr>
                      <w:pStyle w:val="2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2ACF">
    <w:pPr>
      <w:pStyle w:val="17"/>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3594D4DF">
                          <w:pPr>
                            <w:pStyle w:val="29"/>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b8P0QAAAAMBAAAPAAAAAAAAAAEAIAAAACIAAABkcnMvZG93bnJldi54bWxQSwEC&#10;FAAUAAAACACHTuJAjIt62vsBAAABBAAADgAAAAAAAAABACAAAAAgAQAAZHJzL2Uyb0RvYy54bWxQ&#10;SwUGAAAAAAYABgBZAQAAjQUAAAAA&#10;">
              <v:fill on="f" focussize="0,0"/>
              <v:stroke on="f"/>
              <v:imagedata o:title=""/>
              <o:lock v:ext="edit" aspectratio="f"/>
              <v:textbox inset="0mm,0mm,0mm,0mm" style="mso-fit-shape-to-text:t;">
                <w:txbxContent>
                  <w:p w14:paraId="3594D4DF">
                    <w:pPr>
                      <w:pStyle w:val="2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788DA31">
      <w:pPr>
        <w:pStyle w:val="34"/>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0434">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273" w:hanging="527"/>
      </w:pPr>
      <w:rPr>
        <w:rFonts w:hint="default"/>
        <w:spacing w:val="-1"/>
        <w:sz w:val="19"/>
        <w:szCs w:val="19"/>
        <w:u w:val="single" w:color="000000"/>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1">
    <w:nsid w:val="825EC3C5"/>
    <w:multiLevelType w:val="multilevel"/>
    <w:tmpl w:val="825EC3C5"/>
    <w:lvl w:ilvl="0" w:tentative="0">
      <w:start w:val="1"/>
      <w:numFmt w:val="decimal"/>
      <w:lvlText w:val="（%1）"/>
      <w:lvlJc w:val="left"/>
      <w:pPr>
        <w:ind w:left="161" w:hanging="527"/>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2">
    <w:nsid w:val="87B75F0A"/>
    <w:multiLevelType w:val="multilevel"/>
    <w:tmpl w:val="87B75F0A"/>
    <w:lvl w:ilvl="0" w:tentative="0">
      <w:start w:val="1"/>
      <w:numFmt w:val="decimal"/>
      <w:lvlText w:val="%1."/>
      <w:lvlJc w:val="left"/>
      <w:pPr>
        <w:ind w:left="326" w:hanging="211"/>
        <w:jc w:val="right"/>
      </w:pPr>
      <w:rPr>
        <w:rFonts w:hint="default" w:ascii="宋体" w:hAnsi="宋体" w:eastAsia="宋体" w:cs="宋体"/>
        <w:w w:val="100"/>
        <w:sz w:val="19"/>
        <w:szCs w:val="19"/>
        <w:lang w:val="zh-CN" w:eastAsia="zh-CN" w:bidi="zh-CN"/>
      </w:rPr>
    </w:lvl>
    <w:lvl w:ilvl="1" w:tentative="0">
      <w:start w:val="0"/>
      <w:numFmt w:val="bullet"/>
      <w:lvlText w:val="•"/>
      <w:lvlJc w:val="left"/>
      <w:pPr>
        <w:ind w:left="1381" w:hanging="211"/>
      </w:pPr>
      <w:rPr>
        <w:rFonts w:hint="default"/>
        <w:lang w:val="zh-CN" w:eastAsia="zh-CN" w:bidi="zh-CN"/>
      </w:rPr>
    </w:lvl>
    <w:lvl w:ilvl="2" w:tentative="0">
      <w:start w:val="0"/>
      <w:numFmt w:val="bullet"/>
      <w:lvlText w:val="•"/>
      <w:lvlJc w:val="left"/>
      <w:pPr>
        <w:ind w:left="2442" w:hanging="211"/>
      </w:pPr>
      <w:rPr>
        <w:rFonts w:hint="default"/>
        <w:lang w:val="zh-CN" w:eastAsia="zh-CN" w:bidi="zh-CN"/>
      </w:rPr>
    </w:lvl>
    <w:lvl w:ilvl="3" w:tentative="0">
      <w:start w:val="0"/>
      <w:numFmt w:val="bullet"/>
      <w:lvlText w:val="•"/>
      <w:lvlJc w:val="left"/>
      <w:pPr>
        <w:ind w:left="3503" w:hanging="211"/>
      </w:pPr>
      <w:rPr>
        <w:rFonts w:hint="default"/>
        <w:lang w:val="zh-CN" w:eastAsia="zh-CN" w:bidi="zh-CN"/>
      </w:rPr>
    </w:lvl>
    <w:lvl w:ilvl="4" w:tentative="0">
      <w:start w:val="0"/>
      <w:numFmt w:val="bullet"/>
      <w:lvlText w:val="•"/>
      <w:lvlJc w:val="left"/>
      <w:pPr>
        <w:ind w:left="4564" w:hanging="211"/>
      </w:pPr>
      <w:rPr>
        <w:rFonts w:hint="default"/>
        <w:lang w:val="zh-CN" w:eastAsia="zh-CN" w:bidi="zh-CN"/>
      </w:rPr>
    </w:lvl>
    <w:lvl w:ilvl="5" w:tentative="0">
      <w:start w:val="0"/>
      <w:numFmt w:val="bullet"/>
      <w:lvlText w:val="•"/>
      <w:lvlJc w:val="left"/>
      <w:pPr>
        <w:ind w:left="5625" w:hanging="211"/>
      </w:pPr>
      <w:rPr>
        <w:rFonts w:hint="default"/>
        <w:lang w:val="zh-CN" w:eastAsia="zh-CN" w:bidi="zh-CN"/>
      </w:rPr>
    </w:lvl>
    <w:lvl w:ilvl="6" w:tentative="0">
      <w:start w:val="0"/>
      <w:numFmt w:val="bullet"/>
      <w:lvlText w:val="•"/>
      <w:lvlJc w:val="left"/>
      <w:pPr>
        <w:ind w:left="6686" w:hanging="211"/>
      </w:pPr>
      <w:rPr>
        <w:rFonts w:hint="default"/>
        <w:lang w:val="zh-CN" w:eastAsia="zh-CN" w:bidi="zh-CN"/>
      </w:rPr>
    </w:lvl>
    <w:lvl w:ilvl="7" w:tentative="0">
      <w:start w:val="0"/>
      <w:numFmt w:val="bullet"/>
      <w:lvlText w:val="•"/>
      <w:lvlJc w:val="left"/>
      <w:pPr>
        <w:ind w:left="7747" w:hanging="211"/>
      </w:pPr>
      <w:rPr>
        <w:rFonts w:hint="default"/>
        <w:lang w:val="zh-CN" w:eastAsia="zh-CN" w:bidi="zh-CN"/>
      </w:rPr>
    </w:lvl>
    <w:lvl w:ilvl="8" w:tentative="0">
      <w:start w:val="0"/>
      <w:numFmt w:val="bullet"/>
      <w:lvlText w:val="•"/>
      <w:lvlJc w:val="left"/>
      <w:pPr>
        <w:ind w:left="8808" w:hanging="211"/>
      </w:pPr>
      <w:rPr>
        <w:rFonts w:hint="default"/>
        <w:lang w:val="zh-CN" w:eastAsia="zh-CN" w:bidi="zh-CN"/>
      </w:rPr>
    </w:lvl>
  </w:abstractNum>
  <w:abstractNum w:abstractNumId="3">
    <w:nsid w:val="883B3669"/>
    <w:multiLevelType w:val="multilevel"/>
    <w:tmpl w:val="883B3669"/>
    <w:lvl w:ilvl="0" w:tentative="0">
      <w:start w:val="9"/>
      <w:numFmt w:val="decimal"/>
      <w:lvlText w:val="%1"/>
      <w:lvlJc w:val="left"/>
      <w:pPr>
        <w:ind w:left="326" w:hanging="586"/>
      </w:pPr>
      <w:rPr>
        <w:rFonts w:hint="default"/>
        <w:lang w:val="zh-CN" w:eastAsia="zh-CN" w:bidi="zh-CN"/>
      </w:rPr>
    </w:lvl>
    <w:lvl w:ilvl="1" w:tentative="0">
      <w:start w:val="4"/>
      <w:numFmt w:val="decimal"/>
      <w:lvlText w:val="%1.%2"/>
      <w:lvlJc w:val="left"/>
      <w:pPr>
        <w:ind w:left="326" w:hanging="586"/>
      </w:pPr>
      <w:rPr>
        <w:rFonts w:hint="default"/>
        <w:lang w:val="zh-CN" w:eastAsia="zh-CN" w:bidi="zh-CN"/>
      </w:rPr>
    </w:lvl>
    <w:lvl w:ilvl="2" w:tentative="0">
      <w:start w:val="4"/>
      <w:numFmt w:val="decimal"/>
      <w:lvlText w:val="%1.%2.%3"/>
      <w:lvlJc w:val="left"/>
      <w:pPr>
        <w:ind w:left="326" w:hanging="586"/>
      </w:pPr>
      <w:rPr>
        <w:rFonts w:hint="default" w:ascii="宋体" w:hAnsi="宋体" w:eastAsia="宋体" w:cs="宋体"/>
        <w:w w:val="100"/>
        <w:sz w:val="21"/>
        <w:szCs w:val="21"/>
        <w:lang w:val="zh-CN" w:eastAsia="zh-CN" w:bidi="zh-CN"/>
      </w:rPr>
    </w:lvl>
    <w:lvl w:ilvl="3" w:tentative="0">
      <w:start w:val="0"/>
      <w:numFmt w:val="bullet"/>
      <w:lvlText w:val="•"/>
      <w:lvlJc w:val="left"/>
      <w:pPr>
        <w:ind w:left="3503" w:hanging="586"/>
      </w:pPr>
      <w:rPr>
        <w:rFonts w:hint="default"/>
        <w:lang w:val="zh-CN" w:eastAsia="zh-CN" w:bidi="zh-CN"/>
      </w:rPr>
    </w:lvl>
    <w:lvl w:ilvl="4" w:tentative="0">
      <w:start w:val="0"/>
      <w:numFmt w:val="bullet"/>
      <w:lvlText w:val="•"/>
      <w:lvlJc w:val="left"/>
      <w:pPr>
        <w:ind w:left="4564" w:hanging="586"/>
      </w:pPr>
      <w:rPr>
        <w:rFonts w:hint="default"/>
        <w:lang w:val="zh-CN" w:eastAsia="zh-CN" w:bidi="zh-CN"/>
      </w:rPr>
    </w:lvl>
    <w:lvl w:ilvl="5" w:tentative="0">
      <w:start w:val="0"/>
      <w:numFmt w:val="bullet"/>
      <w:lvlText w:val="•"/>
      <w:lvlJc w:val="left"/>
      <w:pPr>
        <w:ind w:left="5625" w:hanging="586"/>
      </w:pPr>
      <w:rPr>
        <w:rFonts w:hint="default"/>
        <w:lang w:val="zh-CN" w:eastAsia="zh-CN" w:bidi="zh-CN"/>
      </w:rPr>
    </w:lvl>
    <w:lvl w:ilvl="6" w:tentative="0">
      <w:start w:val="0"/>
      <w:numFmt w:val="bullet"/>
      <w:lvlText w:val="•"/>
      <w:lvlJc w:val="left"/>
      <w:pPr>
        <w:ind w:left="6686" w:hanging="586"/>
      </w:pPr>
      <w:rPr>
        <w:rFonts w:hint="default"/>
        <w:lang w:val="zh-CN" w:eastAsia="zh-CN" w:bidi="zh-CN"/>
      </w:rPr>
    </w:lvl>
    <w:lvl w:ilvl="7" w:tentative="0">
      <w:start w:val="0"/>
      <w:numFmt w:val="bullet"/>
      <w:lvlText w:val="•"/>
      <w:lvlJc w:val="left"/>
      <w:pPr>
        <w:ind w:left="7747" w:hanging="586"/>
      </w:pPr>
      <w:rPr>
        <w:rFonts w:hint="default"/>
        <w:lang w:val="zh-CN" w:eastAsia="zh-CN" w:bidi="zh-CN"/>
      </w:rPr>
    </w:lvl>
    <w:lvl w:ilvl="8" w:tentative="0">
      <w:start w:val="0"/>
      <w:numFmt w:val="bullet"/>
      <w:lvlText w:val="•"/>
      <w:lvlJc w:val="left"/>
      <w:pPr>
        <w:ind w:left="8808" w:hanging="586"/>
      </w:pPr>
      <w:rPr>
        <w:rFonts w:hint="default"/>
        <w:lang w:val="zh-CN" w:eastAsia="zh-CN" w:bidi="zh-CN"/>
      </w:rPr>
    </w:lvl>
  </w:abstractNum>
  <w:abstractNum w:abstractNumId="4">
    <w:nsid w:val="91B69C97"/>
    <w:multiLevelType w:val="multilevel"/>
    <w:tmpl w:val="91B69C97"/>
    <w:lvl w:ilvl="0" w:tentative="0">
      <w:start w:val="3"/>
      <w:numFmt w:val="decimal"/>
      <w:lvlText w:val="%1"/>
      <w:lvlJc w:val="left"/>
      <w:pPr>
        <w:ind w:left="1107" w:hanging="360"/>
      </w:pPr>
      <w:rPr>
        <w:rFonts w:hint="default"/>
        <w:lang w:val="zh-CN" w:eastAsia="zh-CN" w:bidi="zh-CN"/>
      </w:rPr>
    </w:lvl>
    <w:lvl w:ilvl="1" w:tentative="0">
      <w:start w:val="5"/>
      <w:numFmt w:val="decimal"/>
      <w:lvlText w:val="%1.%2"/>
      <w:lvlJc w:val="left"/>
      <w:pPr>
        <w:ind w:left="1107"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424" w:hanging="526"/>
      </w:pPr>
      <w:rPr>
        <w:rFonts w:hint="default"/>
        <w:lang w:val="zh-CN" w:eastAsia="zh-CN" w:bidi="zh-CN"/>
      </w:rPr>
    </w:lvl>
    <w:lvl w:ilvl="4" w:tentative="0">
      <w:start w:val="0"/>
      <w:numFmt w:val="bullet"/>
      <w:lvlText w:val="•"/>
      <w:lvlJc w:val="left"/>
      <w:pPr>
        <w:ind w:left="4496" w:hanging="526"/>
      </w:pPr>
      <w:rPr>
        <w:rFonts w:hint="default"/>
        <w:lang w:val="zh-CN" w:eastAsia="zh-CN" w:bidi="zh-CN"/>
      </w:rPr>
    </w:lvl>
    <w:lvl w:ilvl="5" w:tentative="0">
      <w:start w:val="0"/>
      <w:numFmt w:val="bullet"/>
      <w:lvlText w:val="•"/>
      <w:lvlJc w:val="left"/>
      <w:pPr>
        <w:ind w:left="5568" w:hanging="526"/>
      </w:pPr>
      <w:rPr>
        <w:rFonts w:hint="default"/>
        <w:lang w:val="zh-CN" w:eastAsia="zh-CN" w:bidi="zh-CN"/>
      </w:rPr>
    </w:lvl>
    <w:lvl w:ilvl="6" w:tentative="0">
      <w:start w:val="0"/>
      <w:numFmt w:val="bullet"/>
      <w:lvlText w:val="•"/>
      <w:lvlJc w:val="left"/>
      <w:pPr>
        <w:ind w:left="6641" w:hanging="526"/>
      </w:pPr>
      <w:rPr>
        <w:rFonts w:hint="default"/>
        <w:lang w:val="zh-CN" w:eastAsia="zh-CN" w:bidi="zh-CN"/>
      </w:rPr>
    </w:lvl>
    <w:lvl w:ilvl="7" w:tentative="0">
      <w:start w:val="0"/>
      <w:numFmt w:val="bullet"/>
      <w:lvlText w:val="•"/>
      <w:lvlJc w:val="left"/>
      <w:pPr>
        <w:ind w:left="7713" w:hanging="526"/>
      </w:pPr>
      <w:rPr>
        <w:rFonts w:hint="default"/>
        <w:lang w:val="zh-CN" w:eastAsia="zh-CN" w:bidi="zh-CN"/>
      </w:rPr>
    </w:lvl>
    <w:lvl w:ilvl="8" w:tentative="0">
      <w:start w:val="0"/>
      <w:numFmt w:val="bullet"/>
      <w:lvlText w:val="•"/>
      <w:lvlJc w:val="left"/>
      <w:pPr>
        <w:ind w:left="8785" w:hanging="526"/>
      </w:pPr>
      <w:rPr>
        <w:rFonts w:hint="default"/>
        <w:lang w:val="zh-CN" w:eastAsia="zh-CN" w:bidi="zh-CN"/>
      </w:rPr>
    </w:lvl>
  </w:abstractNum>
  <w:abstractNum w:abstractNumId="5">
    <w:nsid w:val="9377BC45"/>
    <w:multiLevelType w:val="multilevel"/>
    <w:tmpl w:val="9377BC45"/>
    <w:lvl w:ilvl="0" w:tentative="0">
      <w:start w:val="1"/>
      <w:numFmt w:val="decimal"/>
      <w:lvlText w:val="%1"/>
      <w:lvlJc w:val="left"/>
      <w:pPr>
        <w:ind w:left="1047" w:hanging="466"/>
      </w:pPr>
      <w:rPr>
        <w:rFonts w:hint="default"/>
        <w:lang w:val="zh-CN" w:eastAsia="zh-CN" w:bidi="zh-CN"/>
      </w:rPr>
    </w:lvl>
    <w:lvl w:ilvl="1" w:tentative="0">
      <w:start w:val="11"/>
      <w:numFmt w:val="decimal"/>
      <w:lvlText w:val="%1.%2"/>
      <w:lvlJc w:val="left"/>
      <w:pPr>
        <w:ind w:left="1047" w:hanging="466"/>
      </w:pPr>
      <w:rPr>
        <w:rFonts w:hint="default" w:ascii="微软雅黑" w:hAnsi="微软雅黑" w:eastAsia="微软雅黑" w:cs="微软雅黑"/>
        <w:b/>
        <w:bCs/>
        <w:spacing w:val="0"/>
        <w:w w:val="81"/>
        <w:sz w:val="19"/>
        <w:szCs w:val="19"/>
        <w:lang w:val="zh-CN" w:eastAsia="zh-CN" w:bidi="zh-CN"/>
      </w:rPr>
    </w:lvl>
    <w:lvl w:ilvl="2" w:tentative="0">
      <w:start w:val="1"/>
      <w:numFmt w:val="decimal"/>
      <w:lvlText w:val="%1.%2.%3"/>
      <w:lvlJc w:val="left"/>
      <w:pPr>
        <w:ind w:left="1213" w:hanging="631"/>
      </w:pPr>
      <w:rPr>
        <w:rFonts w:hint="default" w:ascii="宋体" w:hAnsi="宋体" w:eastAsia="宋体" w:cs="宋体"/>
        <w:w w:val="100"/>
        <w:sz w:val="19"/>
        <w:szCs w:val="19"/>
        <w:lang w:val="zh-CN" w:eastAsia="zh-CN" w:bidi="zh-CN"/>
      </w:rPr>
    </w:lvl>
    <w:lvl w:ilvl="3" w:tentative="0">
      <w:start w:val="0"/>
      <w:numFmt w:val="bullet"/>
      <w:lvlText w:val="•"/>
      <w:lvlJc w:val="left"/>
      <w:pPr>
        <w:ind w:left="3377" w:hanging="631"/>
      </w:pPr>
      <w:rPr>
        <w:rFonts w:hint="default"/>
        <w:lang w:val="zh-CN" w:eastAsia="zh-CN" w:bidi="zh-CN"/>
      </w:rPr>
    </w:lvl>
    <w:lvl w:ilvl="4" w:tentative="0">
      <w:start w:val="0"/>
      <w:numFmt w:val="bullet"/>
      <w:lvlText w:val="•"/>
      <w:lvlJc w:val="left"/>
      <w:pPr>
        <w:ind w:left="4456" w:hanging="631"/>
      </w:pPr>
      <w:rPr>
        <w:rFonts w:hint="default"/>
        <w:lang w:val="zh-CN" w:eastAsia="zh-CN" w:bidi="zh-CN"/>
      </w:rPr>
    </w:lvl>
    <w:lvl w:ilvl="5" w:tentative="0">
      <w:start w:val="0"/>
      <w:numFmt w:val="bullet"/>
      <w:lvlText w:val="•"/>
      <w:lvlJc w:val="left"/>
      <w:pPr>
        <w:ind w:left="5535" w:hanging="631"/>
      </w:pPr>
      <w:rPr>
        <w:rFonts w:hint="default"/>
        <w:lang w:val="zh-CN" w:eastAsia="zh-CN" w:bidi="zh-CN"/>
      </w:rPr>
    </w:lvl>
    <w:lvl w:ilvl="6" w:tentative="0">
      <w:start w:val="0"/>
      <w:numFmt w:val="bullet"/>
      <w:lvlText w:val="•"/>
      <w:lvlJc w:val="left"/>
      <w:pPr>
        <w:ind w:left="6614" w:hanging="631"/>
      </w:pPr>
      <w:rPr>
        <w:rFonts w:hint="default"/>
        <w:lang w:val="zh-CN" w:eastAsia="zh-CN" w:bidi="zh-CN"/>
      </w:rPr>
    </w:lvl>
    <w:lvl w:ilvl="7" w:tentative="0">
      <w:start w:val="0"/>
      <w:numFmt w:val="bullet"/>
      <w:lvlText w:val="•"/>
      <w:lvlJc w:val="left"/>
      <w:pPr>
        <w:ind w:left="7693" w:hanging="631"/>
      </w:pPr>
      <w:rPr>
        <w:rFonts w:hint="default"/>
        <w:lang w:val="zh-CN" w:eastAsia="zh-CN" w:bidi="zh-CN"/>
      </w:rPr>
    </w:lvl>
    <w:lvl w:ilvl="8" w:tentative="0">
      <w:start w:val="0"/>
      <w:numFmt w:val="bullet"/>
      <w:lvlText w:val="•"/>
      <w:lvlJc w:val="left"/>
      <w:pPr>
        <w:ind w:left="8772" w:hanging="631"/>
      </w:pPr>
      <w:rPr>
        <w:rFonts w:hint="default"/>
        <w:lang w:val="zh-CN" w:eastAsia="zh-CN" w:bidi="zh-CN"/>
      </w:rPr>
    </w:lvl>
  </w:abstractNum>
  <w:abstractNum w:abstractNumId="6">
    <w:nsid w:val="941D12A9"/>
    <w:multiLevelType w:val="multilevel"/>
    <w:tmpl w:val="941D12A9"/>
    <w:lvl w:ilvl="0" w:tentative="0">
      <w:start w:val="2"/>
      <w:numFmt w:val="decimal"/>
      <w:lvlText w:val="%1."/>
      <w:lvlJc w:val="left"/>
      <w:pPr>
        <w:ind w:left="898" w:hanging="316"/>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1903" w:hanging="316"/>
      </w:pPr>
      <w:rPr>
        <w:rFonts w:hint="default"/>
        <w:lang w:val="zh-CN" w:eastAsia="zh-CN" w:bidi="zh-CN"/>
      </w:rPr>
    </w:lvl>
    <w:lvl w:ilvl="2" w:tentative="0">
      <w:start w:val="0"/>
      <w:numFmt w:val="bullet"/>
      <w:lvlText w:val="•"/>
      <w:lvlJc w:val="left"/>
      <w:pPr>
        <w:ind w:left="2906" w:hanging="316"/>
      </w:pPr>
      <w:rPr>
        <w:rFonts w:hint="default"/>
        <w:lang w:val="zh-CN" w:eastAsia="zh-CN" w:bidi="zh-CN"/>
      </w:rPr>
    </w:lvl>
    <w:lvl w:ilvl="3" w:tentative="0">
      <w:start w:val="0"/>
      <w:numFmt w:val="bullet"/>
      <w:lvlText w:val="•"/>
      <w:lvlJc w:val="left"/>
      <w:pPr>
        <w:ind w:left="3909" w:hanging="316"/>
      </w:pPr>
      <w:rPr>
        <w:rFonts w:hint="default"/>
        <w:lang w:val="zh-CN" w:eastAsia="zh-CN" w:bidi="zh-CN"/>
      </w:rPr>
    </w:lvl>
    <w:lvl w:ilvl="4" w:tentative="0">
      <w:start w:val="0"/>
      <w:numFmt w:val="bullet"/>
      <w:lvlText w:val="•"/>
      <w:lvlJc w:val="left"/>
      <w:pPr>
        <w:ind w:left="4912" w:hanging="316"/>
      </w:pPr>
      <w:rPr>
        <w:rFonts w:hint="default"/>
        <w:lang w:val="zh-CN" w:eastAsia="zh-CN" w:bidi="zh-CN"/>
      </w:rPr>
    </w:lvl>
    <w:lvl w:ilvl="5" w:tentative="0">
      <w:start w:val="0"/>
      <w:numFmt w:val="bullet"/>
      <w:lvlText w:val="•"/>
      <w:lvlJc w:val="left"/>
      <w:pPr>
        <w:ind w:left="5915" w:hanging="316"/>
      </w:pPr>
      <w:rPr>
        <w:rFonts w:hint="default"/>
        <w:lang w:val="zh-CN" w:eastAsia="zh-CN" w:bidi="zh-CN"/>
      </w:rPr>
    </w:lvl>
    <w:lvl w:ilvl="6" w:tentative="0">
      <w:start w:val="0"/>
      <w:numFmt w:val="bullet"/>
      <w:lvlText w:val="•"/>
      <w:lvlJc w:val="left"/>
      <w:pPr>
        <w:ind w:left="6918" w:hanging="316"/>
      </w:pPr>
      <w:rPr>
        <w:rFonts w:hint="default"/>
        <w:lang w:val="zh-CN" w:eastAsia="zh-CN" w:bidi="zh-CN"/>
      </w:rPr>
    </w:lvl>
    <w:lvl w:ilvl="7" w:tentative="0">
      <w:start w:val="0"/>
      <w:numFmt w:val="bullet"/>
      <w:lvlText w:val="•"/>
      <w:lvlJc w:val="left"/>
      <w:pPr>
        <w:ind w:left="7921" w:hanging="316"/>
      </w:pPr>
      <w:rPr>
        <w:rFonts w:hint="default"/>
        <w:lang w:val="zh-CN" w:eastAsia="zh-CN" w:bidi="zh-CN"/>
      </w:rPr>
    </w:lvl>
    <w:lvl w:ilvl="8" w:tentative="0">
      <w:start w:val="0"/>
      <w:numFmt w:val="bullet"/>
      <w:lvlText w:val="•"/>
      <w:lvlJc w:val="left"/>
      <w:pPr>
        <w:ind w:left="8924" w:hanging="316"/>
      </w:pPr>
      <w:rPr>
        <w:rFonts w:hint="default"/>
        <w:lang w:val="zh-CN" w:eastAsia="zh-CN" w:bidi="zh-CN"/>
      </w:rPr>
    </w:lvl>
  </w:abstractNum>
  <w:abstractNum w:abstractNumId="7">
    <w:nsid w:val="95E682A1"/>
    <w:multiLevelType w:val="multilevel"/>
    <w:tmpl w:val="95E682A1"/>
    <w:lvl w:ilvl="0" w:tentative="0">
      <w:start w:val="17"/>
      <w:numFmt w:val="decimal"/>
      <w:lvlText w:val="%1"/>
      <w:lvlJc w:val="left"/>
      <w:pPr>
        <w:ind w:left="1047" w:hanging="466"/>
      </w:pPr>
      <w:rPr>
        <w:rFonts w:hint="default"/>
        <w:lang w:val="zh-CN" w:eastAsia="zh-CN" w:bidi="zh-CN"/>
      </w:rPr>
    </w:lvl>
    <w:lvl w:ilvl="1" w:tentative="0">
      <w:start w:val="3"/>
      <w:numFmt w:val="decimal"/>
      <w:lvlText w:val="%1.%2"/>
      <w:lvlJc w:val="left"/>
      <w:pPr>
        <w:ind w:left="1047" w:hanging="466"/>
        <w:jc w:val="right"/>
      </w:pPr>
      <w:rPr>
        <w:rFonts w:hint="default" w:ascii="微软雅黑" w:hAnsi="微软雅黑" w:eastAsia="微软雅黑" w:cs="微软雅黑"/>
        <w:b/>
        <w:bCs/>
        <w:spacing w:val="0"/>
        <w:w w:val="81"/>
        <w:sz w:val="19"/>
        <w:szCs w:val="19"/>
        <w:lang w:val="zh-CN" w:eastAsia="zh-CN" w:bidi="zh-CN"/>
      </w:rPr>
    </w:lvl>
    <w:lvl w:ilvl="2" w:tentative="0">
      <w:start w:val="1"/>
      <w:numFmt w:val="decimal"/>
      <w:lvlText w:val="%1.%2.%3"/>
      <w:lvlJc w:val="left"/>
      <w:pPr>
        <w:ind w:left="161" w:hanging="631"/>
      </w:pPr>
      <w:rPr>
        <w:rFonts w:hint="default" w:ascii="宋体" w:hAnsi="宋体" w:eastAsia="宋体" w:cs="宋体"/>
        <w:w w:val="100"/>
        <w:sz w:val="19"/>
        <w:szCs w:val="19"/>
        <w:lang w:val="zh-CN" w:eastAsia="zh-CN" w:bidi="zh-CN"/>
      </w:rPr>
    </w:lvl>
    <w:lvl w:ilvl="3" w:tentative="0">
      <w:start w:val="1"/>
      <w:numFmt w:val="decimal"/>
      <w:lvlText w:val="（%4）"/>
      <w:lvlJc w:val="left"/>
      <w:pPr>
        <w:ind w:left="326" w:hanging="527"/>
      </w:pPr>
      <w:rPr>
        <w:rFonts w:hint="default" w:ascii="宋体" w:hAnsi="宋体" w:eastAsia="宋体" w:cs="宋体"/>
        <w:spacing w:val="-5"/>
        <w:w w:val="100"/>
        <w:sz w:val="19"/>
        <w:szCs w:val="19"/>
        <w:lang w:val="zh-CN" w:eastAsia="zh-CN" w:bidi="zh-CN"/>
      </w:rPr>
    </w:lvl>
    <w:lvl w:ilvl="4" w:tentative="0">
      <w:start w:val="0"/>
      <w:numFmt w:val="bullet"/>
      <w:lvlText w:val="•"/>
      <w:lvlJc w:val="left"/>
      <w:pPr>
        <w:ind w:left="3512" w:hanging="527"/>
      </w:pPr>
      <w:rPr>
        <w:rFonts w:hint="default"/>
        <w:lang w:val="zh-CN" w:eastAsia="zh-CN" w:bidi="zh-CN"/>
      </w:rPr>
    </w:lvl>
    <w:lvl w:ilvl="5" w:tentative="0">
      <w:start w:val="0"/>
      <w:numFmt w:val="bullet"/>
      <w:lvlText w:val="•"/>
      <w:lvlJc w:val="left"/>
      <w:pPr>
        <w:ind w:left="4748" w:hanging="527"/>
      </w:pPr>
      <w:rPr>
        <w:rFonts w:hint="default"/>
        <w:lang w:val="zh-CN" w:eastAsia="zh-CN" w:bidi="zh-CN"/>
      </w:rPr>
    </w:lvl>
    <w:lvl w:ilvl="6" w:tentative="0">
      <w:start w:val="0"/>
      <w:numFmt w:val="bullet"/>
      <w:lvlText w:val="•"/>
      <w:lvlJc w:val="left"/>
      <w:pPr>
        <w:ind w:left="5985" w:hanging="527"/>
      </w:pPr>
      <w:rPr>
        <w:rFonts w:hint="default"/>
        <w:lang w:val="zh-CN" w:eastAsia="zh-CN" w:bidi="zh-CN"/>
      </w:rPr>
    </w:lvl>
    <w:lvl w:ilvl="7" w:tentative="0">
      <w:start w:val="0"/>
      <w:numFmt w:val="bullet"/>
      <w:lvlText w:val="•"/>
      <w:lvlJc w:val="left"/>
      <w:pPr>
        <w:ind w:left="7221" w:hanging="527"/>
      </w:pPr>
      <w:rPr>
        <w:rFonts w:hint="default"/>
        <w:lang w:val="zh-CN" w:eastAsia="zh-CN" w:bidi="zh-CN"/>
      </w:rPr>
    </w:lvl>
    <w:lvl w:ilvl="8" w:tentative="0">
      <w:start w:val="0"/>
      <w:numFmt w:val="bullet"/>
      <w:lvlText w:val="•"/>
      <w:lvlJc w:val="left"/>
      <w:pPr>
        <w:ind w:left="8457" w:hanging="527"/>
      </w:pPr>
      <w:rPr>
        <w:rFonts w:hint="default"/>
        <w:lang w:val="zh-CN" w:eastAsia="zh-CN" w:bidi="zh-CN"/>
      </w:rPr>
    </w:lvl>
  </w:abstractNum>
  <w:abstractNum w:abstractNumId="8">
    <w:nsid w:val="98CD717A"/>
    <w:multiLevelType w:val="multilevel"/>
    <w:tmpl w:val="98CD717A"/>
    <w:lvl w:ilvl="0" w:tentative="0">
      <w:start w:val="1"/>
      <w:numFmt w:val="decimal"/>
      <w:lvlText w:val="（%1）"/>
      <w:lvlJc w:val="left"/>
      <w:pPr>
        <w:ind w:left="161" w:hanging="527"/>
      </w:pPr>
      <w:rPr>
        <w:rFonts w:hint="default" w:ascii="宋体" w:hAnsi="宋体" w:eastAsia="宋体" w:cs="宋体"/>
        <w:spacing w:val="-7"/>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9">
    <w:nsid w:val="9ACF65A0"/>
    <w:multiLevelType w:val="multilevel"/>
    <w:tmpl w:val="9ACF65A0"/>
    <w:lvl w:ilvl="0" w:tentative="0">
      <w:start w:val="1"/>
      <w:numFmt w:val="decimal"/>
      <w:lvlText w:val="%1"/>
      <w:lvlJc w:val="left"/>
      <w:pPr>
        <w:ind w:left="942" w:hanging="360"/>
      </w:pPr>
      <w:rPr>
        <w:rFonts w:hint="default"/>
        <w:lang w:val="zh-CN" w:eastAsia="zh-CN" w:bidi="zh-CN"/>
      </w:rPr>
    </w:lvl>
    <w:lvl w:ilvl="1" w:tentative="0">
      <w:start w:val="4"/>
      <w:numFmt w:val="decimal"/>
      <w:lvlText w:val="%1.%2"/>
      <w:lvlJc w:val="left"/>
      <w:pPr>
        <w:ind w:left="942" w:hanging="360"/>
        <w:jc w:val="right"/>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108"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2486" w:hanging="526"/>
      </w:pPr>
      <w:rPr>
        <w:rFonts w:hint="default"/>
        <w:lang w:val="zh-CN" w:eastAsia="zh-CN" w:bidi="zh-CN"/>
      </w:rPr>
    </w:lvl>
    <w:lvl w:ilvl="4" w:tentative="0">
      <w:start w:val="0"/>
      <w:numFmt w:val="bullet"/>
      <w:lvlText w:val="•"/>
      <w:lvlJc w:val="left"/>
      <w:pPr>
        <w:ind w:left="3692" w:hanging="526"/>
      </w:pPr>
      <w:rPr>
        <w:rFonts w:hint="default"/>
        <w:lang w:val="zh-CN" w:eastAsia="zh-CN" w:bidi="zh-CN"/>
      </w:rPr>
    </w:lvl>
    <w:lvl w:ilvl="5" w:tentative="0">
      <w:start w:val="0"/>
      <w:numFmt w:val="bullet"/>
      <w:lvlText w:val="•"/>
      <w:lvlJc w:val="left"/>
      <w:pPr>
        <w:ind w:left="4898" w:hanging="526"/>
      </w:pPr>
      <w:rPr>
        <w:rFonts w:hint="default"/>
        <w:lang w:val="zh-CN" w:eastAsia="zh-CN" w:bidi="zh-CN"/>
      </w:rPr>
    </w:lvl>
    <w:lvl w:ilvl="6" w:tentative="0">
      <w:start w:val="0"/>
      <w:numFmt w:val="bullet"/>
      <w:lvlText w:val="•"/>
      <w:lvlJc w:val="left"/>
      <w:pPr>
        <w:ind w:left="6105" w:hanging="526"/>
      </w:pPr>
      <w:rPr>
        <w:rFonts w:hint="default"/>
        <w:lang w:val="zh-CN" w:eastAsia="zh-CN" w:bidi="zh-CN"/>
      </w:rPr>
    </w:lvl>
    <w:lvl w:ilvl="7" w:tentative="0">
      <w:start w:val="0"/>
      <w:numFmt w:val="bullet"/>
      <w:lvlText w:val="•"/>
      <w:lvlJc w:val="left"/>
      <w:pPr>
        <w:ind w:left="7311" w:hanging="526"/>
      </w:pPr>
      <w:rPr>
        <w:rFonts w:hint="default"/>
        <w:lang w:val="zh-CN" w:eastAsia="zh-CN" w:bidi="zh-CN"/>
      </w:rPr>
    </w:lvl>
    <w:lvl w:ilvl="8" w:tentative="0">
      <w:start w:val="0"/>
      <w:numFmt w:val="bullet"/>
      <w:lvlText w:val="•"/>
      <w:lvlJc w:val="left"/>
      <w:pPr>
        <w:ind w:left="8517" w:hanging="526"/>
      </w:pPr>
      <w:rPr>
        <w:rFonts w:hint="default"/>
        <w:lang w:val="zh-CN" w:eastAsia="zh-CN" w:bidi="zh-CN"/>
      </w:rPr>
    </w:lvl>
  </w:abstractNum>
  <w:abstractNum w:abstractNumId="10">
    <w:nsid w:val="9C7198AA"/>
    <w:multiLevelType w:val="multilevel"/>
    <w:tmpl w:val="9C7198AA"/>
    <w:lvl w:ilvl="0" w:tentative="0">
      <w:start w:val="1"/>
      <w:numFmt w:val="decimal"/>
      <w:lvlText w:val="%1）"/>
      <w:lvlJc w:val="left"/>
      <w:pPr>
        <w:ind w:left="898" w:hanging="316"/>
      </w:pPr>
      <w:rPr>
        <w:rFonts w:hint="default"/>
        <w:sz w:val="19"/>
        <w:szCs w:val="19"/>
        <w:u w:val="single" w:color="000000"/>
        <w:lang w:val="zh-CN" w:eastAsia="zh-CN" w:bidi="zh-CN"/>
      </w:rPr>
    </w:lvl>
    <w:lvl w:ilvl="1" w:tentative="0">
      <w:start w:val="2"/>
      <w:numFmt w:val="decimal"/>
      <w:lvlText w:val="%2）"/>
      <w:lvlJc w:val="left"/>
      <w:pPr>
        <w:ind w:left="1063" w:hanging="317"/>
      </w:pPr>
      <w:rPr>
        <w:rFonts w:hint="default"/>
        <w:sz w:val="19"/>
        <w:szCs w:val="19"/>
        <w:u w:val="single" w:color="000000"/>
        <w:lang w:val="zh-CN" w:eastAsia="zh-CN" w:bidi="zh-CN"/>
      </w:rPr>
    </w:lvl>
    <w:lvl w:ilvl="2" w:tentative="0">
      <w:start w:val="0"/>
      <w:numFmt w:val="bullet"/>
      <w:lvlText w:val="•"/>
      <w:lvlJc w:val="left"/>
      <w:pPr>
        <w:ind w:left="2156" w:hanging="317"/>
      </w:pPr>
      <w:rPr>
        <w:rFonts w:hint="default"/>
        <w:lang w:val="zh-CN" w:eastAsia="zh-CN" w:bidi="zh-CN"/>
      </w:rPr>
    </w:lvl>
    <w:lvl w:ilvl="3" w:tentative="0">
      <w:start w:val="0"/>
      <w:numFmt w:val="bullet"/>
      <w:lvlText w:val="•"/>
      <w:lvlJc w:val="left"/>
      <w:pPr>
        <w:ind w:left="3253" w:hanging="317"/>
      </w:pPr>
      <w:rPr>
        <w:rFonts w:hint="default"/>
        <w:lang w:val="zh-CN" w:eastAsia="zh-CN" w:bidi="zh-CN"/>
      </w:rPr>
    </w:lvl>
    <w:lvl w:ilvl="4" w:tentative="0">
      <w:start w:val="0"/>
      <w:numFmt w:val="bullet"/>
      <w:lvlText w:val="•"/>
      <w:lvlJc w:val="left"/>
      <w:pPr>
        <w:ind w:left="4350" w:hanging="317"/>
      </w:pPr>
      <w:rPr>
        <w:rFonts w:hint="default"/>
        <w:lang w:val="zh-CN" w:eastAsia="zh-CN" w:bidi="zh-CN"/>
      </w:rPr>
    </w:lvl>
    <w:lvl w:ilvl="5" w:tentative="0">
      <w:start w:val="0"/>
      <w:numFmt w:val="bullet"/>
      <w:lvlText w:val="•"/>
      <w:lvlJc w:val="left"/>
      <w:pPr>
        <w:ind w:left="5446" w:hanging="317"/>
      </w:pPr>
      <w:rPr>
        <w:rFonts w:hint="default"/>
        <w:lang w:val="zh-CN" w:eastAsia="zh-CN" w:bidi="zh-CN"/>
      </w:rPr>
    </w:lvl>
    <w:lvl w:ilvl="6" w:tentative="0">
      <w:start w:val="0"/>
      <w:numFmt w:val="bullet"/>
      <w:lvlText w:val="•"/>
      <w:lvlJc w:val="left"/>
      <w:pPr>
        <w:ind w:left="6543" w:hanging="317"/>
      </w:pPr>
      <w:rPr>
        <w:rFonts w:hint="default"/>
        <w:lang w:val="zh-CN" w:eastAsia="zh-CN" w:bidi="zh-CN"/>
      </w:rPr>
    </w:lvl>
    <w:lvl w:ilvl="7" w:tentative="0">
      <w:start w:val="0"/>
      <w:numFmt w:val="bullet"/>
      <w:lvlText w:val="•"/>
      <w:lvlJc w:val="left"/>
      <w:pPr>
        <w:ind w:left="7640" w:hanging="317"/>
      </w:pPr>
      <w:rPr>
        <w:rFonts w:hint="default"/>
        <w:lang w:val="zh-CN" w:eastAsia="zh-CN" w:bidi="zh-CN"/>
      </w:rPr>
    </w:lvl>
    <w:lvl w:ilvl="8" w:tentative="0">
      <w:start w:val="0"/>
      <w:numFmt w:val="bullet"/>
      <w:lvlText w:val="•"/>
      <w:lvlJc w:val="left"/>
      <w:pPr>
        <w:ind w:left="8736" w:hanging="317"/>
      </w:pPr>
      <w:rPr>
        <w:rFonts w:hint="default"/>
        <w:lang w:val="zh-CN" w:eastAsia="zh-CN" w:bidi="zh-CN"/>
      </w:rPr>
    </w:lvl>
  </w:abstractNum>
  <w:abstractNum w:abstractNumId="11">
    <w:nsid w:val="9D5D7490"/>
    <w:multiLevelType w:val="multilevel"/>
    <w:tmpl w:val="9D5D7490"/>
    <w:lvl w:ilvl="0" w:tentative="0">
      <w:start w:val="2"/>
      <w:numFmt w:val="decimal"/>
      <w:lvlText w:val="%1"/>
      <w:lvlJc w:val="left"/>
      <w:pPr>
        <w:ind w:left="1107" w:hanging="360"/>
      </w:pPr>
      <w:rPr>
        <w:rFonts w:hint="default"/>
        <w:lang w:val="zh-CN" w:eastAsia="zh-CN" w:bidi="zh-CN"/>
      </w:rPr>
    </w:lvl>
    <w:lvl w:ilvl="1" w:tentative="0">
      <w:start w:val="4"/>
      <w:numFmt w:val="decimal"/>
      <w:lvlText w:val="%1.%2"/>
      <w:lvlJc w:val="left"/>
      <w:pPr>
        <w:ind w:left="1107" w:hanging="360"/>
        <w:jc w:val="right"/>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jc w:val="right"/>
      </w:pPr>
      <w:rPr>
        <w:rFonts w:hint="default" w:ascii="宋体" w:hAnsi="宋体" w:eastAsia="宋体" w:cs="宋体"/>
        <w:w w:val="100"/>
        <w:sz w:val="19"/>
        <w:szCs w:val="19"/>
        <w:lang w:val="zh-CN" w:eastAsia="zh-CN" w:bidi="zh-CN"/>
      </w:rPr>
    </w:lvl>
    <w:lvl w:ilvl="3" w:tentative="0">
      <w:start w:val="1"/>
      <w:numFmt w:val="decimal"/>
      <w:lvlText w:val="%1.%2.%3.%4"/>
      <w:lvlJc w:val="left"/>
      <w:pPr>
        <w:ind w:left="1483" w:hanging="736"/>
      </w:pPr>
      <w:rPr>
        <w:rFonts w:hint="default" w:ascii="宋体" w:hAnsi="宋体" w:eastAsia="宋体" w:cs="宋体"/>
        <w:w w:val="100"/>
        <w:sz w:val="19"/>
        <w:szCs w:val="19"/>
        <w:lang w:val="zh-CN" w:eastAsia="zh-CN" w:bidi="zh-CN"/>
      </w:rPr>
    </w:lvl>
    <w:lvl w:ilvl="4" w:tentative="0">
      <w:start w:val="0"/>
      <w:numFmt w:val="bullet"/>
      <w:lvlText w:val="•"/>
      <w:lvlJc w:val="left"/>
      <w:pPr>
        <w:ind w:left="3842" w:hanging="736"/>
      </w:pPr>
      <w:rPr>
        <w:rFonts w:hint="default"/>
        <w:lang w:val="zh-CN" w:eastAsia="zh-CN" w:bidi="zh-CN"/>
      </w:rPr>
    </w:lvl>
    <w:lvl w:ilvl="5" w:tentative="0">
      <w:start w:val="0"/>
      <w:numFmt w:val="bullet"/>
      <w:lvlText w:val="•"/>
      <w:lvlJc w:val="left"/>
      <w:pPr>
        <w:ind w:left="5023" w:hanging="736"/>
      </w:pPr>
      <w:rPr>
        <w:rFonts w:hint="default"/>
        <w:lang w:val="zh-CN" w:eastAsia="zh-CN" w:bidi="zh-CN"/>
      </w:rPr>
    </w:lvl>
    <w:lvl w:ilvl="6" w:tentative="0">
      <w:start w:val="0"/>
      <w:numFmt w:val="bullet"/>
      <w:lvlText w:val="•"/>
      <w:lvlJc w:val="left"/>
      <w:pPr>
        <w:ind w:left="6205" w:hanging="736"/>
      </w:pPr>
      <w:rPr>
        <w:rFonts w:hint="default"/>
        <w:lang w:val="zh-CN" w:eastAsia="zh-CN" w:bidi="zh-CN"/>
      </w:rPr>
    </w:lvl>
    <w:lvl w:ilvl="7" w:tentative="0">
      <w:start w:val="0"/>
      <w:numFmt w:val="bullet"/>
      <w:lvlText w:val="•"/>
      <w:lvlJc w:val="left"/>
      <w:pPr>
        <w:ind w:left="7386" w:hanging="736"/>
      </w:pPr>
      <w:rPr>
        <w:rFonts w:hint="default"/>
        <w:lang w:val="zh-CN" w:eastAsia="zh-CN" w:bidi="zh-CN"/>
      </w:rPr>
    </w:lvl>
    <w:lvl w:ilvl="8" w:tentative="0">
      <w:start w:val="0"/>
      <w:numFmt w:val="bullet"/>
      <w:lvlText w:val="•"/>
      <w:lvlJc w:val="left"/>
      <w:pPr>
        <w:ind w:left="8567" w:hanging="736"/>
      </w:pPr>
      <w:rPr>
        <w:rFonts w:hint="default"/>
        <w:lang w:val="zh-CN" w:eastAsia="zh-CN" w:bidi="zh-CN"/>
      </w:rPr>
    </w:lvl>
  </w:abstractNum>
  <w:abstractNum w:abstractNumId="12">
    <w:nsid w:val="9D7EB8E6"/>
    <w:multiLevelType w:val="multilevel"/>
    <w:tmpl w:val="9D7EB8E6"/>
    <w:lvl w:ilvl="0" w:tentative="0">
      <w:start w:val="1"/>
      <w:numFmt w:val="decimal"/>
      <w:lvlText w:val="（%1）"/>
      <w:lvlJc w:val="left"/>
      <w:pPr>
        <w:ind w:left="1273" w:hanging="527"/>
      </w:pPr>
      <w:rPr>
        <w:rFonts w:hint="default" w:ascii="宋体" w:hAnsi="宋体" w:eastAsia="宋体" w:cs="宋体"/>
        <w:spacing w:val="-49"/>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13">
    <w:nsid w:val="9DFC6F65"/>
    <w:multiLevelType w:val="multilevel"/>
    <w:tmpl w:val="9DFC6F65"/>
    <w:lvl w:ilvl="0" w:tentative="0">
      <w:start w:val="1"/>
      <w:numFmt w:val="decimal"/>
      <w:lvlText w:val="（%1）"/>
      <w:lvlJc w:val="left"/>
      <w:pPr>
        <w:ind w:left="1273" w:hanging="527"/>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14">
    <w:nsid w:val="9F81B9F9"/>
    <w:multiLevelType w:val="multilevel"/>
    <w:tmpl w:val="9F81B9F9"/>
    <w:lvl w:ilvl="0" w:tentative="0">
      <w:start w:val="1"/>
      <w:numFmt w:val="decimal"/>
      <w:lvlText w:val="（%1）"/>
      <w:lvlJc w:val="left"/>
      <w:pPr>
        <w:ind w:left="1108" w:hanging="527"/>
      </w:pPr>
      <w:rPr>
        <w:rFonts w:hint="default"/>
        <w:sz w:val="19"/>
        <w:szCs w:val="19"/>
        <w:u w:val="single" w:color="000000"/>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15">
    <w:nsid w:val="A5435042"/>
    <w:multiLevelType w:val="multilevel"/>
    <w:tmpl w:val="A5435042"/>
    <w:lvl w:ilvl="0" w:tentative="0">
      <w:start w:val="1"/>
      <w:numFmt w:val="decimal"/>
      <w:lvlText w:val="%1."/>
      <w:lvlJc w:val="left"/>
      <w:pPr>
        <w:ind w:left="326" w:hanging="317"/>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381" w:hanging="317"/>
      </w:pPr>
      <w:rPr>
        <w:rFonts w:hint="default"/>
        <w:lang w:val="zh-CN" w:eastAsia="zh-CN" w:bidi="zh-CN"/>
      </w:rPr>
    </w:lvl>
    <w:lvl w:ilvl="2" w:tentative="0">
      <w:start w:val="0"/>
      <w:numFmt w:val="bullet"/>
      <w:lvlText w:val="•"/>
      <w:lvlJc w:val="left"/>
      <w:pPr>
        <w:ind w:left="2442" w:hanging="317"/>
      </w:pPr>
      <w:rPr>
        <w:rFonts w:hint="default"/>
        <w:lang w:val="zh-CN" w:eastAsia="zh-CN" w:bidi="zh-CN"/>
      </w:rPr>
    </w:lvl>
    <w:lvl w:ilvl="3" w:tentative="0">
      <w:start w:val="0"/>
      <w:numFmt w:val="bullet"/>
      <w:lvlText w:val="•"/>
      <w:lvlJc w:val="left"/>
      <w:pPr>
        <w:ind w:left="3503" w:hanging="317"/>
      </w:pPr>
      <w:rPr>
        <w:rFonts w:hint="default"/>
        <w:lang w:val="zh-CN" w:eastAsia="zh-CN" w:bidi="zh-CN"/>
      </w:rPr>
    </w:lvl>
    <w:lvl w:ilvl="4" w:tentative="0">
      <w:start w:val="0"/>
      <w:numFmt w:val="bullet"/>
      <w:lvlText w:val="•"/>
      <w:lvlJc w:val="left"/>
      <w:pPr>
        <w:ind w:left="4564" w:hanging="317"/>
      </w:pPr>
      <w:rPr>
        <w:rFonts w:hint="default"/>
        <w:lang w:val="zh-CN" w:eastAsia="zh-CN" w:bidi="zh-CN"/>
      </w:rPr>
    </w:lvl>
    <w:lvl w:ilvl="5" w:tentative="0">
      <w:start w:val="0"/>
      <w:numFmt w:val="bullet"/>
      <w:lvlText w:val="•"/>
      <w:lvlJc w:val="left"/>
      <w:pPr>
        <w:ind w:left="5625" w:hanging="317"/>
      </w:pPr>
      <w:rPr>
        <w:rFonts w:hint="default"/>
        <w:lang w:val="zh-CN" w:eastAsia="zh-CN" w:bidi="zh-CN"/>
      </w:rPr>
    </w:lvl>
    <w:lvl w:ilvl="6" w:tentative="0">
      <w:start w:val="0"/>
      <w:numFmt w:val="bullet"/>
      <w:lvlText w:val="•"/>
      <w:lvlJc w:val="left"/>
      <w:pPr>
        <w:ind w:left="6686" w:hanging="317"/>
      </w:pPr>
      <w:rPr>
        <w:rFonts w:hint="default"/>
        <w:lang w:val="zh-CN" w:eastAsia="zh-CN" w:bidi="zh-CN"/>
      </w:rPr>
    </w:lvl>
    <w:lvl w:ilvl="7" w:tentative="0">
      <w:start w:val="0"/>
      <w:numFmt w:val="bullet"/>
      <w:lvlText w:val="•"/>
      <w:lvlJc w:val="left"/>
      <w:pPr>
        <w:ind w:left="7747" w:hanging="317"/>
      </w:pPr>
      <w:rPr>
        <w:rFonts w:hint="default"/>
        <w:lang w:val="zh-CN" w:eastAsia="zh-CN" w:bidi="zh-CN"/>
      </w:rPr>
    </w:lvl>
    <w:lvl w:ilvl="8" w:tentative="0">
      <w:start w:val="0"/>
      <w:numFmt w:val="bullet"/>
      <w:lvlText w:val="•"/>
      <w:lvlJc w:val="left"/>
      <w:pPr>
        <w:ind w:left="8808" w:hanging="317"/>
      </w:pPr>
      <w:rPr>
        <w:rFonts w:hint="default"/>
        <w:lang w:val="zh-CN" w:eastAsia="zh-CN" w:bidi="zh-CN"/>
      </w:rPr>
    </w:lvl>
  </w:abstractNum>
  <w:abstractNum w:abstractNumId="16">
    <w:nsid w:val="A97D620A"/>
    <w:multiLevelType w:val="multilevel"/>
    <w:tmpl w:val="A97D620A"/>
    <w:lvl w:ilvl="0" w:tentative="0">
      <w:start w:val="1"/>
      <w:numFmt w:val="decimal"/>
      <w:lvlText w:val="%1."/>
      <w:lvlJc w:val="left"/>
      <w:pPr>
        <w:ind w:left="958" w:hanging="211"/>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1957" w:hanging="211"/>
      </w:pPr>
      <w:rPr>
        <w:rFonts w:hint="default"/>
        <w:lang w:val="zh-CN" w:eastAsia="zh-CN" w:bidi="zh-CN"/>
      </w:rPr>
    </w:lvl>
    <w:lvl w:ilvl="2" w:tentative="0">
      <w:start w:val="0"/>
      <w:numFmt w:val="bullet"/>
      <w:lvlText w:val="•"/>
      <w:lvlJc w:val="left"/>
      <w:pPr>
        <w:ind w:left="2954" w:hanging="211"/>
      </w:pPr>
      <w:rPr>
        <w:rFonts w:hint="default"/>
        <w:lang w:val="zh-CN" w:eastAsia="zh-CN" w:bidi="zh-CN"/>
      </w:rPr>
    </w:lvl>
    <w:lvl w:ilvl="3" w:tentative="0">
      <w:start w:val="0"/>
      <w:numFmt w:val="bullet"/>
      <w:lvlText w:val="•"/>
      <w:lvlJc w:val="left"/>
      <w:pPr>
        <w:ind w:left="3951" w:hanging="211"/>
      </w:pPr>
      <w:rPr>
        <w:rFonts w:hint="default"/>
        <w:lang w:val="zh-CN" w:eastAsia="zh-CN" w:bidi="zh-CN"/>
      </w:rPr>
    </w:lvl>
    <w:lvl w:ilvl="4" w:tentative="0">
      <w:start w:val="0"/>
      <w:numFmt w:val="bullet"/>
      <w:lvlText w:val="•"/>
      <w:lvlJc w:val="left"/>
      <w:pPr>
        <w:ind w:left="4948" w:hanging="211"/>
      </w:pPr>
      <w:rPr>
        <w:rFonts w:hint="default"/>
        <w:lang w:val="zh-CN" w:eastAsia="zh-CN" w:bidi="zh-CN"/>
      </w:rPr>
    </w:lvl>
    <w:lvl w:ilvl="5" w:tentative="0">
      <w:start w:val="0"/>
      <w:numFmt w:val="bullet"/>
      <w:lvlText w:val="•"/>
      <w:lvlJc w:val="left"/>
      <w:pPr>
        <w:ind w:left="5945" w:hanging="211"/>
      </w:pPr>
      <w:rPr>
        <w:rFonts w:hint="default"/>
        <w:lang w:val="zh-CN" w:eastAsia="zh-CN" w:bidi="zh-CN"/>
      </w:rPr>
    </w:lvl>
    <w:lvl w:ilvl="6" w:tentative="0">
      <w:start w:val="0"/>
      <w:numFmt w:val="bullet"/>
      <w:lvlText w:val="•"/>
      <w:lvlJc w:val="left"/>
      <w:pPr>
        <w:ind w:left="6942" w:hanging="211"/>
      </w:pPr>
      <w:rPr>
        <w:rFonts w:hint="default"/>
        <w:lang w:val="zh-CN" w:eastAsia="zh-CN" w:bidi="zh-CN"/>
      </w:rPr>
    </w:lvl>
    <w:lvl w:ilvl="7" w:tentative="0">
      <w:start w:val="0"/>
      <w:numFmt w:val="bullet"/>
      <w:lvlText w:val="•"/>
      <w:lvlJc w:val="left"/>
      <w:pPr>
        <w:ind w:left="7939" w:hanging="211"/>
      </w:pPr>
      <w:rPr>
        <w:rFonts w:hint="default"/>
        <w:lang w:val="zh-CN" w:eastAsia="zh-CN" w:bidi="zh-CN"/>
      </w:rPr>
    </w:lvl>
    <w:lvl w:ilvl="8" w:tentative="0">
      <w:start w:val="0"/>
      <w:numFmt w:val="bullet"/>
      <w:lvlText w:val="•"/>
      <w:lvlJc w:val="left"/>
      <w:pPr>
        <w:ind w:left="8936" w:hanging="211"/>
      </w:pPr>
      <w:rPr>
        <w:rFonts w:hint="default"/>
        <w:lang w:val="zh-CN" w:eastAsia="zh-CN" w:bidi="zh-CN"/>
      </w:rPr>
    </w:lvl>
  </w:abstractNum>
  <w:abstractNum w:abstractNumId="17">
    <w:nsid w:val="A9AC3AA7"/>
    <w:multiLevelType w:val="multilevel"/>
    <w:tmpl w:val="A9AC3AA7"/>
    <w:lvl w:ilvl="0" w:tentative="0">
      <w:start w:val="8"/>
      <w:numFmt w:val="decimal"/>
      <w:lvlText w:val="%1"/>
      <w:lvlJc w:val="left"/>
      <w:pPr>
        <w:ind w:left="1107" w:hanging="360"/>
      </w:pPr>
      <w:rPr>
        <w:rFonts w:hint="default"/>
        <w:lang w:val="zh-CN" w:eastAsia="zh-CN" w:bidi="zh-CN"/>
      </w:rPr>
    </w:lvl>
    <w:lvl w:ilvl="1" w:tentative="0">
      <w:start w:val="8"/>
      <w:numFmt w:val="decimal"/>
      <w:lvlText w:val="%1.%2"/>
      <w:lvlJc w:val="left"/>
      <w:pPr>
        <w:ind w:left="1107"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424" w:hanging="526"/>
      </w:pPr>
      <w:rPr>
        <w:rFonts w:hint="default"/>
        <w:lang w:val="zh-CN" w:eastAsia="zh-CN" w:bidi="zh-CN"/>
      </w:rPr>
    </w:lvl>
    <w:lvl w:ilvl="4" w:tentative="0">
      <w:start w:val="0"/>
      <w:numFmt w:val="bullet"/>
      <w:lvlText w:val="•"/>
      <w:lvlJc w:val="left"/>
      <w:pPr>
        <w:ind w:left="4496" w:hanging="526"/>
      </w:pPr>
      <w:rPr>
        <w:rFonts w:hint="default"/>
        <w:lang w:val="zh-CN" w:eastAsia="zh-CN" w:bidi="zh-CN"/>
      </w:rPr>
    </w:lvl>
    <w:lvl w:ilvl="5" w:tentative="0">
      <w:start w:val="0"/>
      <w:numFmt w:val="bullet"/>
      <w:lvlText w:val="•"/>
      <w:lvlJc w:val="left"/>
      <w:pPr>
        <w:ind w:left="5568" w:hanging="526"/>
      </w:pPr>
      <w:rPr>
        <w:rFonts w:hint="default"/>
        <w:lang w:val="zh-CN" w:eastAsia="zh-CN" w:bidi="zh-CN"/>
      </w:rPr>
    </w:lvl>
    <w:lvl w:ilvl="6" w:tentative="0">
      <w:start w:val="0"/>
      <w:numFmt w:val="bullet"/>
      <w:lvlText w:val="•"/>
      <w:lvlJc w:val="left"/>
      <w:pPr>
        <w:ind w:left="6641" w:hanging="526"/>
      </w:pPr>
      <w:rPr>
        <w:rFonts w:hint="default"/>
        <w:lang w:val="zh-CN" w:eastAsia="zh-CN" w:bidi="zh-CN"/>
      </w:rPr>
    </w:lvl>
    <w:lvl w:ilvl="7" w:tentative="0">
      <w:start w:val="0"/>
      <w:numFmt w:val="bullet"/>
      <w:lvlText w:val="•"/>
      <w:lvlJc w:val="left"/>
      <w:pPr>
        <w:ind w:left="7713" w:hanging="526"/>
      </w:pPr>
      <w:rPr>
        <w:rFonts w:hint="default"/>
        <w:lang w:val="zh-CN" w:eastAsia="zh-CN" w:bidi="zh-CN"/>
      </w:rPr>
    </w:lvl>
    <w:lvl w:ilvl="8" w:tentative="0">
      <w:start w:val="0"/>
      <w:numFmt w:val="bullet"/>
      <w:lvlText w:val="•"/>
      <w:lvlJc w:val="left"/>
      <w:pPr>
        <w:ind w:left="8785" w:hanging="526"/>
      </w:pPr>
      <w:rPr>
        <w:rFonts w:hint="default"/>
        <w:lang w:val="zh-CN" w:eastAsia="zh-CN" w:bidi="zh-CN"/>
      </w:rPr>
    </w:lvl>
  </w:abstractNum>
  <w:abstractNum w:abstractNumId="18">
    <w:nsid w:val="AAF3F3FA"/>
    <w:multiLevelType w:val="multilevel"/>
    <w:tmpl w:val="AAF3F3FA"/>
    <w:lvl w:ilvl="0" w:tentative="0">
      <w:start w:val="1"/>
      <w:numFmt w:val="decimal"/>
      <w:lvlText w:val="（%1）"/>
      <w:lvlJc w:val="left"/>
      <w:pPr>
        <w:ind w:left="1273" w:hanging="527"/>
      </w:pPr>
      <w:rPr>
        <w:rFonts w:hint="default" w:ascii="宋体" w:hAnsi="宋体" w:eastAsia="宋体" w:cs="宋体"/>
        <w:spacing w:val="-96"/>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19">
    <w:nsid w:val="B08374AC"/>
    <w:multiLevelType w:val="multilevel"/>
    <w:tmpl w:val="B08374AC"/>
    <w:lvl w:ilvl="0" w:tentative="0">
      <w:start w:val="1"/>
      <w:numFmt w:val="decimal"/>
      <w:lvlText w:val="%1."/>
      <w:lvlJc w:val="left"/>
      <w:pPr>
        <w:ind w:left="161" w:hanging="211"/>
      </w:pPr>
      <w:rPr>
        <w:rFonts w:hint="default" w:ascii="宋体" w:hAnsi="宋体" w:eastAsia="宋体" w:cs="宋体"/>
        <w:spacing w:val="-51"/>
        <w:w w:val="100"/>
        <w:sz w:val="19"/>
        <w:szCs w:val="19"/>
        <w:lang w:val="zh-CN" w:eastAsia="zh-CN" w:bidi="zh-CN"/>
      </w:rPr>
    </w:lvl>
    <w:lvl w:ilvl="1" w:tentative="0">
      <w:start w:val="0"/>
      <w:numFmt w:val="bullet"/>
      <w:lvlText w:val="•"/>
      <w:lvlJc w:val="left"/>
      <w:pPr>
        <w:ind w:left="1237" w:hanging="211"/>
      </w:pPr>
      <w:rPr>
        <w:rFonts w:hint="default"/>
        <w:lang w:val="zh-CN" w:eastAsia="zh-CN" w:bidi="zh-CN"/>
      </w:rPr>
    </w:lvl>
    <w:lvl w:ilvl="2" w:tentative="0">
      <w:start w:val="0"/>
      <w:numFmt w:val="bullet"/>
      <w:lvlText w:val="•"/>
      <w:lvlJc w:val="left"/>
      <w:pPr>
        <w:ind w:left="2314" w:hanging="211"/>
      </w:pPr>
      <w:rPr>
        <w:rFonts w:hint="default"/>
        <w:lang w:val="zh-CN" w:eastAsia="zh-CN" w:bidi="zh-CN"/>
      </w:rPr>
    </w:lvl>
    <w:lvl w:ilvl="3" w:tentative="0">
      <w:start w:val="0"/>
      <w:numFmt w:val="bullet"/>
      <w:lvlText w:val="•"/>
      <w:lvlJc w:val="left"/>
      <w:pPr>
        <w:ind w:left="3391" w:hanging="211"/>
      </w:pPr>
      <w:rPr>
        <w:rFonts w:hint="default"/>
        <w:lang w:val="zh-CN" w:eastAsia="zh-CN" w:bidi="zh-CN"/>
      </w:rPr>
    </w:lvl>
    <w:lvl w:ilvl="4" w:tentative="0">
      <w:start w:val="0"/>
      <w:numFmt w:val="bullet"/>
      <w:lvlText w:val="•"/>
      <w:lvlJc w:val="left"/>
      <w:pPr>
        <w:ind w:left="4468" w:hanging="211"/>
      </w:pPr>
      <w:rPr>
        <w:rFonts w:hint="default"/>
        <w:lang w:val="zh-CN" w:eastAsia="zh-CN" w:bidi="zh-CN"/>
      </w:rPr>
    </w:lvl>
    <w:lvl w:ilvl="5" w:tentative="0">
      <w:start w:val="0"/>
      <w:numFmt w:val="bullet"/>
      <w:lvlText w:val="•"/>
      <w:lvlJc w:val="left"/>
      <w:pPr>
        <w:ind w:left="5545" w:hanging="211"/>
      </w:pPr>
      <w:rPr>
        <w:rFonts w:hint="default"/>
        <w:lang w:val="zh-CN" w:eastAsia="zh-CN" w:bidi="zh-CN"/>
      </w:rPr>
    </w:lvl>
    <w:lvl w:ilvl="6" w:tentative="0">
      <w:start w:val="0"/>
      <w:numFmt w:val="bullet"/>
      <w:lvlText w:val="•"/>
      <w:lvlJc w:val="left"/>
      <w:pPr>
        <w:ind w:left="6622" w:hanging="211"/>
      </w:pPr>
      <w:rPr>
        <w:rFonts w:hint="default"/>
        <w:lang w:val="zh-CN" w:eastAsia="zh-CN" w:bidi="zh-CN"/>
      </w:rPr>
    </w:lvl>
    <w:lvl w:ilvl="7" w:tentative="0">
      <w:start w:val="0"/>
      <w:numFmt w:val="bullet"/>
      <w:lvlText w:val="•"/>
      <w:lvlJc w:val="left"/>
      <w:pPr>
        <w:ind w:left="7699" w:hanging="211"/>
      </w:pPr>
      <w:rPr>
        <w:rFonts w:hint="default"/>
        <w:lang w:val="zh-CN" w:eastAsia="zh-CN" w:bidi="zh-CN"/>
      </w:rPr>
    </w:lvl>
    <w:lvl w:ilvl="8" w:tentative="0">
      <w:start w:val="0"/>
      <w:numFmt w:val="bullet"/>
      <w:lvlText w:val="•"/>
      <w:lvlJc w:val="left"/>
      <w:pPr>
        <w:ind w:left="8776" w:hanging="211"/>
      </w:pPr>
      <w:rPr>
        <w:rFonts w:hint="default"/>
        <w:lang w:val="zh-CN" w:eastAsia="zh-CN" w:bidi="zh-CN"/>
      </w:rPr>
    </w:lvl>
  </w:abstractNum>
  <w:abstractNum w:abstractNumId="20">
    <w:nsid w:val="B0ED9BEA"/>
    <w:multiLevelType w:val="multilevel"/>
    <w:tmpl w:val="B0ED9BEA"/>
    <w:lvl w:ilvl="0" w:tentative="0">
      <w:start w:val="1"/>
      <w:numFmt w:val="decimal"/>
      <w:lvlText w:val="%1"/>
      <w:lvlJc w:val="left"/>
      <w:pPr>
        <w:ind w:left="1213" w:hanging="631"/>
      </w:pPr>
      <w:rPr>
        <w:rFonts w:hint="default"/>
        <w:lang w:val="zh-CN" w:eastAsia="zh-CN" w:bidi="zh-CN"/>
      </w:rPr>
    </w:lvl>
    <w:lvl w:ilvl="1" w:tentative="0">
      <w:start w:val="10"/>
      <w:numFmt w:val="decimal"/>
      <w:lvlText w:val="%1.%2"/>
      <w:lvlJc w:val="left"/>
      <w:pPr>
        <w:ind w:left="1213" w:hanging="631"/>
      </w:pPr>
      <w:rPr>
        <w:rFonts w:hint="default"/>
        <w:lang w:val="zh-CN" w:eastAsia="zh-CN" w:bidi="zh-CN"/>
      </w:rPr>
    </w:lvl>
    <w:lvl w:ilvl="2" w:tentative="0">
      <w:start w:val="1"/>
      <w:numFmt w:val="decimal"/>
      <w:lvlText w:val="%1.%2.%3"/>
      <w:lvlJc w:val="left"/>
      <w:pPr>
        <w:ind w:left="1213" w:hanging="631"/>
      </w:pPr>
      <w:rPr>
        <w:rFonts w:hint="default" w:ascii="宋体" w:hAnsi="宋体" w:eastAsia="宋体" w:cs="宋体"/>
        <w:w w:val="100"/>
        <w:sz w:val="19"/>
        <w:szCs w:val="19"/>
        <w:lang w:val="zh-CN" w:eastAsia="zh-CN" w:bidi="zh-CN"/>
      </w:rPr>
    </w:lvl>
    <w:lvl w:ilvl="3" w:tentative="0">
      <w:start w:val="0"/>
      <w:numFmt w:val="bullet"/>
      <w:lvlText w:val="•"/>
      <w:lvlJc w:val="left"/>
      <w:pPr>
        <w:ind w:left="4133" w:hanging="631"/>
      </w:pPr>
      <w:rPr>
        <w:rFonts w:hint="default"/>
        <w:lang w:val="zh-CN" w:eastAsia="zh-CN" w:bidi="zh-CN"/>
      </w:rPr>
    </w:lvl>
    <w:lvl w:ilvl="4" w:tentative="0">
      <w:start w:val="0"/>
      <w:numFmt w:val="bullet"/>
      <w:lvlText w:val="•"/>
      <w:lvlJc w:val="left"/>
      <w:pPr>
        <w:ind w:left="5104" w:hanging="631"/>
      </w:pPr>
      <w:rPr>
        <w:rFonts w:hint="default"/>
        <w:lang w:val="zh-CN" w:eastAsia="zh-CN" w:bidi="zh-CN"/>
      </w:rPr>
    </w:lvl>
    <w:lvl w:ilvl="5" w:tentative="0">
      <w:start w:val="0"/>
      <w:numFmt w:val="bullet"/>
      <w:lvlText w:val="•"/>
      <w:lvlJc w:val="left"/>
      <w:pPr>
        <w:ind w:left="6075" w:hanging="631"/>
      </w:pPr>
      <w:rPr>
        <w:rFonts w:hint="default"/>
        <w:lang w:val="zh-CN" w:eastAsia="zh-CN" w:bidi="zh-CN"/>
      </w:rPr>
    </w:lvl>
    <w:lvl w:ilvl="6" w:tentative="0">
      <w:start w:val="0"/>
      <w:numFmt w:val="bullet"/>
      <w:lvlText w:val="•"/>
      <w:lvlJc w:val="left"/>
      <w:pPr>
        <w:ind w:left="7046" w:hanging="631"/>
      </w:pPr>
      <w:rPr>
        <w:rFonts w:hint="default"/>
        <w:lang w:val="zh-CN" w:eastAsia="zh-CN" w:bidi="zh-CN"/>
      </w:rPr>
    </w:lvl>
    <w:lvl w:ilvl="7" w:tentative="0">
      <w:start w:val="0"/>
      <w:numFmt w:val="bullet"/>
      <w:lvlText w:val="•"/>
      <w:lvlJc w:val="left"/>
      <w:pPr>
        <w:ind w:left="8017" w:hanging="631"/>
      </w:pPr>
      <w:rPr>
        <w:rFonts w:hint="default"/>
        <w:lang w:val="zh-CN" w:eastAsia="zh-CN" w:bidi="zh-CN"/>
      </w:rPr>
    </w:lvl>
    <w:lvl w:ilvl="8" w:tentative="0">
      <w:start w:val="0"/>
      <w:numFmt w:val="bullet"/>
      <w:lvlText w:val="•"/>
      <w:lvlJc w:val="left"/>
      <w:pPr>
        <w:ind w:left="8988" w:hanging="631"/>
      </w:pPr>
      <w:rPr>
        <w:rFonts w:hint="default"/>
        <w:lang w:val="zh-CN" w:eastAsia="zh-CN" w:bidi="zh-CN"/>
      </w:rPr>
    </w:lvl>
  </w:abstractNum>
  <w:abstractNum w:abstractNumId="21">
    <w:nsid w:val="B1CC6FF1"/>
    <w:multiLevelType w:val="multilevel"/>
    <w:tmpl w:val="B1CC6FF1"/>
    <w:lvl w:ilvl="0" w:tentative="0">
      <w:start w:val="1"/>
      <w:numFmt w:val="decimal"/>
      <w:lvlText w:val="%1."/>
      <w:lvlJc w:val="left"/>
      <w:pPr>
        <w:ind w:left="958" w:hanging="211"/>
      </w:pPr>
      <w:rPr>
        <w:rFonts w:hint="default" w:ascii="宋体" w:hAnsi="宋体" w:eastAsia="宋体" w:cs="宋体"/>
        <w:spacing w:val="-6"/>
        <w:w w:val="100"/>
        <w:sz w:val="19"/>
        <w:szCs w:val="19"/>
        <w:lang w:val="zh-CN" w:eastAsia="zh-CN" w:bidi="zh-CN"/>
      </w:rPr>
    </w:lvl>
    <w:lvl w:ilvl="1" w:tentative="0">
      <w:start w:val="0"/>
      <w:numFmt w:val="bullet"/>
      <w:lvlText w:val="•"/>
      <w:lvlJc w:val="left"/>
      <w:pPr>
        <w:ind w:left="1957" w:hanging="211"/>
      </w:pPr>
      <w:rPr>
        <w:rFonts w:hint="default"/>
        <w:lang w:val="zh-CN" w:eastAsia="zh-CN" w:bidi="zh-CN"/>
      </w:rPr>
    </w:lvl>
    <w:lvl w:ilvl="2" w:tentative="0">
      <w:start w:val="0"/>
      <w:numFmt w:val="bullet"/>
      <w:lvlText w:val="•"/>
      <w:lvlJc w:val="left"/>
      <w:pPr>
        <w:ind w:left="2954" w:hanging="211"/>
      </w:pPr>
      <w:rPr>
        <w:rFonts w:hint="default"/>
        <w:lang w:val="zh-CN" w:eastAsia="zh-CN" w:bidi="zh-CN"/>
      </w:rPr>
    </w:lvl>
    <w:lvl w:ilvl="3" w:tentative="0">
      <w:start w:val="0"/>
      <w:numFmt w:val="bullet"/>
      <w:lvlText w:val="•"/>
      <w:lvlJc w:val="left"/>
      <w:pPr>
        <w:ind w:left="3951" w:hanging="211"/>
      </w:pPr>
      <w:rPr>
        <w:rFonts w:hint="default"/>
        <w:lang w:val="zh-CN" w:eastAsia="zh-CN" w:bidi="zh-CN"/>
      </w:rPr>
    </w:lvl>
    <w:lvl w:ilvl="4" w:tentative="0">
      <w:start w:val="0"/>
      <w:numFmt w:val="bullet"/>
      <w:lvlText w:val="•"/>
      <w:lvlJc w:val="left"/>
      <w:pPr>
        <w:ind w:left="4948" w:hanging="211"/>
      </w:pPr>
      <w:rPr>
        <w:rFonts w:hint="default"/>
        <w:lang w:val="zh-CN" w:eastAsia="zh-CN" w:bidi="zh-CN"/>
      </w:rPr>
    </w:lvl>
    <w:lvl w:ilvl="5" w:tentative="0">
      <w:start w:val="0"/>
      <w:numFmt w:val="bullet"/>
      <w:lvlText w:val="•"/>
      <w:lvlJc w:val="left"/>
      <w:pPr>
        <w:ind w:left="5945" w:hanging="211"/>
      </w:pPr>
      <w:rPr>
        <w:rFonts w:hint="default"/>
        <w:lang w:val="zh-CN" w:eastAsia="zh-CN" w:bidi="zh-CN"/>
      </w:rPr>
    </w:lvl>
    <w:lvl w:ilvl="6" w:tentative="0">
      <w:start w:val="0"/>
      <w:numFmt w:val="bullet"/>
      <w:lvlText w:val="•"/>
      <w:lvlJc w:val="left"/>
      <w:pPr>
        <w:ind w:left="6942" w:hanging="211"/>
      </w:pPr>
      <w:rPr>
        <w:rFonts w:hint="default"/>
        <w:lang w:val="zh-CN" w:eastAsia="zh-CN" w:bidi="zh-CN"/>
      </w:rPr>
    </w:lvl>
    <w:lvl w:ilvl="7" w:tentative="0">
      <w:start w:val="0"/>
      <w:numFmt w:val="bullet"/>
      <w:lvlText w:val="•"/>
      <w:lvlJc w:val="left"/>
      <w:pPr>
        <w:ind w:left="7939" w:hanging="211"/>
      </w:pPr>
      <w:rPr>
        <w:rFonts w:hint="default"/>
        <w:lang w:val="zh-CN" w:eastAsia="zh-CN" w:bidi="zh-CN"/>
      </w:rPr>
    </w:lvl>
    <w:lvl w:ilvl="8" w:tentative="0">
      <w:start w:val="0"/>
      <w:numFmt w:val="bullet"/>
      <w:lvlText w:val="•"/>
      <w:lvlJc w:val="left"/>
      <w:pPr>
        <w:ind w:left="8936" w:hanging="211"/>
      </w:pPr>
      <w:rPr>
        <w:rFonts w:hint="default"/>
        <w:lang w:val="zh-CN" w:eastAsia="zh-CN" w:bidi="zh-CN"/>
      </w:rPr>
    </w:lvl>
  </w:abstractNum>
  <w:abstractNum w:abstractNumId="22">
    <w:nsid w:val="B4E02BC3"/>
    <w:multiLevelType w:val="multilevel"/>
    <w:tmpl w:val="B4E02BC3"/>
    <w:lvl w:ilvl="0" w:tentative="0">
      <w:start w:val="1"/>
      <w:numFmt w:val="decimal"/>
      <w:lvlText w:val="%1."/>
      <w:lvlJc w:val="left"/>
      <w:pPr>
        <w:ind w:left="793" w:hanging="211"/>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1813" w:hanging="211"/>
      </w:pPr>
      <w:rPr>
        <w:rFonts w:hint="default"/>
        <w:lang w:val="zh-CN" w:eastAsia="zh-CN" w:bidi="zh-CN"/>
      </w:rPr>
    </w:lvl>
    <w:lvl w:ilvl="2" w:tentative="0">
      <w:start w:val="0"/>
      <w:numFmt w:val="bullet"/>
      <w:lvlText w:val="•"/>
      <w:lvlJc w:val="left"/>
      <w:pPr>
        <w:ind w:left="2826" w:hanging="211"/>
      </w:pPr>
      <w:rPr>
        <w:rFonts w:hint="default"/>
        <w:lang w:val="zh-CN" w:eastAsia="zh-CN" w:bidi="zh-CN"/>
      </w:rPr>
    </w:lvl>
    <w:lvl w:ilvl="3" w:tentative="0">
      <w:start w:val="0"/>
      <w:numFmt w:val="bullet"/>
      <w:lvlText w:val="•"/>
      <w:lvlJc w:val="left"/>
      <w:pPr>
        <w:ind w:left="3839" w:hanging="211"/>
      </w:pPr>
      <w:rPr>
        <w:rFonts w:hint="default"/>
        <w:lang w:val="zh-CN" w:eastAsia="zh-CN" w:bidi="zh-CN"/>
      </w:rPr>
    </w:lvl>
    <w:lvl w:ilvl="4" w:tentative="0">
      <w:start w:val="0"/>
      <w:numFmt w:val="bullet"/>
      <w:lvlText w:val="•"/>
      <w:lvlJc w:val="left"/>
      <w:pPr>
        <w:ind w:left="4852" w:hanging="211"/>
      </w:pPr>
      <w:rPr>
        <w:rFonts w:hint="default"/>
        <w:lang w:val="zh-CN" w:eastAsia="zh-CN" w:bidi="zh-CN"/>
      </w:rPr>
    </w:lvl>
    <w:lvl w:ilvl="5" w:tentative="0">
      <w:start w:val="0"/>
      <w:numFmt w:val="bullet"/>
      <w:lvlText w:val="•"/>
      <w:lvlJc w:val="left"/>
      <w:pPr>
        <w:ind w:left="5865" w:hanging="211"/>
      </w:pPr>
      <w:rPr>
        <w:rFonts w:hint="default"/>
        <w:lang w:val="zh-CN" w:eastAsia="zh-CN" w:bidi="zh-CN"/>
      </w:rPr>
    </w:lvl>
    <w:lvl w:ilvl="6" w:tentative="0">
      <w:start w:val="0"/>
      <w:numFmt w:val="bullet"/>
      <w:lvlText w:val="•"/>
      <w:lvlJc w:val="left"/>
      <w:pPr>
        <w:ind w:left="6878" w:hanging="211"/>
      </w:pPr>
      <w:rPr>
        <w:rFonts w:hint="default"/>
        <w:lang w:val="zh-CN" w:eastAsia="zh-CN" w:bidi="zh-CN"/>
      </w:rPr>
    </w:lvl>
    <w:lvl w:ilvl="7" w:tentative="0">
      <w:start w:val="0"/>
      <w:numFmt w:val="bullet"/>
      <w:lvlText w:val="•"/>
      <w:lvlJc w:val="left"/>
      <w:pPr>
        <w:ind w:left="7891" w:hanging="211"/>
      </w:pPr>
      <w:rPr>
        <w:rFonts w:hint="default"/>
        <w:lang w:val="zh-CN" w:eastAsia="zh-CN" w:bidi="zh-CN"/>
      </w:rPr>
    </w:lvl>
    <w:lvl w:ilvl="8" w:tentative="0">
      <w:start w:val="0"/>
      <w:numFmt w:val="bullet"/>
      <w:lvlText w:val="•"/>
      <w:lvlJc w:val="left"/>
      <w:pPr>
        <w:ind w:left="8904" w:hanging="211"/>
      </w:pPr>
      <w:rPr>
        <w:rFonts w:hint="default"/>
        <w:lang w:val="zh-CN" w:eastAsia="zh-CN" w:bidi="zh-CN"/>
      </w:rPr>
    </w:lvl>
  </w:abstractNum>
  <w:abstractNum w:abstractNumId="23">
    <w:nsid w:val="B88D21A8"/>
    <w:multiLevelType w:val="multilevel"/>
    <w:tmpl w:val="B88D21A8"/>
    <w:lvl w:ilvl="0" w:tentative="0">
      <w:start w:val="1"/>
      <w:numFmt w:val="decimal"/>
      <w:lvlText w:val="%1"/>
      <w:lvlJc w:val="left"/>
      <w:pPr>
        <w:ind w:left="1483" w:hanging="736"/>
      </w:pPr>
      <w:rPr>
        <w:rFonts w:hint="default"/>
        <w:lang w:val="zh-CN" w:eastAsia="zh-CN" w:bidi="zh-CN"/>
      </w:rPr>
    </w:lvl>
    <w:lvl w:ilvl="1" w:tentative="0">
      <w:start w:val="1"/>
      <w:numFmt w:val="decimal"/>
      <w:lvlText w:val="%1.%2"/>
      <w:lvlJc w:val="left"/>
      <w:pPr>
        <w:ind w:left="1483" w:hanging="736"/>
      </w:pPr>
      <w:rPr>
        <w:rFonts w:hint="default"/>
        <w:lang w:val="zh-CN" w:eastAsia="zh-CN" w:bidi="zh-CN"/>
      </w:rPr>
    </w:lvl>
    <w:lvl w:ilvl="2" w:tentative="0">
      <w:start w:val="2"/>
      <w:numFmt w:val="decimal"/>
      <w:lvlText w:val="%1.%2.%3"/>
      <w:lvlJc w:val="left"/>
      <w:pPr>
        <w:ind w:left="1483" w:hanging="736"/>
      </w:pPr>
      <w:rPr>
        <w:rFonts w:hint="default"/>
        <w:lang w:val="zh-CN" w:eastAsia="zh-CN" w:bidi="zh-CN"/>
      </w:rPr>
    </w:lvl>
    <w:lvl w:ilvl="3" w:tentative="0">
      <w:start w:val="4"/>
      <w:numFmt w:val="decimal"/>
      <w:lvlText w:val="%1.%2.%3.%4"/>
      <w:lvlJc w:val="left"/>
      <w:pPr>
        <w:ind w:left="1483" w:hanging="736"/>
      </w:pPr>
      <w:rPr>
        <w:rFonts w:hint="default" w:ascii="宋体" w:hAnsi="宋体" w:eastAsia="宋体" w:cs="宋体"/>
        <w:w w:val="100"/>
        <w:sz w:val="19"/>
        <w:szCs w:val="19"/>
        <w:lang w:val="zh-CN" w:eastAsia="zh-CN" w:bidi="zh-CN"/>
      </w:rPr>
    </w:lvl>
    <w:lvl w:ilvl="4" w:tentative="0">
      <w:start w:val="0"/>
      <w:numFmt w:val="bullet"/>
      <w:lvlText w:val="•"/>
      <w:lvlJc w:val="left"/>
      <w:pPr>
        <w:ind w:left="5260" w:hanging="736"/>
      </w:pPr>
      <w:rPr>
        <w:rFonts w:hint="default"/>
        <w:lang w:val="zh-CN" w:eastAsia="zh-CN" w:bidi="zh-CN"/>
      </w:rPr>
    </w:lvl>
    <w:lvl w:ilvl="5" w:tentative="0">
      <w:start w:val="0"/>
      <w:numFmt w:val="bullet"/>
      <w:lvlText w:val="•"/>
      <w:lvlJc w:val="left"/>
      <w:pPr>
        <w:ind w:left="6205" w:hanging="736"/>
      </w:pPr>
      <w:rPr>
        <w:rFonts w:hint="default"/>
        <w:lang w:val="zh-CN" w:eastAsia="zh-CN" w:bidi="zh-CN"/>
      </w:rPr>
    </w:lvl>
    <w:lvl w:ilvl="6" w:tentative="0">
      <w:start w:val="0"/>
      <w:numFmt w:val="bullet"/>
      <w:lvlText w:val="•"/>
      <w:lvlJc w:val="left"/>
      <w:pPr>
        <w:ind w:left="7150" w:hanging="736"/>
      </w:pPr>
      <w:rPr>
        <w:rFonts w:hint="default"/>
        <w:lang w:val="zh-CN" w:eastAsia="zh-CN" w:bidi="zh-CN"/>
      </w:rPr>
    </w:lvl>
    <w:lvl w:ilvl="7" w:tentative="0">
      <w:start w:val="0"/>
      <w:numFmt w:val="bullet"/>
      <w:lvlText w:val="•"/>
      <w:lvlJc w:val="left"/>
      <w:pPr>
        <w:ind w:left="8095" w:hanging="736"/>
      </w:pPr>
      <w:rPr>
        <w:rFonts w:hint="default"/>
        <w:lang w:val="zh-CN" w:eastAsia="zh-CN" w:bidi="zh-CN"/>
      </w:rPr>
    </w:lvl>
    <w:lvl w:ilvl="8" w:tentative="0">
      <w:start w:val="0"/>
      <w:numFmt w:val="bullet"/>
      <w:lvlText w:val="•"/>
      <w:lvlJc w:val="left"/>
      <w:pPr>
        <w:ind w:left="9040" w:hanging="736"/>
      </w:pPr>
      <w:rPr>
        <w:rFonts w:hint="default"/>
        <w:lang w:val="zh-CN" w:eastAsia="zh-CN" w:bidi="zh-CN"/>
      </w:rPr>
    </w:lvl>
  </w:abstractNum>
  <w:abstractNum w:abstractNumId="24">
    <w:nsid w:val="BCECA0B4"/>
    <w:multiLevelType w:val="multilevel"/>
    <w:tmpl w:val="BCECA0B4"/>
    <w:lvl w:ilvl="0" w:tentative="0">
      <w:start w:val="6"/>
      <w:numFmt w:val="decimal"/>
      <w:lvlText w:val="%1"/>
      <w:lvlJc w:val="left"/>
      <w:pPr>
        <w:ind w:left="1273" w:hanging="526"/>
      </w:pPr>
      <w:rPr>
        <w:rFonts w:hint="default"/>
        <w:lang w:val="zh-CN" w:eastAsia="zh-CN" w:bidi="zh-CN"/>
      </w:rPr>
    </w:lvl>
    <w:lvl w:ilvl="1" w:tentative="0">
      <w:start w:val="1"/>
      <w:numFmt w:val="decimal"/>
      <w:lvlText w:val="%1.%2"/>
      <w:lvlJc w:val="left"/>
      <w:pPr>
        <w:ind w:left="1273" w:hanging="526"/>
      </w:pPr>
      <w:rPr>
        <w:rFonts w:hint="default"/>
        <w:lang w:val="zh-CN" w:eastAsia="zh-CN" w:bidi="zh-CN"/>
      </w:rPr>
    </w:lvl>
    <w:lvl w:ilvl="2" w:tentative="0">
      <w:start w:val="4"/>
      <w:numFmt w:val="decimal"/>
      <w:lvlText w:val="%1.%2.%3"/>
      <w:lvlJc w:val="left"/>
      <w:pPr>
        <w:ind w:left="1273" w:hanging="526"/>
        <w:jc w:val="right"/>
      </w:pPr>
      <w:rPr>
        <w:rFonts w:hint="default" w:ascii="宋体" w:hAnsi="宋体" w:eastAsia="宋体" w:cs="宋体"/>
        <w:w w:val="100"/>
        <w:sz w:val="19"/>
        <w:szCs w:val="19"/>
        <w:lang w:val="zh-CN" w:eastAsia="zh-CN" w:bidi="zh-CN"/>
      </w:rPr>
    </w:lvl>
    <w:lvl w:ilvl="3" w:tentative="0">
      <w:start w:val="0"/>
      <w:numFmt w:val="bullet"/>
      <w:lvlText w:val="•"/>
      <w:lvlJc w:val="left"/>
      <w:pPr>
        <w:ind w:left="4175" w:hanging="526"/>
      </w:pPr>
      <w:rPr>
        <w:rFonts w:hint="default"/>
        <w:lang w:val="zh-CN" w:eastAsia="zh-CN" w:bidi="zh-CN"/>
      </w:rPr>
    </w:lvl>
    <w:lvl w:ilvl="4" w:tentative="0">
      <w:start w:val="0"/>
      <w:numFmt w:val="bullet"/>
      <w:lvlText w:val="•"/>
      <w:lvlJc w:val="left"/>
      <w:pPr>
        <w:ind w:left="5140" w:hanging="526"/>
      </w:pPr>
      <w:rPr>
        <w:rFonts w:hint="default"/>
        <w:lang w:val="zh-CN" w:eastAsia="zh-CN" w:bidi="zh-CN"/>
      </w:rPr>
    </w:lvl>
    <w:lvl w:ilvl="5" w:tentative="0">
      <w:start w:val="0"/>
      <w:numFmt w:val="bullet"/>
      <w:lvlText w:val="•"/>
      <w:lvlJc w:val="left"/>
      <w:pPr>
        <w:ind w:left="6105" w:hanging="526"/>
      </w:pPr>
      <w:rPr>
        <w:rFonts w:hint="default"/>
        <w:lang w:val="zh-CN" w:eastAsia="zh-CN" w:bidi="zh-CN"/>
      </w:rPr>
    </w:lvl>
    <w:lvl w:ilvl="6" w:tentative="0">
      <w:start w:val="0"/>
      <w:numFmt w:val="bullet"/>
      <w:lvlText w:val="•"/>
      <w:lvlJc w:val="left"/>
      <w:pPr>
        <w:ind w:left="7070" w:hanging="526"/>
      </w:pPr>
      <w:rPr>
        <w:rFonts w:hint="default"/>
        <w:lang w:val="zh-CN" w:eastAsia="zh-CN" w:bidi="zh-CN"/>
      </w:rPr>
    </w:lvl>
    <w:lvl w:ilvl="7" w:tentative="0">
      <w:start w:val="0"/>
      <w:numFmt w:val="bullet"/>
      <w:lvlText w:val="•"/>
      <w:lvlJc w:val="left"/>
      <w:pPr>
        <w:ind w:left="8035" w:hanging="526"/>
      </w:pPr>
      <w:rPr>
        <w:rFonts w:hint="default"/>
        <w:lang w:val="zh-CN" w:eastAsia="zh-CN" w:bidi="zh-CN"/>
      </w:rPr>
    </w:lvl>
    <w:lvl w:ilvl="8" w:tentative="0">
      <w:start w:val="0"/>
      <w:numFmt w:val="bullet"/>
      <w:lvlText w:val="•"/>
      <w:lvlJc w:val="left"/>
      <w:pPr>
        <w:ind w:left="9000" w:hanging="526"/>
      </w:pPr>
      <w:rPr>
        <w:rFonts w:hint="default"/>
        <w:lang w:val="zh-CN" w:eastAsia="zh-CN" w:bidi="zh-CN"/>
      </w:rPr>
    </w:lvl>
  </w:abstractNum>
  <w:abstractNum w:abstractNumId="25">
    <w:nsid w:val="BDA1395C"/>
    <w:multiLevelType w:val="multilevel"/>
    <w:tmpl w:val="BDA1395C"/>
    <w:lvl w:ilvl="0" w:tentative="0">
      <w:start w:val="1"/>
      <w:numFmt w:val="decimal"/>
      <w:lvlText w:val="（%1）"/>
      <w:lvlJc w:val="left"/>
      <w:pPr>
        <w:ind w:left="1273" w:hanging="527"/>
      </w:pPr>
      <w:rPr>
        <w:rFonts w:hint="default" w:ascii="宋体" w:hAnsi="宋体" w:eastAsia="宋体" w:cs="宋体"/>
        <w:spacing w:val="-30"/>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26">
    <w:nsid w:val="BE8A4F4C"/>
    <w:multiLevelType w:val="multilevel"/>
    <w:tmpl w:val="BE8A4F4C"/>
    <w:lvl w:ilvl="0" w:tentative="0">
      <w:start w:val="1"/>
      <w:numFmt w:val="decimal"/>
      <w:lvlText w:val="（%1）"/>
      <w:lvlJc w:val="left"/>
      <w:pPr>
        <w:ind w:left="161" w:hanging="527"/>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27">
    <w:nsid w:val="BF50FE6B"/>
    <w:multiLevelType w:val="multilevel"/>
    <w:tmpl w:val="BF50FE6B"/>
    <w:lvl w:ilvl="0" w:tentative="0">
      <w:start w:val="1"/>
      <w:numFmt w:val="decimal"/>
      <w:lvlText w:val="（%1）"/>
      <w:lvlJc w:val="left"/>
      <w:pPr>
        <w:ind w:left="1273" w:hanging="527"/>
        <w:jc w:val="righ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28">
    <w:nsid w:val="C0283A65"/>
    <w:multiLevelType w:val="multilevel"/>
    <w:tmpl w:val="C0283A65"/>
    <w:lvl w:ilvl="0" w:tentative="0">
      <w:start w:val="5"/>
      <w:numFmt w:val="decimal"/>
      <w:lvlText w:val="%1."/>
      <w:lvlJc w:val="left"/>
      <w:pPr>
        <w:ind w:left="161" w:hanging="211"/>
      </w:pPr>
      <w:rPr>
        <w:rFonts w:hint="default" w:ascii="宋体" w:hAnsi="宋体" w:eastAsia="宋体" w:cs="宋体"/>
        <w:spacing w:val="-45"/>
        <w:w w:val="100"/>
        <w:sz w:val="19"/>
        <w:szCs w:val="19"/>
        <w:lang w:val="zh-CN" w:eastAsia="zh-CN" w:bidi="zh-CN"/>
      </w:rPr>
    </w:lvl>
    <w:lvl w:ilvl="1" w:tentative="0">
      <w:start w:val="2"/>
      <w:numFmt w:val="decimal"/>
      <w:lvlText w:val="%2."/>
      <w:lvlJc w:val="left"/>
      <w:pPr>
        <w:ind w:left="1063" w:hanging="317"/>
      </w:pPr>
      <w:rPr>
        <w:rFonts w:hint="default" w:ascii="宋体" w:hAnsi="宋体" w:eastAsia="宋体" w:cs="宋体"/>
        <w:spacing w:val="-2"/>
        <w:w w:val="100"/>
        <w:sz w:val="19"/>
        <w:szCs w:val="19"/>
        <w:lang w:val="zh-CN" w:eastAsia="zh-CN" w:bidi="zh-CN"/>
      </w:rPr>
    </w:lvl>
    <w:lvl w:ilvl="2" w:tentative="0">
      <w:start w:val="0"/>
      <w:numFmt w:val="bullet"/>
      <w:lvlText w:val="•"/>
      <w:lvlJc w:val="left"/>
      <w:pPr>
        <w:ind w:left="2156" w:hanging="317"/>
      </w:pPr>
      <w:rPr>
        <w:rFonts w:hint="default"/>
        <w:lang w:val="zh-CN" w:eastAsia="zh-CN" w:bidi="zh-CN"/>
      </w:rPr>
    </w:lvl>
    <w:lvl w:ilvl="3" w:tentative="0">
      <w:start w:val="0"/>
      <w:numFmt w:val="bullet"/>
      <w:lvlText w:val="•"/>
      <w:lvlJc w:val="left"/>
      <w:pPr>
        <w:ind w:left="3253" w:hanging="317"/>
      </w:pPr>
      <w:rPr>
        <w:rFonts w:hint="default"/>
        <w:lang w:val="zh-CN" w:eastAsia="zh-CN" w:bidi="zh-CN"/>
      </w:rPr>
    </w:lvl>
    <w:lvl w:ilvl="4" w:tentative="0">
      <w:start w:val="0"/>
      <w:numFmt w:val="bullet"/>
      <w:lvlText w:val="•"/>
      <w:lvlJc w:val="left"/>
      <w:pPr>
        <w:ind w:left="4350" w:hanging="317"/>
      </w:pPr>
      <w:rPr>
        <w:rFonts w:hint="default"/>
        <w:lang w:val="zh-CN" w:eastAsia="zh-CN" w:bidi="zh-CN"/>
      </w:rPr>
    </w:lvl>
    <w:lvl w:ilvl="5" w:tentative="0">
      <w:start w:val="0"/>
      <w:numFmt w:val="bullet"/>
      <w:lvlText w:val="•"/>
      <w:lvlJc w:val="left"/>
      <w:pPr>
        <w:ind w:left="5446" w:hanging="317"/>
      </w:pPr>
      <w:rPr>
        <w:rFonts w:hint="default"/>
        <w:lang w:val="zh-CN" w:eastAsia="zh-CN" w:bidi="zh-CN"/>
      </w:rPr>
    </w:lvl>
    <w:lvl w:ilvl="6" w:tentative="0">
      <w:start w:val="0"/>
      <w:numFmt w:val="bullet"/>
      <w:lvlText w:val="•"/>
      <w:lvlJc w:val="left"/>
      <w:pPr>
        <w:ind w:left="6543" w:hanging="317"/>
      </w:pPr>
      <w:rPr>
        <w:rFonts w:hint="default"/>
        <w:lang w:val="zh-CN" w:eastAsia="zh-CN" w:bidi="zh-CN"/>
      </w:rPr>
    </w:lvl>
    <w:lvl w:ilvl="7" w:tentative="0">
      <w:start w:val="0"/>
      <w:numFmt w:val="bullet"/>
      <w:lvlText w:val="•"/>
      <w:lvlJc w:val="left"/>
      <w:pPr>
        <w:ind w:left="7640" w:hanging="317"/>
      </w:pPr>
      <w:rPr>
        <w:rFonts w:hint="default"/>
        <w:lang w:val="zh-CN" w:eastAsia="zh-CN" w:bidi="zh-CN"/>
      </w:rPr>
    </w:lvl>
    <w:lvl w:ilvl="8" w:tentative="0">
      <w:start w:val="0"/>
      <w:numFmt w:val="bullet"/>
      <w:lvlText w:val="•"/>
      <w:lvlJc w:val="left"/>
      <w:pPr>
        <w:ind w:left="8736" w:hanging="317"/>
      </w:pPr>
      <w:rPr>
        <w:rFonts w:hint="default"/>
        <w:lang w:val="zh-CN" w:eastAsia="zh-CN" w:bidi="zh-CN"/>
      </w:rPr>
    </w:lvl>
  </w:abstractNum>
  <w:abstractNum w:abstractNumId="29">
    <w:nsid w:val="C90D1B09"/>
    <w:multiLevelType w:val="multilevel"/>
    <w:tmpl w:val="C90D1B09"/>
    <w:lvl w:ilvl="0" w:tentative="0">
      <w:start w:val="1"/>
      <w:numFmt w:val="decimal"/>
      <w:lvlText w:val="（%1）"/>
      <w:lvlJc w:val="left"/>
      <w:pPr>
        <w:ind w:left="1108" w:hanging="527"/>
      </w:pPr>
      <w:rPr>
        <w:rFonts w:hint="default" w:ascii="宋体" w:hAnsi="宋体" w:eastAsia="宋体" w:cs="宋体"/>
        <w:spacing w:val="-90"/>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30">
    <w:nsid w:val="C9412743"/>
    <w:multiLevelType w:val="multilevel"/>
    <w:tmpl w:val="C9412743"/>
    <w:lvl w:ilvl="0" w:tentative="0">
      <w:start w:val="1"/>
      <w:numFmt w:val="decimal"/>
      <w:lvlText w:val="（%1）"/>
      <w:lvlJc w:val="left"/>
      <w:pPr>
        <w:ind w:left="1108" w:hanging="527"/>
      </w:pPr>
      <w:rPr>
        <w:rFonts w:hint="default"/>
        <w:sz w:val="19"/>
        <w:szCs w:val="19"/>
        <w:u w:val="single" w:color="000000"/>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31">
    <w:nsid w:val="CB94649F"/>
    <w:multiLevelType w:val="multilevel"/>
    <w:tmpl w:val="CB94649F"/>
    <w:lvl w:ilvl="0" w:tentative="0">
      <w:start w:val="1"/>
      <w:numFmt w:val="decimal"/>
      <w:lvlText w:val="%1."/>
      <w:lvlJc w:val="left"/>
      <w:pPr>
        <w:ind w:left="326" w:hanging="317"/>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381" w:hanging="317"/>
      </w:pPr>
      <w:rPr>
        <w:rFonts w:hint="default"/>
        <w:lang w:val="zh-CN" w:eastAsia="zh-CN" w:bidi="zh-CN"/>
      </w:rPr>
    </w:lvl>
    <w:lvl w:ilvl="2" w:tentative="0">
      <w:start w:val="0"/>
      <w:numFmt w:val="bullet"/>
      <w:lvlText w:val="•"/>
      <w:lvlJc w:val="left"/>
      <w:pPr>
        <w:ind w:left="2442" w:hanging="317"/>
      </w:pPr>
      <w:rPr>
        <w:rFonts w:hint="default"/>
        <w:lang w:val="zh-CN" w:eastAsia="zh-CN" w:bidi="zh-CN"/>
      </w:rPr>
    </w:lvl>
    <w:lvl w:ilvl="3" w:tentative="0">
      <w:start w:val="0"/>
      <w:numFmt w:val="bullet"/>
      <w:lvlText w:val="•"/>
      <w:lvlJc w:val="left"/>
      <w:pPr>
        <w:ind w:left="3503" w:hanging="317"/>
      </w:pPr>
      <w:rPr>
        <w:rFonts w:hint="default"/>
        <w:lang w:val="zh-CN" w:eastAsia="zh-CN" w:bidi="zh-CN"/>
      </w:rPr>
    </w:lvl>
    <w:lvl w:ilvl="4" w:tentative="0">
      <w:start w:val="0"/>
      <w:numFmt w:val="bullet"/>
      <w:lvlText w:val="•"/>
      <w:lvlJc w:val="left"/>
      <w:pPr>
        <w:ind w:left="4564" w:hanging="317"/>
      </w:pPr>
      <w:rPr>
        <w:rFonts w:hint="default"/>
        <w:lang w:val="zh-CN" w:eastAsia="zh-CN" w:bidi="zh-CN"/>
      </w:rPr>
    </w:lvl>
    <w:lvl w:ilvl="5" w:tentative="0">
      <w:start w:val="0"/>
      <w:numFmt w:val="bullet"/>
      <w:lvlText w:val="•"/>
      <w:lvlJc w:val="left"/>
      <w:pPr>
        <w:ind w:left="5625" w:hanging="317"/>
      </w:pPr>
      <w:rPr>
        <w:rFonts w:hint="default"/>
        <w:lang w:val="zh-CN" w:eastAsia="zh-CN" w:bidi="zh-CN"/>
      </w:rPr>
    </w:lvl>
    <w:lvl w:ilvl="6" w:tentative="0">
      <w:start w:val="0"/>
      <w:numFmt w:val="bullet"/>
      <w:lvlText w:val="•"/>
      <w:lvlJc w:val="left"/>
      <w:pPr>
        <w:ind w:left="6686" w:hanging="317"/>
      </w:pPr>
      <w:rPr>
        <w:rFonts w:hint="default"/>
        <w:lang w:val="zh-CN" w:eastAsia="zh-CN" w:bidi="zh-CN"/>
      </w:rPr>
    </w:lvl>
    <w:lvl w:ilvl="7" w:tentative="0">
      <w:start w:val="0"/>
      <w:numFmt w:val="bullet"/>
      <w:lvlText w:val="•"/>
      <w:lvlJc w:val="left"/>
      <w:pPr>
        <w:ind w:left="7747" w:hanging="317"/>
      </w:pPr>
      <w:rPr>
        <w:rFonts w:hint="default"/>
        <w:lang w:val="zh-CN" w:eastAsia="zh-CN" w:bidi="zh-CN"/>
      </w:rPr>
    </w:lvl>
    <w:lvl w:ilvl="8" w:tentative="0">
      <w:start w:val="0"/>
      <w:numFmt w:val="bullet"/>
      <w:lvlText w:val="•"/>
      <w:lvlJc w:val="left"/>
      <w:pPr>
        <w:ind w:left="8808" w:hanging="317"/>
      </w:pPr>
      <w:rPr>
        <w:rFonts w:hint="default"/>
        <w:lang w:val="zh-CN" w:eastAsia="zh-CN" w:bidi="zh-CN"/>
      </w:rPr>
    </w:lvl>
  </w:abstractNum>
  <w:abstractNum w:abstractNumId="32">
    <w:nsid w:val="CD699D1D"/>
    <w:multiLevelType w:val="multilevel"/>
    <w:tmpl w:val="CD699D1D"/>
    <w:lvl w:ilvl="0" w:tentative="0">
      <w:start w:val="1"/>
      <w:numFmt w:val="decimal"/>
      <w:lvlText w:val="（%1）"/>
      <w:lvlJc w:val="left"/>
      <w:pPr>
        <w:ind w:left="1108" w:hanging="527"/>
        <w:jc w:val="righ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33">
    <w:nsid w:val="CF092B84"/>
    <w:multiLevelType w:val="multilevel"/>
    <w:tmpl w:val="CF092B84"/>
    <w:lvl w:ilvl="0" w:tentative="0">
      <w:start w:val="1"/>
      <w:numFmt w:val="decimal"/>
      <w:lvlText w:val="（%1）"/>
      <w:lvlJc w:val="left"/>
      <w:pPr>
        <w:ind w:left="1108" w:hanging="527"/>
      </w:pPr>
      <w:rPr>
        <w:rFonts w:hint="default" w:ascii="宋体" w:hAnsi="宋体" w:eastAsia="宋体" w:cs="宋体"/>
        <w:spacing w:val="-2"/>
        <w:w w:val="100"/>
        <w:sz w:val="19"/>
        <w:szCs w:val="19"/>
        <w:lang w:val="zh-CN" w:eastAsia="zh-CN" w:bidi="zh-CN"/>
      </w:rPr>
    </w:lvl>
    <w:lvl w:ilvl="1" w:tentative="0">
      <w:start w:val="1"/>
      <w:numFmt w:val="decimal"/>
      <w:lvlText w:val="（%2）"/>
      <w:lvlJc w:val="left"/>
      <w:pPr>
        <w:ind w:left="1273" w:hanging="527"/>
      </w:pPr>
      <w:rPr>
        <w:rFonts w:hint="default" w:ascii="宋体" w:hAnsi="宋体" w:eastAsia="宋体" w:cs="宋体"/>
        <w:spacing w:val="-1"/>
        <w:w w:val="100"/>
        <w:sz w:val="19"/>
        <w:szCs w:val="19"/>
        <w:lang w:val="zh-CN" w:eastAsia="zh-CN" w:bidi="zh-CN"/>
      </w:rPr>
    </w:lvl>
    <w:lvl w:ilvl="2" w:tentative="0">
      <w:start w:val="0"/>
      <w:numFmt w:val="bullet"/>
      <w:lvlText w:val="•"/>
      <w:lvlJc w:val="left"/>
      <w:pPr>
        <w:ind w:left="2352" w:hanging="527"/>
      </w:pPr>
      <w:rPr>
        <w:rFonts w:hint="default"/>
        <w:lang w:val="zh-CN" w:eastAsia="zh-CN" w:bidi="zh-CN"/>
      </w:rPr>
    </w:lvl>
    <w:lvl w:ilvl="3" w:tentative="0">
      <w:start w:val="0"/>
      <w:numFmt w:val="bullet"/>
      <w:lvlText w:val="•"/>
      <w:lvlJc w:val="left"/>
      <w:pPr>
        <w:ind w:left="3424" w:hanging="527"/>
      </w:pPr>
      <w:rPr>
        <w:rFonts w:hint="default"/>
        <w:lang w:val="zh-CN" w:eastAsia="zh-CN" w:bidi="zh-CN"/>
      </w:rPr>
    </w:lvl>
    <w:lvl w:ilvl="4" w:tentative="0">
      <w:start w:val="0"/>
      <w:numFmt w:val="bullet"/>
      <w:lvlText w:val="•"/>
      <w:lvlJc w:val="left"/>
      <w:pPr>
        <w:ind w:left="4496" w:hanging="527"/>
      </w:pPr>
      <w:rPr>
        <w:rFonts w:hint="default"/>
        <w:lang w:val="zh-CN" w:eastAsia="zh-CN" w:bidi="zh-CN"/>
      </w:rPr>
    </w:lvl>
    <w:lvl w:ilvl="5" w:tentative="0">
      <w:start w:val="0"/>
      <w:numFmt w:val="bullet"/>
      <w:lvlText w:val="•"/>
      <w:lvlJc w:val="left"/>
      <w:pPr>
        <w:ind w:left="5568" w:hanging="527"/>
      </w:pPr>
      <w:rPr>
        <w:rFonts w:hint="default"/>
        <w:lang w:val="zh-CN" w:eastAsia="zh-CN" w:bidi="zh-CN"/>
      </w:rPr>
    </w:lvl>
    <w:lvl w:ilvl="6" w:tentative="0">
      <w:start w:val="0"/>
      <w:numFmt w:val="bullet"/>
      <w:lvlText w:val="•"/>
      <w:lvlJc w:val="left"/>
      <w:pPr>
        <w:ind w:left="6641" w:hanging="527"/>
      </w:pPr>
      <w:rPr>
        <w:rFonts w:hint="default"/>
        <w:lang w:val="zh-CN" w:eastAsia="zh-CN" w:bidi="zh-CN"/>
      </w:rPr>
    </w:lvl>
    <w:lvl w:ilvl="7" w:tentative="0">
      <w:start w:val="0"/>
      <w:numFmt w:val="bullet"/>
      <w:lvlText w:val="•"/>
      <w:lvlJc w:val="left"/>
      <w:pPr>
        <w:ind w:left="7713" w:hanging="527"/>
      </w:pPr>
      <w:rPr>
        <w:rFonts w:hint="default"/>
        <w:lang w:val="zh-CN" w:eastAsia="zh-CN" w:bidi="zh-CN"/>
      </w:rPr>
    </w:lvl>
    <w:lvl w:ilvl="8" w:tentative="0">
      <w:start w:val="0"/>
      <w:numFmt w:val="bullet"/>
      <w:lvlText w:val="•"/>
      <w:lvlJc w:val="left"/>
      <w:pPr>
        <w:ind w:left="8785" w:hanging="527"/>
      </w:pPr>
      <w:rPr>
        <w:rFonts w:hint="default"/>
        <w:lang w:val="zh-CN" w:eastAsia="zh-CN" w:bidi="zh-CN"/>
      </w:rPr>
    </w:lvl>
  </w:abstractNum>
  <w:abstractNum w:abstractNumId="34">
    <w:nsid w:val="D1EB1714"/>
    <w:multiLevelType w:val="multilevel"/>
    <w:tmpl w:val="D1EB1714"/>
    <w:lvl w:ilvl="0" w:tentative="0">
      <w:start w:val="1"/>
      <w:numFmt w:val="decimal"/>
      <w:lvlText w:val="（%1）"/>
      <w:lvlJc w:val="left"/>
      <w:pPr>
        <w:ind w:left="1108" w:hanging="527"/>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35">
    <w:nsid w:val="D7936317"/>
    <w:multiLevelType w:val="multilevel"/>
    <w:tmpl w:val="D7936317"/>
    <w:lvl w:ilvl="0" w:tentative="0">
      <w:start w:val="1"/>
      <w:numFmt w:val="decimal"/>
      <w:lvlText w:val="（%1）"/>
      <w:lvlJc w:val="left"/>
      <w:pPr>
        <w:ind w:left="1273" w:hanging="527"/>
      </w:pPr>
      <w:rPr>
        <w:rFonts w:hint="default" w:ascii="宋体" w:hAnsi="宋体" w:eastAsia="宋体" w:cs="宋体"/>
        <w:spacing w:val="-50"/>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36">
    <w:nsid w:val="DAD3A854"/>
    <w:multiLevelType w:val="multilevel"/>
    <w:tmpl w:val="DAD3A854"/>
    <w:lvl w:ilvl="0" w:tentative="0">
      <w:start w:val="1"/>
      <w:numFmt w:val="decimal"/>
      <w:lvlText w:val="%1"/>
      <w:lvlJc w:val="left"/>
      <w:pPr>
        <w:ind w:left="1588" w:hanging="841"/>
      </w:pPr>
      <w:rPr>
        <w:rFonts w:hint="default"/>
        <w:lang w:val="zh-CN" w:eastAsia="zh-CN" w:bidi="zh-CN"/>
      </w:rPr>
    </w:lvl>
    <w:lvl w:ilvl="1" w:tentative="0">
      <w:start w:val="1"/>
      <w:numFmt w:val="decimal"/>
      <w:lvlText w:val="%1.%2"/>
      <w:lvlJc w:val="left"/>
      <w:pPr>
        <w:ind w:left="1588" w:hanging="841"/>
      </w:pPr>
      <w:rPr>
        <w:rFonts w:hint="default"/>
        <w:lang w:val="zh-CN" w:eastAsia="zh-CN" w:bidi="zh-CN"/>
      </w:rPr>
    </w:lvl>
    <w:lvl w:ilvl="2" w:tentative="0">
      <w:start w:val="1"/>
      <w:numFmt w:val="decimal"/>
      <w:lvlText w:val="%1.%2.%3"/>
      <w:lvlJc w:val="left"/>
      <w:pPr>
        <w:ind w:left="1588" w:hanging="841"/>
      </w:pPr>
      <w:rPr>
        <w:rFonts w:hint="default"/>
        <w:lang w:val="zh-CN" w:eastAsia="zh-CN" w:bidi="zh-CN"/>
      </w:rPr>
    </w:lvl>
    <w:lvl w:ilvl="3" w:tentative="0">
      <w:start w:val="10"/>
      <w:numFmt w:val="decimal"/>
      <w:lvlText w:val="%1.%2.%3.%4"/>
      <w:lvlJc w:val="left"/>
      <w:pPr>
        <w:ind w:left="1588" w:hanging="841"/>
      </w:pPr>
      <w:rPr>
        <w:rFonts w:hint="default" w:ascii="宋体" w:hAnsi="宋体" w:eastAsia="宋体" w:cs="宋体"/>
        <w:w w:val="100"/>
        <w:sz w:val="19"/>
        <w:szCs w:val="19"/>
        <w:lang w:val="zh-CN" w:eastAsia="zh-CN" w:bidi="zh-CN"/>
      </w:rPr>
    </w:lvl>
    <w:lvl w:ilvl="4" w:tentative="0">
      <w:start w:val="0"/>
      <w:numFmt w:val="bullet"/>
      <w:lvlText w:val="•"/>
      <w:lvlJc w:val="left"/>
      <w:pPr>
        <w:ind w:left="5320" w:hanging="841"/>
      </w:pPr>
      <w:rPr>
        <w:rFonts w:hint="default"/>
        <w:lang w:val="zh-CN" w:eastAsia="zh-CN" w:bidi="zh-CN"/>
      </w:rPr>
    </w:lvl>
    <w:lvl w:ilvl="5" w:tentative="0">
      <w:start w:val="0"/>
      <w:numFmt w:val="bullet"/>
      <w:lvlText w:val="•"/>
      <w:lvlJc w:val="left"/>
      <w:pPr>
        <w:ind w:left="6255" w:hanging="841"/>
      </w:pPr>
      <w:rPr>
        <w:rFonts w:hint="default"/>
        <w:lang w:val="zh-CN" w:eastAsia="zh-CN" w:bidi="zh-CN"/>
      </w:rPr>
    </w:lvl>
    <w:lvl w:ilvl="6" w:tentative="0">
      <w:start w:val="0"/>
      <w:numFmt w:val="bullet"/>
      <w:lvlText w:val="•"/>
      <w:lvlJc w:val="left"/>
      <w:pPr>
        <w:ind w:left="7190" w:hanging="841"/>
      </w:pPr>
      <w:rPr>
        <w:rFonts w:hint="default"/>
        <w:lang w:val="zh-CN" w:eastAsia="zh-CN" w:bidi="zh-CN"/>
      </w:rPr>
    </w:lvl>
    <w:lvl w:ilvl="7" w:tentative="0">
      <w:start w:val="0"/>
      <w:numFmt w:val="bullet"/>
      <w:lvlText w:val="•"/>
      <w:lvlJc w:val="left"/>
      <w:pPr>
        <w:ind w:left="8125" w:hanging="841"/>
      </w:pPr>
      <w:rPr>
        <w:rFonts w:hint="default"/>
        <w:lang w:val="zh-CN" w:eastAsia="zh-CN" w:bidi="zh-CN"/>
      </w:rPr>
    </w:lvl>
    <w:lvl w:ilvl="8" w:tentative="0">
      <w:start w:val="0"/>
      <w:numFmt w:val="bullet"/>
      <w:lvlText w:val="•"/>
      <w:lvlJc w:val="left"/>
      <w:pPr>
        <w:ind w:left="9060" w:hanging="841"/>
      </w:pPr>
      <w:rPr>
        <w:rFonts w:hint="default"/>
        <w:lang w:val="zh-CN" w:eastAsia="zh-CN" w:bidi="zh-CN"/>
      </w:rPr>
    </w:lvl>
  </w:abstractNum>
  <w:abstractNum w:abstractNumId="37">
    <w:nsid w:val="DAE62134"/>
    <w:multiLevelType w:val="multilevel"/>
    <w:tmpl w:val="DAE62134"/>
    <w:lvl w:ilvl="0" w:tentative="0">
      <w:start w:val="1"/>
      <w:numFmt w:val="decimal"/>
      <w:lvlText w:val="（%1）"/>
      <w:lvlJc w:val="left"/>
      <w:pPr>
        <w:ind w:left="1273" w:hanging="527"/>
      </w:pPr>
      <w:rPr>
        <w:rFonts w:hint="default" w:ascii="宋体" w:hAnsi="宋体" w:eastAsia="宋体" w:cs="宋体"/>
        <w:spacing w:val="-7"/>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38">
    <w:nsid w:val="E0294EC7"/>
    <w:multiLevelType w:val="multilevel"/>
    <w:tmpl w:val="E0294EC7"/>
    <w:lvl w:ilvl="0" w:tentative="0">
      <w:start w:val="1"/>
      <w:numFmt w:val="upperLetter"/>
      <w:lvlText w:val="%1."/>
      <w:lvlJc w:val="left"/>
      <w:pPr>
        <w:ind w:left="958" w:hanging="211"/>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1957" w:hanging="211"/>
      </w:pPr>
      <w:rPr>
        <w:rFonts w:hint="default"/>
        <w:lang w:val="zh-CN" w:eastAsia="zh-CN" w:bidi="zh-CN"/>
      </w:rPr>
    </w:lvl>
    <w:lvl w:ilvl="2" w:tentative="0">
      <w:start w:val="0"/>
      <w:numFmt w:val="bullet"/>
      <w:lvlText w:val="•"/>
      <w:lvlJc w:val="left"/>
      <w:pPr>
        <w:ind w:left="2954" w:hanging="211"/>
      </w:pPr>
      <w:rPr>
        <w:rFonts w:hint="default"/>
        <w:lang w:val="zh-CN" w:eastAsia="zh-CN" w:bidi="zh-CN"/>
      </w:rPr>
    </w:lvl>
    <w:lvl w:ilvl="3" w:tentative="0">
      <w:start w:val="0"/>
      <w:numFmt w:val="bullet"/>
      <w:lvlText w:val="•"/>
      <w:lvlJc w:val="left"/>
      <w:pPr>
        <w:ind w:left="3951" w:hanging="211"/>
      </w:pPr>
      <w:rPr>
        <w:rFonts w:hint="default"/>
        <w:lang w:val="zh-CN" w:eastAsia="zh-CN" w:bidi="zh-CN"/>
      </w:rPr>
    </w:lvl>
    <w:lvl w:ilvl="4" w:tentative="0">
      <w:start w:val="0"/>
      <w:numFmt w:val="bullet"/>
      <w:lvlText w:val="•"/>
      <w:lvlJc w:val="left"/>
      <w:pPr>
        <w:ind w:left="4948" w:hanging="211"/>
      </w:pPr>
      <w:rPr>
        <w:rFonts w:hint="default"/>
        <w:lang w:val="zh-CN" w:eastAsia="zh-CN" w:bidi="zh-CN"/>
      </w:rPr>
    </w:lvl>
    <w:lvl w:ilvl="5" w:tentative="0">
      <w:start w:val="0"/>
      <w:numFmt w:val="bullet"/>
      <w:lvlText w:val="•"/>
      <w:lvlJc w:val="left"/>
      <w:pPr>
        <w:ind w:left="5945" w:hanging="211"/>
      </w:pPr>
      <w:rPr>
        <w:rFonts w:hint="default"/>
        <w:lang w:val="zh-CN" w:eastAsia="zh-CN" w:bidi="zh-CN"/>
      </w:rPr>
    </w:lvl>
    <w:lvl w:ilvl="6" w:tentative="0">
      <w:start w:val="0"/>
      <w:numFmt w:val="bullet"/>
      <w:lvlText w:val="•"/>
      <w:lvlJc w:val="left"/>
      <w:pPr>
        <w:ind w:left="6942" w:hanging="211"/>
      </w:pPr>
      <w:rPr>
        <w:rFonts w:hint="default"/>
        <w:lang w:val="zh-CN" w:eastAsia="zh-CN" w:bidi="zh-CN"/>
      </w:rPr>
    </w:lvl>
    <w:lvl w:ilvl="7" w:tentative="0">
      <w:start w:val="0"/>
      <w:numFmt w:val="bullet"/>
      <w:lvlText w:val="•"/>
      <w:lvlJc w:val="left"/>
      <w:pPr>
        <w:ind w:left="7939" w:hanging="211"/>
      </w:pPr>
      <w:rPr>
        <w:rFonts w:hint="default"/>
        <w:lang w:val="zh-CN" w:eastAsia="zh-CN" w:bidi="zh-CN"/>
      </w:rPr>
    </w:lvl>
    <w:lvl w:ilvl="8" w:tentative="0">
      <w:start w:val="0"/>
      <w:numFmt w:val="bullet"/>
      <w:lvlText w:val="•"/>
      <w:lvlJc w:val="left"/>
      <w:pPr>
        <w:ind w:left="8936" w:hanging="211"/>
      </w:pPr>
      <w:rPr>
        <w:rFonts w:hint="default"/>
        <w:lang w:val="zh-CN" w:eastAsia="zh-CN" w:bidi="zh-CN"/>
      </w:rPr>
    </w:lvl>
  </w:abstractNum>
  <w:abstractNum w:abstractNumId="39">
    <w:nsid w:val="E43A772E"/>
    <w:multiLevelType w:val="multilevel"/>
    <w:tmpl w:val="E43A772E"/>
    <w:lvl w:ilvl="0" w:tentative="0">
      <w:start w:val="1"/>
      <w:numFmt w:val="decimal"/>
      <w:lvlText w:val="（%1）"/>
      <w:lvlJc w:val="left"/>
      <w:pPr>
        <w:ind w:left="1108" w:hanging="527"/>
        <w:jc w:val="righ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40">
    <w:nsid w:val="E52D9448"/>
    <w:multiLevelType w:val="multilevel"/>
    <w:tmpl w:val="E52D9448"/>
    <w:lvl w:ilvl="0" w:tentative="0">
      <w:start w:val="1"/>
      <w:numFmt w:val="decimal"/>
      <w:lvlText w:val="%1）"/>
      <w:lvlJc w:val="left"/>
      <w:pPr>
        <w:ind w:left="898" w:hanging="316"/>
      </w:pPr>
      <w:rPr>
        <w:rFonts w:hint="default"/>
        <w:sz w:val="19"/>
        <w:szCs w:val="19"/>
        <w:u w:val="single" w:color="000000"/>
        <w:lang w:val="zh-CN" w:eastAsia="zh-CN" w:bidi="zh-CN"/>
      </w:rPr>
    </w:lvl>
    <w:lvl w:ilvl="1" w:tentative="0">
      <w:start w:val="2"/>
      <w:numFmt w:val="decimal"/>
      <w:lvlText w:val="%2）"/>
      <w:lvlJc w:val="left"/>
      <w:pPr>
        <w:ind w:left="1063" w:hanging="317"/>
      </w:pPr>
      <w:rPr>
        <w:rFonts w:hint="default" w:ascii="宋体" w:hAnsi="宋体" w:eastAsia="宋体" w:cs="宋体"/>
        <w:spacing w:val="-4"/>
        <w:w w:val="100"/>
        <w:sz w:val="19"/>
        <w:szCs w:val="19"/>
        <w:lang w:val="zh-CN" w:eastAsia="zh-CN" w:bidi="zh-CN"/>
      </w:rPr>
    </w:lvl>
    <w:lvl w:ilvl="2" w:tentative="0">
      <w:start w:val="0"/>
      <w:numFmt w:val="bullet"/>
      <w:lvlText w:val="•"/>
      <w:lvlJc w:val="left"/>
      <w:pPr>
        <w:ind w:left="2156" w:hanging="317"/>
      </w:pPr>
      <w:rPr>
        <w:rFonts w:hint="default"/>
        <w:lang w:val="zh-CN" w:eastAsia="zh-CN" w:bidi="zh-CN"/>
      </w:rPr>
    </w:lvl>
    <w:lvl w:ilvl="3" w:tentative="0">
      <w:start w:val="0"/>
      <w:numFmt w:val="bullet"/>
      <w:lvlText w:val="•"/>
      <w:lvlJc w:val="left"/>
      <w:pPr>
        <w:ind w:left="3253" w:hanging="317"/>
      </w:pPr>
      <w:rPr>
        <w:rFonts w:hint="default"/>
        <w:lang w:val="zh-CN" w:eastAsia="zh-CN" w:bidi="zh-CN"/>
      </w:rPr>
    </w:lvl>
    <w:lvl w:ilvl="4" w:tentative="0">
      <w:start w:val="0"/>
      <w:numFmt w:val="bullet"/>
      <w:lvlText w:val="•"/>
      <w:lvlJc w:val="left"/>
      <w:pPr>
        <w:ind w:left="4350" w:hanging="317"/>
      </w:pPr>
      <w:rPr>
        <w:rFonts w:hint="default"/>
        <w:lang w:val="zh-CN" w:eastAsia="zh-CN" w:bidi="zh-CN"/>
      </w:rPr>
    </w:lvl>
    <w:lvl w:ilvl="5" w:tentative="0">
      <w:start w:val="0"/>
      <w:numFmt w:val="bullet"/>
      <w:lvlText w:val="•"/>
      <w:lvlJc w:val="left"/>
      <w:pPr>
        <w:ind w:left="5446" w:hanging="317"/>
      </w:pPr>
      <w:rPr>
        <w:rFonts w:hint="default"/>
        <w:lang w:val="zh-CN" w:eastAsia="zh-CN" w:bidi="zh-CN"/>
      </w:rPr>
    </w:lvl>
    <w:lvl w:ilvl="6" w:tentative="0">
      <w:start w:val="0"/>
      <w:numFmt w:val="bullet"/>
      <w:lvlText w:val="•"/>
      <w:lvlJc w:val="left"/>
      <w:pPr>
        <w:ind w:left="6543" w:hanging="317"/>
      </w:pPr>
      <w:rPr>
        <w:rFonts w:hint="default"/>
        <w:lang w:val="zh-CN" w:eastAsia="zh-CN" w:bidi="zh-CN"/>
      </w:rPr>
    </w:lvl>
    <w:lvl w:ilvl="7" w:tentative="0">
      <w:start w:val="0"/>
      <w:numFmt w:val="bullet"/>
      <w:lvlText w:val="•"/>
      <w:lvlJc w:val="left"/>
      <w:pPr>
        <w:ind w:left="7640" w:hanging="317"/>
      </w:pPr>
      <w:rPr>
        <w:rFonts w:hint="default"/>
        <w:lang w:val="zh-CN" w:eastAsia="zh-CN" w:bidi="zh-CN"/>
      </w:rPr>
    </w:lvl>
    <w:lvl w:ilvl="8" w:tentative="0">
      <w:start w:val="0"/>
      <w:numFmt w:val="bullet"/>
      <w:lvlText w:val="•"/>
      <w:lvlJc w:val="left"/>
      <w:pPr>
        <w:ind w:left="8736" w:hanging="317"/>
      </w:pPr>
      <w:rPr>
        <w:rFonts w:hint="default"/>
        <w:lang w:val="zh-CN" w:eastAsia="zh-CN" w:bidi="zh-CN"/>
      </w:rPr>
    </w:lvl>
  </w:abstractNum>
  <w:abstractNum w:abstractNumId="41">
    <w:nsid w:val="E7B27C5B"/>
    <w:multiLevelType w:val="multilevel"/>
    <w:tmpl w:val="E7B27C5B"/>
    <w:lvl w:ilvl="0" w:tentative="0">
      <w:start w:val="1"/>
      <w:numFmt w:val="decimal"/>
      <w:lvlText w:val="%1"/>
      <w:lvlJc w:val="left"/>
      <w:pPr>
        <w:ind w:left="161" w:hanging="736"/>
      </w:pPr>
      <w:rPr>
        <w:rFonts w:hint="default"/>
        <w:lang w:val="zh-CN" w:eastAsia="zh-CN" w:bidi="zh-CN"/>
      </w:rPr>
    </w:lvl>
    <w:lvl w:ilvl="1" w:tentative="0">
      <w:start w:val="1"/>
      <w:numFmt w:val="decimal"/>
      <w:lvlText w:val="%1.%2"/>
      <w:lvlJc w:val="left"/>
      <w:pPr>
        <w:ind w:left="161" w:hanging="736"/>
      </w:pPr>
      <w:rPr>
        <w:rFonts w:hint="default"/>
        <w:lang w:val="zh-CN" w:eastAsia="zh-CN" w:bidi="zh-CN"/>
      </w:rPr>
    </w:lvl>
    <w:lvl w:ilvl="2" w:tentative="0">
      <w:start w:val="6"/>
      <w:numFmt w:val="decimal"/>
      <w:lvlText w:val="%1.%2.%3"/>
      <w:lvlJc w:val="left"/>
      <w:pPr>
        <w:ind w:left="161" w:hanging="736"/>
      </w:pPr>
      <w:rPr>
        <w:rFonts w:hint="default"/>
        <w:lang w:val="zh-CN" w:eastAsia="zh-CN" w:bidi="zh-CN"/>
      </w:rPr>
    </w:lvl>
    <w:lvl w:ilvl="3" w:tentative="0">
      <w:start w:val="2"/>
      <w:numFmt w:val="decimal"/>
      <w:lvlText w:val="%1.%2.%3.%4"/>
      <w:lvlJc w:val="left"/>
      <w:pPr>
        <w:ind w:left="161" w:hanging="736"/>
      </w:pPr>
      <w:rPr>
        <w:rFonts w:hint="default" w:ascii="宋体" w:hAnsi="宋体" w:eastAsia="宋体" w:cs="宋体"/>
        <w:w w:val="100"/>
        <w:sz w:val="19"/>
        <w:szCs w:val="19"/>
        <w:lang w:val="zh-CN" w:eastAsia="zh-CN" w:bidi="zh-CN"/>
      </w:rPr>
    </w:lvl>
    <w:lvl w:ilvl="4" w:tentative="0">
      <w:start w:val="0"/>
      <w:numFmt w:val="bullet"/>
      <w:lvlText w:val="•"/>
      <w:lvlJc w:val="left"/>
      <w:pPr>
        <w:ind w:left="4468" w:hanging="736"/>
      </w:pPr>
      <w:rPr>
        <w:rFonts w:hint="default"/>
        <w:lang w:val="zh-CN" w:eastAsia="zh-CN" w:bidi="zh-CN"/>
      </w:rPr>
    </w:lvl>
    <w:lvl w:ilvl="5" w:tentative="0">
      <w:start w:val="0"/>
      <w:numFmt w:val="bullet"/>
      <w:lvlText w:val="•"/>
      <w:lvlJc w:val="left"/>
      <w:pPr>
        <w:ind w:left="5545" w:hanging="736"/>
      </w:pPr>
      <w:rPr>
        <w:rFonts w:hint="default"/>
        <w:lang w:val="zh-CN" w:eastAsia="zh-CN" w:bidi="zh-CN"/>
      </w:rPr>
    </w:lvl>
    <w:lvl w:ilvl="6" w:tentative="0">
      <w:start w:val="0"/>
      <w:numFmt w:val="bullet"/>
      <w:lvlText w:val="•"/>
      <w:lvlJc w:val="left"/>
      <w:pPr>
        <w:ind w:left="6622" w:hanging="736"/>
      </w:pPr>
      <w:rPr>
        <w:rFonts w:hint="default"/>
        <w:lang w:val="zh-CN" w:eastAsia="zh-CN" w:bidi="zh-CN"/>
      </w:rPr>
    </w:lvl>
    <w:lvl w:ilvl="7" w:tentative="0">
      <w:start w:val="0"/>
      <w:numFmt w:val="bullet"/>
      <w:lvlText w:val="•"/>
      <w:lvlJc w:val="left"/>
      <w:pPr>
        <w:ind w:left="7699" w:hanging="736"/>
      </w:pPr>
      <w:rPr>
        <w:rFonts w:hint="default"/>
        <w:lang w:val="zh-CN" w:eastAsia="zh-CN" w:bidi="zh-CN"/>
      </w:rPr>
    </w:lvl>
    <w:lvl w:ilvl="8" w:tentative="0">
      <w:start w:val="0"/>
      <w:numFmt w:val="bullet"/>
      <w:lvlText w:val="•"/>
      <w:lvlJc w:val="left"/>
      <w:pPr>
        <w:ind w:left="8776" w:hanging="736"/>
      </w:pPr>
      <w:rPr>
        <w:rFonts w:hint="default"/>
        <w:lang w:val="zh-CN" w:eastAsia="zh-CN" w:bidi="zh-CN"/>
      </w:rPr>
    </w:lvl>
  </w:abstractNum>
  <w:abstractNum w:abstractNumId="42">
    <w:nsid w:val="EA28CC15"/>
    <w:multiLevelType w:val="multilevel"/>
    <w:tmpl w:val="EA28CC15"/>
    <w:lvl w:ilvl="0" w:tentative="0">
      <w:start w:val="1"/>
      <w:numFmt w:val="decimal"/>
      <w:lvlText w:val="（%1）"/>
      <w:lvlJc w:val="left"/>
      <w:pPr>
        <w:ind w:left="326" w:hanging="527"/>
        <w:jc w:val="right"/>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381" w:hanging="527"/>
      </w:pPr>
      <w:rPr>
        <w:rFonts w:hint="default"/>
        <w:lang w:val="zh-CN" w:eastAsia="zh-CN" w:bidi="zh-CN"/>
      </w:rPr>
    </w:lvl>
    <w:lvl w:ilvl="2" w:tentative="0">
      <w:start w:val="0"/>
      <w:numFmt w:val="bullet"/>
      <w:lvlText w:val="•"/>
      <w:lvlJc w:val="left"/>
      <w:pPr>
        <w:ind w:left="2442" w:hanging="527"/>
      </w:pPr>
      <w:rPr>
        <w:rFonts w:hint="default"/>
        <w:lang w:val="zh-CN" w:eastAsia="zh-CN" w:bidi="zh-CN"/>
      </w:rPr>
    </w:lvl>
    <w:lvl w:ilvl="3" w:tentative="0">
      <w:start w:val="0"/>
      <w:numFmt w:val="bullet"/>
      <w:lvlText w:val="•"/>
      <w:lvlJc w:val="left"/>
      <w:pPr>
        <w:ind w:left="3503" w:hanging="527"/>
      </w:pPr>
      <w:rPr>
        <w:rFonts w:hint="default"/>
        <w:lang w:val="zh-CN" w:eastAsia="zh-CN" w:bidi="zh-CN"/>
      </w:rPr>
    </w:lvl>
    <w:lvl w:ilvl="4" w:tentative="0">
      <w:start w:val="0"/>
      <w:numFmt w:val="bullet"/>
      <w:lvlText w:val="•"/>
      <w:lvlJc w:val="left"/>
      <w:pPr>
        <w:ind w:left="4564" w:hanging="527"/>
      </w:pPr>
      <w:rPr>
        <w:rFonts w:hint="default"/>
        <w:lang w:val="zh-CN" w:eastAsia="zh-CN" w:bidi="zh-CN"/>
      </w:rPr>
    </w:lvl>
    <w:lvl w:ilvl="5" w:tentative="0">
      <w:start w:val="0"/>
      <w:numFmt w:val="bullet"/>
      <w:lvlText w:val="•"/>
      <w:lvlJc w:val="left"/>
      <w:pPr>
        <w:ind w:left="5625" w:hanging="527"/>
      </w:pPr>
      <w:rPr>
        <w:rFonts w:hint="default"/>
        <w:lang w:val="zh-CN" w:eastAsia="zh-CN" w:bidi="zh-CN"/>
      </w:rPr>
    </w:lvl>
    <w:lvl w:ilvl="6" w:tentative="0">
      <w:start w:val="0"/>
      <w:numFmt w:val="bullet"/>
      <w:lvlText w:val="•"/>
      <w:lvlJc w:val="left"/>
      <w:pPr>
        <w:ind w:left="6686" w:hanging="527"/>
      </w:pPr>
      <w:rPr>
        <w:rFonts w:hint="default"/>
        <w:lang w:val="zh-CN" w:eastAsia="zh-CN" w:bidi="zh-CN"/>
      </w:rPr>
    </w:lvl>
    <w:lvl w:ilvl="7" w:tentative="0">
      <w:start w:val="0"/>
      <w:numFmt w:val="bullet"/>
      <w:lvlText w:val="•"/>
      <w:lvlJc w:val="left"/>
      <w:pPr>
        <w:ind w:left="7747" w:hanging="527"/>
      </w:pPr>
      <w:rPr>
        <w:rFonts w:hint="default"/>
        <w:lang w:val="zh-CN" w:eastAsia="zh-CN" w:bidi="zh-CN"/>
      </w:rPr>
    </w:lvl>
    <w:lvl w:ilvl="8" w:tentative="0">
      <w:start w:val="0"/>
      <w:numFmt w:val="bullet"/>
      <w:lvlText w:val="•"/>
      <w:lvlJc w:val="left"/>
      <w:pPr>
        <w:ind w:left="8808" w:hanging="527"/>
      </w:pPr>
      <w:rPr>
        <w:rFonts w:hint="default"/>
        <w:lang w:val="zh-CN" w:eastAsia="zh-CN" w:bidi="zh-CN"/>
      </w:rPr>
    </w:lvl>
  </w:abstractNum>
  <w:abstractNum w:abstractNumId="43">
    <w:nsid w:val="F066642F"/>
    <w:multiLevelType w:val="multilevel"/>
    <w:tmpl w:val="F066642F"/>
    <w:lvl w:ilvl="0" w:tentative="0">
      <w:start w:val="2"/>
      <w:numFmt w:val="decimal"/>
      <w:lvlText w:val="%1."/>
      <w:lvlJc w:val="left"/>
      <w:pPr>
        <w:ind w:left="1063" w:hanging="317"/>
      </w:pPr>
      <w:rPr>
        <w:rFonts w:hint="default" w:ascii="宋体" w:hAnsi="宋体" w:eastAsia="宋体" w:cs="宋体"/>
        <w:spacing w:val="-6"/>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44">
    <w:nsid w:val="F1FCDEFA"/>
    <w:multiLevelType w:val="multilevel"/>
    <w:tmpl w:val="F1FCDEFA"/>
    <w:lvl w:ilvl="0" w:tentative="0">
      <w:start w:val="18"/>
      <w:numFmt w:val="decimal"/>
      <w:lvlText w:val="%1"/>
      <w:lvlJc w:val="left"/>
      <w:pPr>
        <w:ind w:left="1212" w:hanging="466"/>
      </w:pPr>
      <w:rPr>
        <w:rFonts w:hint="default"/>
        <w:lang w:val="zh-CN" w:eastAsia="zh-CN" w:bidi="zh-CN"/>
      </w:rPr>
    </w:lvl>
    <w:lvl w:ilvl="1" w:tentative="0">
      <w:start w:val="7"/>
      <w:numFmt w:val="decimal"/>
      <w:lvlText w:val="%1.%2"/>
      <w:lvlJc w:val="left"/>
      <w:pPr>
        <w:ind w:left="1212" w:hanging="466"/>
      </w:pPr>
      <w:rPr>
        <w:rFonts w:hint="default" w:ascii="微软雅黑" w:hAnsi="微软雅黑" w:eastAsia="微软雅黑" w:cs="微软雅黑"/>
        <w:b/>
        <w:bCs/>
        <w:spacing w:val="0"/>
        <w:w w:val="81"/>
        <w:sz w:val="19"/>
        <w:szCs w:val="19"/>
        <w:lang w:val="zh-CN" w:eastAsia="zh-CN" w:bidi="zh-CN"/>
      </w:rPr>
    </w:lvl>
    <w:lvl w:ilvl="2" w:tentative="0">
      <w:start w:val="1"/>
      <w:numFmt w:val="decimal"/>
      <w:lvlText w:val="%1.%2.%3"/>
      <w:lvlJc w:val="left"/>
      <w:pPr>
        <w:ind w:left="326" w:hanging="631"/>
      </w:pPr>
      <w:rPr>
        <w:rFonts w:hint="default" w:ascii="宋体" w:hAnsi="宋体" w:eastAsia="宋体" w:cs="宋体"/>
        <w:w w:val="100"/>
        <w:sz w:val="19"/>
        <w:szCs w:val="19"/>
        <w:lang w:val="zh-CN" w:eastAsia="zh-CN" w:bidi="zh-CN"/>
      </w:rPr>
    </w:lvl>
    <w:lvl w:ilvl="3" w:tentative="0">
      <w:start w:val="0"/>
      <w:numFmt w:val="bullet"/>
      <w:lvlText w:val="•"/>
      <w:lvlJc w:val="left"/>
      <w:pPr>
        <w:ind w:left="3377" w:hanging="631"/>
      </w:pPr>
      <w:rPr>
        <w:rFonts w:hint="default"/>
        <w:lang w:val="zh-CN" w:eastAsia="zh-CN" w:bidi="zh-CN"/>
      </w:rPr>
    </w:lvl>
    <w:lvl w:ilvl="4" w:tentative="0">
      <w:start w:val="0"/>
      <w:numFmt w:val="bullet"/>
      <w:lvlText w:val="•"/>
      <w:lvlJc w:val="left"/>
      <w:pPr>
        <w:ind w:left="4456" w:hanging="631"/>
      </w:pPr>
      <w:rPr>
        <w:rFonts w:hint="default"/>
        <w:lang w:val="zh-CN" w:eastAsia="zh-CN" w:bidi="zh-CN"/>
      </w:rPr>
    </w:lvl>
    <w:lvl w:ilvl="5" w:tentative="0">
      <w:start w:val="0"/>
      <w:numFmt w:val="bullet"/>
      <w:lvlText w:val="•"/>
      <w:lvlJc w:val="left"/>
      <w:pPr>
        <w:ind w:left="5535" w:hanging="631"/>
      </w:pPr>
      <w:rPr>
        <w:rFonts w:hint="default"/>
        <w:lang w:val="zh-CN" w:eastAsia="zh-CN" w:bidi="zh-CN"/>
      </w:rPr>
    </w:lvl>
    <w:lvl w:ilvl="6" w:tentative="0">
      <w:start w:val="0"/>
      <w:numFmt w:val="bullet"/>
      <w:lvlText w:val="•"/>
      <w:lvlJc w:val="left"/>
      <w:pPr>
        <w:ind w:left="6614" w:hanging="631"/>
      </w:pPr>
      <w:rPr>
        <w:rFonts w:hint="default"/>
        <w:lang w:val="zh-CN" w:eastAsia="zh-CN" w:bidi="zh-CN"/>
      </w:rPr>
    </w:lvl>
    <w:lvl w:ilvl="7" w:tentative="0">
      <w:start w:val="0"/>
      <w:numFmt w:val="bullet"/>
      <w:lvlText w:val="•"/>
      <w:lvlJc w:val="left"/>
      <w:pPr>
        <w:ind w:left="7693" w:hanging="631"/>
      </w:pPr>
      <w:rPr>
        <w:rFonts w:hint="default"/>
        <w:lang w:val="zh-CN" w:eastAsia="zh-CN" w:bidi="zh-CN"/>
      </w:rPr>
    </w:lvl>
    <w:lvl w:ilvl="8" w:tentative="0">
      <w:start w:val="0"/>
      <w:numFmt w:val="bullet"/>
      <w:lvlText w:val="•"/>
      <w:lvlJc w:val="left"/>
      <w:pPr>
        <w:ind w:left="8772" w:hanging="631"/>
      </w:pPr>
      <w:rPr>
        <w:rFonts w:hint="default"/>
        <w:lang w:val="zh-CN" w:eastAsia="zh-CN" w:bidi="zh-CN"/>
      </w:rPr>
    </w:lvl>
  </w:abstractNum>
  <w:abstractNum w:abstractNumId="45">
    <w:nsid w:val="F237ACA1"/>
    <w:multiLevelType w:val="multilevel"/>
    <w:tmpl w:val="F237ACA1"/>
    <w:lvl w:ilvl="0" w:tentative="0">
      <w:start w:val="1"/>
      <w:numFmt w:val="decimal"/>
      <w:lvlText w:val="%1）"/>
      <w:lvlJc w:val="left"/>
      <w:pPr>
        <w:ind w:left="161" w:hanging="316"/>
      </w:pPr>
      <w:rPr>
        <w:rFonts w:hint="default" w:ascii="宋体" w:hAnsi="宋体" w:eastAsia="宋体" w:cs="宋体"/>
        <w:spacing w:val="-49"/>
        <w:w w:val="100"/>
        <w:sz w:val="19"/>
        <w:szCs w:val="19"/>
        <w:lang w:val="zh-CN" w:eastAsia="zh-CN" w:bidi="zh-CN"/>
      </w:rPr>
    </w:lvl>
    <w:lvl w:ilvl="1" w:tentative="0">
      <w:start w:val="2"/>
      <w:numFmt w:val="decimal"/>
      <w:lvlText w:val="%2）"/>
      <w:lvlJc w:val="left"/>
      <w:pPr>
        <w:ind w:left="326" w:hanging="317"/>
      </w:pPr>
      <w:rPr>
        <w:rFonts w:hint="default" w:ascii="宋体" w:hAnsi="宋体" w:eastAsia="宋体" w:cs="宋体"/>
        <w:spacing w:val="-15"/>
        <w:w w:val="100"/>
        <w:sz w:val="19"/>
        <w:szCs w:val="19"/>
        <w:lang w:val="zh-CN" w:eastAsia="zh-CN" w:bidi="zh-CN"/>
      </w:rPr>
    </w:lvl>
    <w:lvl w:ilvl="2" w:tentative="0">
      <w:start w:val="0"/>
      <w:numFmt w:val="bullet"/>
      <w:lvlText w:val="•"/>
      <w:lvlJc w:val="left"/>
      <w:pPr>
        <w:ind w:left="1498" w:hanging="317"/>
      </w:pPr>
      <w:rPr>
        <w:rFonts w:hint="default"/>
        <w:lang w:val="zh-CN" w:eastAsia="zh-CN" w:bidi="zh-CN"/>
      </w:rPr>
    </w:lvl>
    <w:lvl w:ilvl="3" w:tentative="0">
      <w:start w:val="0"/>
      <w:numFmt w:val="bullet"/>
      <w:lvlText w:val="•"/>
      <w:lvlJc w:val="left"/>
      <w:pPr>
        <w:ind w:left="2677" w:hanging="317"/>
      </w:pPr>
      <w:rPr>
        <w:rFonts w:hint="default"/>
        <w:lang w:val="zh-CN" w:eastAsia="zh-CN" w:bidi="zh-CN"/>
      </w:rPr>
    </w:lvl>
    <w:lvl w:ilvl="4" w:tentative="0">
      <w:start w:val="0"/>
      <w:numFmt w:val="bullet"/>
      <w:lvlText w:val="•"/>
      <w:lvlJc w:val="left"/>
      <w:pPr>
        <w:ind w:left="3856" w:hanging="317"/>
      </w:pPr>
      <w:rPr>
        <w:rFonts w:hint="default"/>
        <w:lang w:val="zh-CN" w:eastAsia="zh-CN" w:bidi="zh-CN"/>
      </w:rPr>
    </w:lvl>
    <w:lvl w:ilvl="5" w:tentative="0">
      <w:start w:val="0"/>
      <w:numFmt w:val="bullet"/>
      <w:lvlText w:val="•"/>
      <w:lvlJc w:val="left"/>
      <w:pPr>
        <w:ind w:left="5035" w:hanging="317"/>
      </w:pPr>
      <w:rPr>
        <w:rFonts w:hint="default"/>
        <w:lang w:val="zh-CN" w:eastAsia="zh-CN" w:bidi="zh-CN"/>
      </w:rPr>
    </w:lvl>
    <w:lvl w:ilvl="6" w:tentative="0">
      <w:start w:val="0"/>
      <w:numFmt w:val="bullet"/>
      <w:lvlText w:val="•"/>
      <w:lvlJc w:val="left"/>
      <w:pPr>
        <w:ind w:left="6214" w:hanging="317"/>
      </w:pPr>
      <w:rPr>
        <w:rFonts w:hint="default"/>
        <w:lang w:val="zh-CN" w:eastAsia="zh-CN" w:bidi="zh-CN"/>
      </w:rPr>
    </w:lvl>
    <w:lvl w:ilvl="7" w:tentative="0">
      <w:start w:val="0"/>
      <w:numFmt w:val="bullet"/>
      <w:lvlText w:val="•"/>
      <w:lvlJc w:val="left"/>
      <w:pPr>
        <w:ind w:left="7393" w:hanging="317"/>
      </w:pPr>
      <w:rPr>
        <w:rFonts w:hint="default"/>
        <w:lang w:val="zh-CN" w:eastAsia="zh-CN" w:bidi="zh-CN"/>
      </w:rPr>
    </w:lvl>
    <w:lvl w:ilvl="8" w:tentative="0">
      <w:start w:val="0"/>
      <w:numFmt w:val="bullet"/>
      <w:lvlText w:val="•"/>
      <w:lvlJc w:val="left"/>
      <w:pPr>
        <w:ind w:left="8572" w:hanging="317"/>
      </w:pPr>
      <w:rPr>
        <w:rFonts w:hint="default"/>
        <w:lang w:val="zh-CN" w:eastAsia="zh-CN" w:bidi="zh-CN"/>
      </w:rPr>
    </w:lvl>
  </w:abstractNum>
  <w:abstractNum w:abstractNumId="46">
    <w:nsid w:val="F2A81E1A"/>
    <w:multiLevelType w:val="multilevel"/>
    <w:tmpl w:val="F2A81E1A"/>
    <w:lvl w:ilvl="0" w:tentative="0">
      <w:start w:val="1"/>
      <w:numFmt w:val="decimal"/>
      <w:lvlText w:val="%1."/>
      <w:lvlJc w:val="left"/>
      <w:pPr>
        <w:ind w:left="793" w:hanging="211"/>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1813" w:hanging="211"/>
      </w:pPr>
      <w:rPr>
        <w:rFonts w:hint="default"/>
        <w:lang w:val="zh-CN" w:eastAsia="zh-CN" w:bidi="zh-CN"/>
      </w:rPr>
    </w:lvl>
    <w:lvl w:ilvl="2" w:tentative="0">
      <w:start w:val="0"/>
      <w:numFmt w:val="bullet"/>
      <w:lvlText w:val="•"/>
      <w:lvlJc w:val="left"/>
      <w:pPr>
        <w:ind w:left="2826" w:hanging="211"/>
      </w:pPr>
      <w:rPr>
        <w:rFonts w:hint="default"/>
        <w:lang w:val="zh-CN" w:eastAsia="zh-CN" w:bidi="zh-CN"/>
      </w:rPr>
    </w:lvl>
    <w:lvl w:ilvl="3" w:tentative="0">
      <w:start w:val="0"/>
      <w:numFmt w:val="bullet"/>
      <w:lvlText w:val="•"/>
      <w:lvlJc w:val="left"/>
      <w:pPr>
        <w:ind w:left="3839" w:hanging="211"/>
      </w:pPr>
      <w:rPr>
        <w:rFonts w:hint="default"/>
        <w:lang w:val="zh-CN" w:eastAsia="zh-CN" w:bidi="zh-CN"/>
      </w:rPr>
    </w:lvl>
    <w:lvl w:ilvl="4" w:tentative="0">
      <w:start w:val="0"/>
      <w:numFmt w:val="bullet"/>
      <w:lvlText w:val="•"/>
      <w:lvlJc w:val="left"/>
      <w:pPr>
        <w:ind w:left="4852" w:hanging="211"/>
      </w:pPr>
      <w:rPr>
        <w:rFonts w:hint="default"/>
        <w:lang w:val="zh-CN" w:eastAsia="zh-CN" w:bidi="zh-CN"/>
      </w:rPr>
    </w:lvl>
    <w:lvl w:ilvl="5" w:tentative="0">
      <w:start w:val="0"/>
      <w:numFmt w:val="bullet"/>
      <w:lvlText w:val="•"/>
      <w:lvlJc w:val="left"/>
      <w:pPr>
        <w:ind w:left="5865" w:hanging="211"/>
      </w:pPr>
      <w:rPr>
        <w:rFonts w:hint="default"/>
        <w:lang w:val="zh-CN" w:eastAsia="zh-CN" w:bidi="zh-CN"/>
      </w:rPr>
    </w:lvl>
    <w:lvl w:ilvl="6" w:tentative="0">
      <w:start w:val="0"/>
      <w:numFmt w:val="bullet"/>
      <w:lvlText w:val="•"/>
      <w:lvlJc w:val="left"/>
      <w:pPr>
        <w:ind w:left="6878" w:hanging="211"/>
      </w:pPr>
      <w:rPr>
        <w:rFonts w:hint="default"/>
        <w:lang w:val="zh-CN" w:eastAsia="zh-CN" w:bidi="zh-CN"/>
      </w:rPr>
    </w:lvl>
    <w:lvl w:ilvl="7" w:tentative="0">
      <w:start w:val="0"/>
      <w:numFmt w:val="bullet"/>
      <w:lvlText w:val="•"/>
      <w:lvlJc w:val="left"/>
      <w:pPr>
        <w:ind w:left="7891" w:hanging="211"/>
      </w:pPr>
      <w:rPr>
        <w:rFonts w:hint="default"/>
        <w:lang w:val="zh-CN" w:eastAsia="zh-CN" w:bidi="zh-CN"/>
      </w:rPr>
    </w:lvl>
    <w:lvl w:ilvl="8" w:tentative="0">
      <w:start w:val="0"/>
      <w:numFmt w:val="bullet"/>
      <w:lvlText w:val="•"/>
      <w:lvlJc w:val="left"/>
      <w:pPr>
        <w:ind w:left="8904" w:hanging="211"/>
      </w:pPr>
      <w:rPr>
        <w:rFonts w:hint="default"/>
        <w:lang w:val="zh-CN" w:eastAsia="zh-CN" w:bidi="zh-CN"/>
      </w:rPr>
    </w:lvl>
  </w:abstractNum>
  <w:abstractNum w:abstractNumId="47">
    <w:nsid w:val="F3A33954"/>
    <w:multiLevelType w:val="multilevel"/>
    <w:tmpl w:val="F3A33954"/>
    <w:lvl w:ilvl="0" w:tentative="0">
      <w:start w:val="1"/>
      <w:numFmt w:val="decimal"/>
      <w:lvlText w:val="（%1）"/>
      <w:lvlJc w:val="left"/>
      <w:pPr>
        <w:ind w:left="1108" w:hanging="527"/>
      </w:pPr>
      <w:rPr>
        <w:rFonts w:hint="default"/>
        <w:sz w:val="19"/>
        <w:szCs w:val="19"/>
        <w:u w:val="single" w:color="000000"/>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48">
    <w:nsid w:val="F46CCC20"/>
    <w:multiLevelType w:val="multilevel"/>
    <w:tmpl w:val="F46CCC20"/>
    <w:lvl w:ilvl="0" w:tentative="0">
      <w:start w:val="1"/>
      <w:numFmt w:val="decimal"/>
      <w:lvlText w:val="（%1）"/>
      <w:lvlJc w:val="left"/>
      <w:pPr>
        <w:ind w:left="161" w:hanging="527"/>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49">
    <w:nsid w:val="F4A942FE"/>
    <w:multiLevelType w:val="multilevel"/>
    <w:tmpl w:val="F4A942FE"/>
    <w:lvl w:ilvl="0" w:tentative="0">
      <w:start w:val="10"/>
      <w:numFmt w:val="decimal"/>
      <w:lvlText w:val="%1"/>
      <w:lvlJc w:val="left"/>
      <w:pPr>
        <w:ind w:left="1212" w:hanging="466"/>
      </w:pPr>
      <w:rPr>
        <w:rFonts w:hint="default"/>
        <w:lang w:val="zh-CN" w:eastAsia="zh-CN" w:bidi="zh-CN"/>
      </w:rPr>
    </w:lvl>
    <w:lvl w:ilvl="1" w:tentative="0">
      <w:start w:val="7"/>
      <w:numFmt w:val="decimal"/>
      <w:lvlText w:val="%1.%2"/>
      <w:lvlJc w:val="left"/>
      <w:pPr>
        <w:ind w:left="1212" w:hanging="466"/>
      </w:pPr>
      <w:rPr>
        <w:rFonts w:hint="default" w:ascii="微软雅黑" w:hAnsi="微软雅黑" w:eastAsia="微软雅黑" w:cs="微软雅黑"/>
        <w:b/>
        <w:bCs/>
        <w:spacing w:val="0"/>
        <w:w w:val="81"/>
        <w:sz w:val="19"/>
        <w:szCs w:val="19"/>
        <w:lang w:val="zh-CN" w:eastAsia="zh-CN" w:bidi="zh-CN"/>
      </w:rPr>
    </w:lvl>
    <w:lvl w:ilvl="2" w:tentative="0">
      <w:start w:val="0"/>
      <w:numFmt w:val="bullet"/>
      <w:lvlText w:val="•"/>
      <w:lvlJc w:val="left"/>
      <w:pPr>
        <w:ind w:left="3162" w:hanging="466"/>
      </w:pPr>
      <w:rPr>
        <w:rFonts w:hint="default"/>
        <w:lang w:val="zh-CN" w:eastAsia="zh-CN" w:bidi="zh-CN"/>
      </w:rPr>
    </w:lvl>
    <w:lvl w:ilvl="3" w:tentative="0">
      <w:start w:val="0"/>
      <w:numFmt w:val="bullet"/>
      <w:lvlText w:val="•"/>
      <w:lvlJc w:val="left"/>
      <w:pPr>
        <w:ind w:left="4133" w:hanging="466"/>
      </w:pPr>
      <w:rPr>
        <w:rFonts w:hint="default"/>
        <w:lang w:val="zh-CN" w:eastAsia="zh-CN" w:bidi="zh-CN"/>
      </w:rPr>
    </w:lvl>
    <w:lvl w:ilvl="4" w:tentative="0">
      <w:start w:val="0"/>
      <w:numFmt w:val="bullet"/>
      <w:lvlText w:val="•"/>
      <w:lvlJc w:val="left"/>
      <w:pPr>
        <w:ind w:left="5104" w:hanging="466"/>
      </w:pPr>
      <w:rPr>
        <w:rFonts w:hint="default"/>
        <w:lang w:val="zh-CN" w:eastAsia="zh-CN" w:bidi="zh-CN"/>
      </w:rPr>
    </w:lvl>
    <w:lvl w:ilvl="5" w:tentative="0">
      <w:start w:val="0"/>
      <w:numFmt w:val="bullet"/>
      <w:lvlText w:val="•"/>
      <w:lvlJc w:val="left"/>
      <w:pPr>
        <w:ind w:left="6075" w:hanging="466"/>
      </w:pPr>
      <w:rPr>
        <w:rFonts w:hint="default"/>
        <w:lang w:val="zh-CN" w:eastAsia="zh-CN" w:bidi="zh-CN"/>
      </w:rPr>
    </w:lvl>
    <w:lvl w:ilvl="6" w:tentative="0">
      <w:start w:val="0"/>
      <w:numFmt w:val="bullet"/>
      <w:lvlText w:val="•"/>
      <w:lvlJc w:val="left"/>
      <w:pPr>
        <w:ind w:left="7046" w:hanging="466"/>
      </w:pPr>
      <w:rPr>
        <w:rFonts w:hint="default"/>
        <w:lang w:val="zh-CN" w:eastAsia="zh-CN" w:bidi="zh-CN"/>
      </w:rPr>
    </w:lvl>
    <w:lvl w:ilvl="7" w:tentative="0">
      <w:start w:val="0"/>
      <w:numFmt w:val="bullet"/>
      <w:lvlText w:val="•"/>
      <w:lvlJc w:val="left"/>
      <w:pPr>
        <w:ind w:left="8017" w:hanging="466"/>
      </w:pPr>
      <w:rPr>
        <w:rFonts w:hint="default"/>
        <w:lang w:val="zh-CN" w:eastAsia="zh-CN" w:bidi="zh-CN"/>
      </w:rPr>
    </w:lvl>
    <w:lvl w:ilvl="8" w:tentative="0">
      <w:start w:val="0"/>
      <w:numFmt w:val="bullet"/>
      <w:lvlText w:val="•"/>
      <w:lvlJc w:val="left"/>
      <w:pPr>
        <w:ind w:left="8988" w:hanging="466"/>
      </w:pPr>
      <w:rPr>
        <w:rFonts w:hint="default"/>
        <w:lang w:val="zh-CN" w:eastAsia="zh-CN" w:bidi="zh-CN"/>
      </w:rPr>
    </w:lvl>
  </w:abstractNum>
  <w:abstractNum w:abstractNumId="50">
    <w:nsid w:val="F585BF25"/>
    <w:multiLevelType w:val="multilevel"/>
    <w:tmpl w:val="F585BF25"/>
    <w:lvl w:ilvl="0" w:tentative="0">
      <w:start w:val="6"/>
      <w:numFmt w:val="decimal"/>
      <w:lvlText w:val="%1"/>
      <w:lvlJc w:val="left"/>
      <w:pPr>
        <w:ind w:left="942" w:hanging="360"/>
      </w:pPr>
      <w:rPr>
        <w:rFonts w:hint="default"/>
        <w:lang w:val="zh-CN" w:eastAsia="zh-CN" w:bidi="zh-CN"/>
      </w:rPr>
    </w:lvl>
    <w:lvl w:ilvl="1" w:tentative="0">
      <w:start w:val="3"/>
      <w:numFmt w:val="decimal"/>
      <w:lvlText w:val="%1.%2"/>
      <w:lvlJc w:val="left"/>
      <w:pPr>
        <w:ind w:left="942"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61"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160" w:hanging="526"/>
      </w:pPr>
      <w:rPr>
        <w:rFonts w:hint="default"/>
        <w:lang w:val="zh-CN" w:eastAsia="zh-CN" w:bidi="zh-CN"/>
      </w:rPr>
    </w:lvl>
    <w:lvl w:ilvl="4" w:tentative="0">
      <w:start w:val="0"/>
      <w:numFmt w:val="bullet"/>
      <w:lvlText w:val="•"/>
      <w:lvlJc w:val="left"/>
      <w:pPr>
        <w:ind w:left="427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490" w:hanging="526"/>
      </w:pPr>
      <w:rPr>
        <w:rFonts w:hint="default"/>
        <w:lang w:val="zh-CN" w:eastAsia="zh-CN" w:bidi="zh-CN"/>
      </w:rPr>
    </w:lvl>
    <w:lvl w:ilvl="7" w:tentative="0">
      <w:start w:val="0"/>
      <w:numFmt w:val="bullet"/>
      <w:lvlText w:val="•"/>
      <w:lvlJc w:val="left"/>
      <w:pPr>
        <w:ind w:left="7600" w:hanging="526"/>
      </w:pPr>
      <w:rPr>
        <w:rFonts w:hint="default"/>
        <w:lang w:val="zh-CN" w:eastAsia="zh-CN" w:bidi="zh-CN"/>
      </w:rPr>
    </w:lvl>
    <w:lvl w:ilvl="8" w:tentative="0">
      <w:start w:val="0"/>
      <w:numFmt w:val="bullet"/>
      <w:lvlText w:val="•"/>
      <w:lvlJc w:val="left"/>
      <w:pPr>
        <w:ind w:left="8710" w:hanging="526"/>
      </w:pPr>
      <w:rPr>
        <w:rFonts w:hint="default"/>
        <w:lang w:val="zh-CN" w:eastAsia="zh-CN" w:bidi="zh-CN"/>
      </w:rPr>
    </w:lvl>
  </w:abstractNum>
  <w:abstractNum w:abstractNumId="51">
    <w:nsid w:val="F9718D3C"/>
    <w:multiLevelType w:val="multilevel"/>
    <w:tmpl w:val="F9718D3C"/>
    <w:lvl w:ilvl="0" w:tentative="0">
      <w:start w:val="1"/>
      <w:numFmt w:val="decimal"/>
      <w:lvlText w:val="（%1）"/>
      <w:lvlJc w:val="left"/>
      <w:pPr>
        <w:ind w:left="1108" w:hanging="527"/>
      </w:pPr>
      <w:rPr>
        <w:rFonts w:hint="default" w:ascii="宋体" w:hAnsi="宋体" w:eastAsia="宋体" w:cs="宋体"/>
        <w:spacing w:val="-9"/>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52">
    <w:nsid w:val="0053208E"/>
    <w:multiLevelType w:val="multilevel"/>
    <w:tmpl w:val="0053208E"/>
    <w:lvl w:ilvl="0" w:tentative="0">
      <w:start w:val="1"/>
      <w:numFmt w:val="decimal"/>
      <w:lvlText w:val="%1."/>
      <w:lvlJc w:val="left"/>
      <w:pPr>
        <w:ind w:left="793" w:hanging="211"/>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813" w:hanging="211"/>
      </w:pPr>
      <w:rPr>
        <w:rFonts w:hint="default"/>
        <w:lang w:val="zh-CN" w:eastAsia="zh-CN" w:bidi="zh-CN"/>
      </w:rPr>
    </w:lvl>
    <w:lvl w:ilvl="2" w:tentative="0">
      <w:start w:val="0"/>
      <w:numFmt w:val="bullet"/>
      <w:lvlText w:val="•"/>
      <w:lvlJc w:val="left"/>
      <w:pPr>
        <w:ind w:left="2826" w:hanging="211"/>
      </w:pPr>
      <w:rPr>
        <w:rFonts w:hint="default"/>
        <w:lang w:val="zh-CN" w:eastAsia="zh-CN" w:bidi="zh-CN"/>
      </w:rPr>
    </w:lvl>
    <w:lvl w:ilvl="3" w:tentative="0">
      <w:start w:val="0"/>
      <w:numFmt w:val="bullet"/>
      <w:lvlText w:val="•"/>
      <w:lvlJc w:val="left"/>
      <w:pPr>
        <w:ind w:left="3839" w:hanging="211"/>
      </w:pPr>
      <w:rPr>
        <w:rFonts w:hint="default"/>
        <w:lang w:val="zh-CN" w:eastAsia="zh-CN" w:bidi="zh-CN"/>
      </w:rPr>
    </w:lvl>
    <w:lvl w:ilvl="4" w:tentative="0">
      <w:start w:val="0"/>
      <w:numFmt w:val="bullet"/>
      <w:lvlText w:val="•"/>
      <w:lvlJc w:val="left"/>
      <w:pPr>
        <w:ind w:left="4852" w:hanging="211"/>
      </w:pPr>
      <w:rPr>
        <w:rFonts w:hint="default"/>
        <w:lang w:val="zh-CN" w:eastAsia="zh-CN" w:bidi="zh-CN"/>
      </w:rPr>
    </w:lvl>
    <w:lvl w:ilvl="5" w:tentative="0">
      <w:start w:val="0"/>
      <w:numFmt w:val="bullet"/>
      <w:lvlText w:val="•"/>
      <w:lvlJc w:val="left"/>
      <w:pPr>
        <w:ind w:left="5865" w:hanging="211"/>
      </w:pPr>
      <w:rPr>
        <w:rFonts w:hint="default"/>
        <w:lang w:val="zh-CN" w:eastAsia="zh-CN" w:bidi="zh-CN"/>
      </w:rPr>
    </w:lvl>
    <w:lvl w:ilvl="6" w:tentative="0">
      <w:start w:val="0"/>
      <w:numFmt w:val="bullet"/>
      <w:lvlText w:val="•"/>
      <w:lvlJc w:val="left"/>
      <w:pPr>
        <w:ind w:left="6878" w:hanging="211"/>
      </w:pPr>
      <w:rPr>
        <w:rFonts w:hint="default"/>
        <w:lang w:val="zh-CN" w:eastAsia="zh-CN" w:bidi="zh-CN"/>
      </w:rPr>
    </w:lvl>
    <w:lvl w:ilvl="7" w:tentative="0">
      <w:start w:val="0"/>
      <w:numFmt w:val="bullet"/>
      <w:lvlText w:val="•"/>
      <w:lvlJc w:val="left"/>
      <w:pPr>
        <w:ind w:left="7891" w:hanging="211"/>
      </w:pPr>
      <w:rPr>
        <w:rFonts w:hint="default"/>
        <w:lang w:val="zh-CN" w:eastAsia="zh-CN" w:bidi="zh-CN"/>
      </w:rPr>
    </w:lvl>
    <w:lvl w:ilvl="8" w:tentative="0">
      <w:start w:val="0"/>
      <w:numFmt w:val="bullet"/>
      <w:lvlText w:val="•"/>
      <w:lvlJc w:val="left"/>
      <w:pPr>
        <w:ind w:left="8904" w:hanging="211"/>
      </w:pPr>
      <w:rPr>
        <w:rFonts w:hint="default"/>
        <w:lang w:val="zh-CN" w:eastAsia="zh-CN" w:bidi="zh-CN"/>
      </w:rPr>
    </w:lvl>
  </w:abstractNum>
  <w:abstractNum w:abstractNumId="53">
    <w:nsid w:val="01836A6D"/>
    <w:multiLevelType w:val="multilevel"/>
    <w:tmpl w:val="01836A6D"/>
    <w:lvl w:ilvl="0" w:tentative="0">
      <w:start w:val="1"/>
      <w:numFmt w:val="decimal"/>
      <w:lvlText w:val="（%1）"/>
      <w:lvlJc w:val="left"/>
      <w:pPr>
        <w:ind w:left="1273" w:hanging="527"/>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54">
    <w:nsid w:val="01D7E1C7"/>
    <w:multiLevelType w:val="multilevel"/>
    <w:tmpl w:val="01D7E1C7"/>
    <w:lvl w:ilvl="0" w:tentative="0">
      <w:start w:val="1"/>
      <w:numFmt w:val="decimal"/>
      <w:lvlText w:val="（%1）"/>
      <w:lvlJc w:val="left"/>
      <w:pPr>
        <w:ind w:left="161" w:hanging="527"/>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55">
    <w:nsid w:val="03C240C0"/>
    <w:multiLevelType w:val="multilevel"/>
    <w:tmpl w:val="03C240C0"/>
    <w:lvl w:ilvl="0" w:tentative="0">
      <w:start w:val="1"/>
      <w:numFmt w:val="decimal"/>
      <w:lvlText w:val="（%1）"/>
      <w:lvlJc w:val="left"/>
      <w:pPr>
        <w:ind w:left="1108" w:hanging="527"/>
      </w:pPr>
      <w:rPr>
        <w:rFonts w:hint="default"/>
        <w:spacing w:val="-31"/>
        <w:sz w:val="19"/>
        <w:szCs w:val="19"/>
        <w:u w:val="single" w:color="000000"/>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56">
    <w:nsid w:val="07F5BCC3"/>
    <w:multiLevelType w:val="multilevel"/>
    <w:tmpl w:val="07F5BCC3"/>
    <w:lvl w:ilvl="0" w:tentative="0">
      <w:start w:val="2"/>
      <w:numFmt w:val="decimal"/>
      <w:lvlText w:val="%1."/>
      <w:lvlJc w:val="left"/>
      <w:pPr>
        <w:ind w:left="793" w:hanging="211"/>
      </w:pPr>
      <w:rPr>
        <w:rFonts w:hint="default" w:ascii="宋体" w:hAnsi="宋体" w:eastAsia="宋体" w:cs="宋体"/>
        <w:spacing w:val="-31"/>
        <w:w w:val="100"/>
        <w:sz w:val="19"/>
        <w:szCs w:val="19"/>
        <w:lang w:val="zh-CN" w:eastAsia="zh-CN" w:bidi="zh-CN"/>
      </w:rPr>
    </w:lvl>
    <w:lvl w:ilvl="1" w:tentative="0">
      <w:start w:val="2"/>
      <w:numFmt w:val="decimal"/>
      <w:lvlText w:val="%2."/>
      <w:lvlJc w:val="left"/>
      <w:pPr>
        <w:ind w:left="958" w:hanging="211"/>
      </w:pPr>
      <w:rPr>
        <w:rFonts w:hint="default" w:ascii="宋体" w:hAnsi="宋体" w:eastAsia="宋体" w:cs="宋体"/>
        <w:spacing w:val="-9"/>
        <w:w w:val="100"/>
        <w:sz w:val="19"/>
        <w:szCs w:val="19"/>
        <w:lang w:val="zh-CN" w:eastAsia="zh-CN" w:bidi="zh-CN"/>
      </w:rPr>
    </w:lvl>
    <w:lvl w:ilvl="2" w:tentative="0">
      <w:start w:val="0"/>
      <w:numFmt w:val="bullet"/>
      <w:lvlText w:val="•"/>
      <w:lvlJc w:val="left"/>
      <w:pPr>
        <w:ind w:left="2067" w:hanging="211"/>
      </w:pPr>
      <w:rPr>
        <w:rFonts w:hint="default"/>
        <w:lang w:val="zh-CN" w:eastAsia="zh-CN" w:bidi="zh-CN"/>
      </w:rPr>
    </w:lvl>
    <w:lvl w:ilvl="3" w:tentative="0">
      <w:start w:val="0"/>
      <w:numFmt w:val="bullet"/>
      <w:lvlText w:val="•"/>
      <w:lvlJc w:val="left"/>
      <w:pPr>
        <w:ind w:left="3175" w:hanging="211"/>
      </w:pPr>
      <w:rPr>
        <w:rFonts w:hint="default"/>
        <w:lang w:val="zh-CN" w:eastAsia="zh-CN" w:bidi="zh-CN"/>
      </w:rPr>
    </w:lvl>
    <w:lvl w:ilvl="4" w:tentative="0">
      <w:start w:val="0"/>
      <w:numFmt w:val="bullet"/>
      <w:lvlText w:val="•"/>
      <w:lvlJc w:val="left"/>
      <w:pPr>
        <w:ind w:left="4283" w:hanging="211"/>
      </w:pPr>
      <w:rPr>
        <w:rFonts w:hint="default"/>
        <w:lang w:val="zh-CN" w:eastAsia="zh-CN" w:bidi="zh-CN"/>
      </w:rPr>
    </w:lvl>
    <w:lvl w:ilvl="5" w:tentative="0">
      <w:start w:val="0"/>
      <w:numFmt w:val="bullet"/>
      <w:lvlText w:val="•"/>
      <w:lvlJc w:val="left"/>
      <w:pPr>
        <w:ind w:left="5391" w:hanging="211"/>
      </w:pPr>
      <w:rPr>
        <w:rFonts w:hint="default"/>
        <w:lang w:val="zh-CN" w:eastAsia="zh-CN" w:bidi="zh-CN"/>
      </w:rPr>
    </w:lvl>
    <w:lvl w:ilvl="6" w:tentative="0">
      <w:start w:val="0"/>
      <w:numFmt w:val="bullet"/>
      <w:lvlText w:val="•"/>
      <w:lvlJc w:val="left"/>
      <w:pPr>
        <w:ind w:left="6498" w:hanging="211"/>
      </w:pPr>
      <w:rPr>
        <w:rFonts w:hint="default"/>
        <w:lang w:val="zh-CN" w:eastAsia="zh-CN" w:bidi="zh-CN"/>
      </w:rPr>
    </w:lvl>
    <w:lvl w:ilvl="7" w:tentative="0">
      <w:start w:val="0"/>
      <w:numFmt w:val="bullet"/>
      <w:lvlText w:val="•"/>
      <w:lvlJc w:val="left"/>
      <w:pPr>
        <w:ind w:left="7606" w:hanging="211"/>
      </w:pPr>
      <w:rPr>
        <w:rFonts w:hint="default"/>
        <w:lang w:val="zh-CN" w:eastAsia="zh-CN" w:bidi="zh-CN"/>
      </w:rPr>
    </w:lvl>
    <w:lvl w:ilvl="8" w:tentative="0">
      <w:start w:val="0"/>
      <w:numFmt w:val="bullet"/>
      <w:lvlText w:val="•"/>
      <w:lvlJc w:val="left"/>
      <w:pPr>
        <w:ind w:left="8714" w:hanging="211"/>
      </w:pPr>
      <w:rPr>
        <w:rFonts w:hint="default"/>
        <w:lang w:val="zh-CN" w:eastAsia="zh-CN" w:bidi="zh-CN"/>
      </w:rPr>
    </w:lvl>
  </w:abstractNum>
  <w:abstractNum w:abstractNumId="57">
    <w:nsid w:val="0C0E1E13"/>
    <w:multiLevelType w:val="multilevel"/>
    <w:tmpl w:val="0C0E1E13"/>
    <w:lvl w:ilvl="0" w:tentative="0">
      <w:start w:val="2"/>
      <w:numFmt w:val="decimal"/>
      <w:lvlText w:val="%1）"/>
      <w:lvlJc w:val="left"/>
      <w:pPr>
        <w:ind w:left="1063" w:hanging="317"/>
      </w:pPr>
      <w:rPr>
        <w:rFonts w:hint="default" w:ascii="宋体" w:hAnsi="宋体" w:eastAsia="宋体" w:cs="宋体"/>
        <w:spacing w:val="-6"/>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58">
    <w:nsid w:val="0DC629B0"/>
    <w:multiLevelType w:val="multilevel"/>
    <w:tmpl w:val="0DC629B0"/>
    <w:lvl w:ilvl="0" w:tentative="0">
      <w:start w:val="1"/>
      <w:numFmt w:val="decimal"/>
      <w:lvlText w:val="（%1）"/>
      <w:lvlJc w:val="left"/>
      <w:pPr>
        <w:ind w:left="1273" w:hanging="527"/>
        <w:jc w:val="right"/>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59">
    <w:nsid w:val="10D591E5"/>
    <w:multiLevelType w:val="multilevel"/>
    <w:tmpl w:val="10D591E5"/>
    <w:lvl w:ilvl="0" w:tentative="0">
      <w:start w:val="7"/>
      <w:numFmt w:val="decimal"/>
      <w:lvlText w:val="%1"/>
      <w:lvlJc w:val="left"/>
      <w:pPr>
        <w:ind w:left="942" w:hanging="360"/>
      </w:pPr>
      <w:rPr>
        <w:rFonts w:hint="default"/>
        <w:lang w:val="zh-CN" w:eastAsia="zh-CN" w:bidi="zh-CN"/>
      </w:rPr>
    </w:lvl>
    <w:lvl w:ilvl="1" w:tentative="0">
      <w:start w:val="9"/>
      <w:numFmt w:val="decimal"/>
      <w:lvlText w:val="%1.%2"/>
      <w:lvlJc w:val="left"/>
      <w:pPr>
        <w:ind w:left="942"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167" w:hanging="586"/>
        <w:jc w:val="right"/>
      </w:pPr>
      <w:rPr>
        <w:rFonts w:hint="default" w:ascii="宋体" w:hAnsi="宋体" w:eastAsia="宋体" w:cs="宋体"/>
        <w:w w:val="100"/>
        <w:sz w:val="21"/>
        <w:szCs w:val="21"/>
        <w:lang w:val="zh-CN" w:eastAsia="zh-CN" w:bidi="zh-CN"/>
      </w:rPr>
    </w:lvl>
    <w:lvl w:ilvl="3" w:tentative="0">
      <w:start w:val="0"/>
      <w:numFmt w:val="bullet"/>
      <w:lvlText w:val="•"/>
      <w:lvlJc w:val="left"/>
      <w:pPr>
        <w:ind w:left="3331" w:hanging="586"/>
      </w:pPr>
      <w:rPr>
        <w:rFonts w:hint="default"/>
        <w:lang w:val="zh-CN" w:eastAsia="zh-CN" w:bidi="zh-CN"/>
      </w:rPr>
    </w:lvl>
    <w:lvl w:ilvl="4" w:tentative="0">
      <w:start w:val="0"/>
      <w:numFmt w:val="bullet"/>
      <w:lvlText w:val="•"/>
      <w:lvlJc w:val="left"/>
      <w:pPr>
        <w:ind w:left="4416" w:hanging="586"/>
      </w:pPr>
      <w:rPr>
        <w:rFonts w:hint="default"/>
        <w:lang w:val="zh-CN" w:eastAsia="zh-CN" w:bidi="zh-CN"/>
      </w:rPr>
    </w:lvl>
    <w:lvl w:ilvl="5" w:tentative="0">
      <w:start w:val="0"/>
      <w:numFmt w:val="bullet"/>
      <w:lvlText w:val="•"/>
      <w:lvlJc w:val="left"/>
      <w:pPr>
        <w:ind w:left="5502" w:hanging="586"/>
      </w:pPr>
      <w:rPr>
        <w:rFonts w:hint="default"/>
        <w:lang w:val="zh-CN" w:eastAsia="zh-CN" w:bidi="zh-CN"/>
      </w:rPr>
    </w:lvl>
    <w:lvl w:ilvl="6" w:tentative="0">
      <w:start w:val="0"/>
      <w:numFmt w:val="bullet"/>
      <w:lvlText w:val="•"/>
      <w:lvlJc w:val="left"/>
      <w:pPr>
        <w:ind w:left="6587" w:hanging="586"/>
      </w:pPr>
      <w:rPr>
        <w:rFonts w:hint="default"/>
        <w:lang w:val="zh-CN" w:eastAsia="zh-CN" w:bidi="zh-CN"/>
      </w:rPr>
    </w:lvl>
    <w:lvl w:ilvl="7" w:tentative="0">
      <w:start w:val="0"/>
      <w:numFmt w:val="bullet"/>
      <w:lvlText w:val="•"/>
      <w:lvlJc w:val="left"/>
      <w:pPr>
        <w:ind w:left="7673" w:hanging="586"/>
      </w:pPr>
      <w:rPr>
        <w:rFonts w:hint="default"/>
        <w:lang w:val="zh-CN" w:eastAsia="zh-CN" w:bidi="zh-CN"/>
      </w:rPr>
    </w:lvl>
    <w:lvl w:ilvl="8" w:tentative="0">
      <w:start w:val="0"/>
      <w:numFmt w:val="bullet"/>
      <w:lvlText w:val="•"/>
      <w:lvlJc w:val="left"/>
      <w:pPr>
        <w:ind w:left="8758" w:hanging="586"/>
      </w:pPr>
      <w:rPr>
        <w:rFonts w:hint="default"/>
        <w:lang w:val="zh-CN" w:eastAsia="zh-CN" w:bidi="zh-CN"/>
      </w:rPr>
    </w:lvl>
  </w:abstractNum>
  <w:abstractNum w:abstractNumId="60">
    <w:nsid w:val="10F0DB0B"/>
    <w:multiLevelType w:val="multilevel"/>
    <w:tmpl w:val="10F0DB0B"/>
    <w:lvl w:ilvl="0" w:tentative="0">
      <w:start w:val="1"/>
      <w:numFmt w:val="decimal"/>
      <w:lvlText w:val="（%1）"/>
      <w:lvlJc w:val="left"/>
      <w:pPr>
        <w:ind w:left="1273" w:hanging="527"/>
      </w:pPr>
      <w:rPr>
        <w:rFonts w:hint="default" w:ascii="宋体" w:hAnsi="宋体" w:eastAsia="宋体" w:cs="宋体"/>
        <w:spacing w:val="-47"/>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61">
    <w:nsid w:val="1450273B"/>
    <w:multiLevelType w:val="multilevel"/>
    <w:tmpl w:val="1450273B"/>
    <w:lvl w:ilvl="0" w:tentative="0">
      <w:start w:val="1"/>
      <w:numFmt w:val="decimal"/>
      <w:lvlText w:val="（%1）"/>
      <w:lvlJc w:val="left"/>
      <w:pPr>
        <w:ind w:left="161" w:hanging="527"/>
        <w:jc w:val="righ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62">
    <w:nsid w:val="1483906D"/>
    <w:multiLevelType w:val="multilevel"/>
    <w:tmpl w:val="1483906D"/>
    <w:lvl w:ilvl="0" w:tentative="0">
      <w:start w:val="1"/>
      <w:numFmt w:val="decimal"/>
      <w:lvlText w:val="（%1）"/>
      <w:lvlJc w:val="left"/>
      <w:pPr>
        <w:ind w:left="326" w:hanging="527"/>
        <w:jc w:val="right"/>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381" w:hanging="527"/>
      </w:pPr>
      <w:rPr>
        <w:rFonts w:hint="default"/>
        <w:lang w:val="zh-CN" w:eastAsia="zh-CN" w:bidi="zh-CN"/>
      </w:rPr>
    </w:lvl>
    <w:lvl w:ilvl="2" w:tentative="0">
      <w:start w:val="0"/>
      <w:numFmt w:val="bullet"/>
      <w:lvlText w:val="•"/>
      <w:lvlJc w:val="left"/>
      <w:pPr>
        <w:ind w:left="2442" w:hanging="527"/>
      </w:pPr>
      <w:rPr>
        <w:rFonts w:hint="default"/>
        <w:lang w:val="zh-CN" w:eastAsia="zh-CN" w:bidi="zh-CN"/>
      </w:rPr>
    </w:lvl>
    <w:lvl w:ilvl="3" w:tentative="0">
      <w:start w:val="0"/>
      <w:numFmt w:val="bullet"/>
      <w:lvlText w:val="•"/>
      <w:lvlJc w:val="left"/>
      <w:pPr>
        <w:ind w:left="3503" w:hanging="527"/>
      </w:pPr>
      <w:rPr>
        <w:rFonts w:hint="default"/>
        <w:lang w:val="zh-CN" w:eastAsia="zh-CN" w:bidi="zh-CN"/>
      </w:rPr>
    </w:lvl>
    <w:lvl w:ilvl="4" w:tentative="0">
      <w:start w:val="0"/>
      <w:numFmt w:val="bullet"/>
      <w:lvlText w:val="•"/>
      <w:lvlJc w:val="left"/>
      <w:pPr>
        <w:ind w:left="4564" w:hanging="527"/>
      </w:pPr>
      <w:rPr>
        <w:rFonts w:hint="default"/>
        <w:lang w:val="zh-CN" w:eastAsia="zh-CN" w:bidi="zh-CN"/>
      </w:rPr>
    </w:lvl>
    <w:lvl w:ilvl="5" w:tentative="0">
      <w:start w:val="0"/>
      <w:numFmt w:val="bullet"/>
      <w:lvlText w:val="•"/>
      <w:lvlJc w:val="left"/>
      <w:pPr>
        <w:ind w:left="5625" w:hanging="527"/>
      </w:pPr>
      <w:rPr>
        <w:rFonts w:hint="default"/>
        <w:lang w:val="zh-CN" w:eastAsia="zh-CN" w:bidi="zh-CN"/>
      </w:rPr>
    </w:lvl>
    <w:lvl w:ilvl="6" w:tentative="0">
      <w:start w:val="0"/>
      <w:numFmt w:val="bullet"/>
      <w:lvlText w:val="•"/>
      <w:lvlJc w:val="left"/>
      <w:pPr>
        <w:ind w:left="6686" w:hanging="527"/>
      </w:pPr>
      <w:rPr>
        <w:rFonts w:hint="default"/>
        <w:lang w:val="zh-CN" w:eastAsia="zh-CN" w:bidi="zh-CN"/>
      </w:rPr>
    </w:lvl>
    <w:lvl w:ilvl="7" w:tentative="0">
      <w:start w:val="0"/>
      <w:numFmt w:val="bullet"/>
      <w:lvlText w:val="•"/>
      <w:lvlJc w:val="left"/>
      <w:pPr>
        <w:ind w:left="7747" w:hanging="527"/>
      </w:pPr>
      <w:rPr>
        <w:rFonts w:hint="default"/>
        <w:lang w:val="zh-CN" w:eastAsia="zh-CN" w:bidi="zh-CN"/>
      </w:rPr>
    </w:lvl>
    <w:lvl w:ilvl="8" w:tentative="0">
      <w:start w:val="0"/>
      <w:numFmt w:val="bullet"/>
      <w:lvlText w:val="•"/>
      <w:lvlJc w:val="left"/>
      <w:pPr>
        <w:ind w:left="8808" w:hanging="527"/>
      </w:pPr>
      <w:rPr>
        <w:rFonts w:hint="default"/>
        <w:lang w:val="zh-CN" w:eastAsia="zh-CN" w:bidi="zh-CN"/>
      </w:rPr>
    </w:lvl>
  </w:abstractNum>
  <w:abstractNum w:abstractNumId="63">
    <w:nsid w:val="1AD50295"/>
    <w:multiLevelType w:val="multilevel"/>
    <w:tmpl w:val="1AD50295"/>
    <w:lvl w:ilvl="0" w:tentative="0">
      <w:start w:val="8"/>
      <w:numFmt w:val="decimal"/>
      <w:lvlText w:val="%1"/>
      <w:lvlJc w:val="left"/>
      <w:pPr>
        <w:ind w:left="1107" w:hanging="360"/>
      </w:pPr>
      <w:rPr>
        <w:rFonts w:hint="default"/>
        <w:lang w:val="zh-CN" w:eastAsia="zh-CN" w:bidi="zh-CN"/>
      </w:rPr>
    </w:lvl>
    <w:lvl w:ilvl="1" w:tentative="0">
      <w:start w:val="4"/>
      <w:numFmt w:val="decimal"/>
      <w:lvlText w:val="%1.%2"/>
      <w:lvlJc w:val="left"/>
      <w:pPr>
        <w:ind w:left="1107"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424" w:hanging="526"/>
      </w:pPr>
      <w:rPr>
        <w:rFonts w:hint="default"/>
        <w:lang w:val="zh-CN" w:eastAsia="zh-CN" w:bidi="zh-CN"/>
      </w:rPr>
    </w:lvl>
    <w:lvl w:ilvl="4" w:tentative="0">
      <w:start w:val="0"/>
      <w:numFmt w:val="bullet"/>
      <w:lvlText w:val="•"/>
      <w:lvlJc w:val="left"/>
      <w:pPr>
        <w:ind w:left="4496" w:hanging="526"/>
      </w:pPr>
      <w:rPr>
        <w:rFonts w:hint="default"/>
        <w:lang w:val="zh-CN" w:eastAsia="zh-CN" w:bidi="zh-CN"/>
      </w:rPr>
    </w:lvl>
    <w:lvl w:ilvl="5" w:tentative="0">
      <w:start w:val="0"/>
      <w:numFmt w:val="bullet"/>
      <w:lvlText w:val="•"/>
      <w:lvlJc w:val="left"/>
      <w:pPr>
        <w:ind w:left="5568" w:hanging="526"/>
      </w:pPr>
      <w:rPr>
        <w:rFonts w:hint="default"/>
        <w:lang w:val="zh-CN" w:eastAsia="zh-CN" w:bidi="zh-CN"/>
      </w:rPr>
    </w:lvl>
    <w:lvl w:ilvl="6" w:tentative="0">
      <w:start w:val="0"/>
      <w:numFmt w:val="bullet"/>
      <w:lvlText w:val="•"/>
      <w:lvlJc w:val="left"/>
      <w:pPr>
        <w:ind w:left="6641" w:hanging="526"/>
      </w:pPr>
      <w:rPr>
        <w:rFonts w:hint="default"/>
        <w:lang w:val="zh-CN" w:eastAsia="zh-CN" w:bidi="zh-CN"/>
      </w:rPr>
    </w:lvl>
    <w:lvl w:ilvl="7" w:tentative="0">
      <w:start w:val="0"/>
      <w:numFmt w:val="bullet"/>
      <w:lvlText w:val="•"/>
      <w:lvlJc w:val="left"/>
      <w:pPr>
        <w:ind w:left="7713" w:hanging="526"/>
      </w:pPr>
      <w:rPr>
        <w:rFonts w:hint="default"/>
        <w:lang w:val="zh-CN" w:eastAsia="zh-CN" w:bidi="zh-CN"/>
      </w:rPr>
    </w:lvl>
    <w:lvl w:ilvl="8" w:tentative="0">
      <w:start w:val="0"/>
      <w:numFmt w:val="bullet"/>
      <w:lvlText w:val="•"/>
      <w:lvlJc w:val="left"/>
      <w:pPr>
        <w:ind w:left="8785" w:hanging="526"/>
      </w:pPr>
      <w:rPr>
        <w:rFonts w:hint="default"/>
        <w:lang w:val="zh-CN" w:eastAsia="zh-CN" w:bidi="zh-CN"/>
      </w:rPr>
    </w:lvl>
  </w:abstractNum>
  <w:abstractNum w:abstractNumId="64">
    <w:nsid w:val="1B3FCE26"/>
    <w:multiLevelType w:val="multilevel"/>
    <w:tmpl w:val="1B3FCE26"/>
    <w:lvl w:ilvl="0" w:tentative="0">
      <w:start w:val="2"/>
      <w:numFmt w:val="decimal"/>
      <w:lvlText w:val="%1."/>
      <w:lvlJc w:val="left"/>
      <w:pPr>
        <w:ind w:left="958" w:hanging="211"/>
        <w:jc w:val="righ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957" w:hanging="211"/>
      </w:pPr>
      <w:rPr>
        <w:rFonts w:hint="default"/>
        <w:lang w:val="zh-CN" w:eastAsia="zh-CN" w:bidi="zh-CN"/>
      </w:rPr>
    </w:lvl>
    <w:lvl w:ilvl="2" w:tentative="0">
      <w:start w:val="0"/>
      <w:numFmt w:val="bullet"/>
      <w:lvlText w:val="•"/>
      <w:lvlJc w:val="left"/>
      <w:pPr>
        <w:ind w:left="2954" w:hanging="211"/>
      </w:pPr>
      <w:rPr>
        <w:rFonts w:hint="default"/>
        <w:lang w:val="zh-CN" w:eastAsia="zh-CN" w:bidi="zh-CN"/>
      </w:rPr>
    </w:lvl>
    <w:lvl w:ilvl="3" w:tentative="0">
      <w:start w:val="0"/>
      <w:numFmt w:val="bullet"/>
      <w:lvlText w:val="•"/>
      <w:lvlJc w:val="left"/>
      <w:pPr>
        <w:ind w:left="3951" w:hanging="211"/>
      </w:pPr>
      <w:rPr>
        <w:rFonts w:hint="default"/>
        <w:lang w:val="zh-CN" w:eastAsia="zh-CN" w:bidi="zh-CN"/>
      </w:rPr>
    </w:lvl>
    <w:lvl w:ilvl="4" w:tentative="0">
      <w:start w:val="0"/>
      <w:numFmt w:val="bullet"/>
      <w:lvlText w:val="•"/>
      <w:lvlJc w:val="left"/>
      <w:pPr>
        <w:ind w:left="4948" w:hanging="211"/>
      </w:pPr>
      <w:rPr>
        <w:rFonts w:hint="default"/>
        <w:lang w:val="zh-CN" w:eastAsia="zh-CN" w:bidi="zh-CN"/>
      </w:rPr>
    </w:lvl>
    <w:lvl w:ilvl="5" w:tentative="0">
      <w:start w:val="0"/>
      <w:numFmt w:val="bullet"/>
      <w:lvlText w:val="•"/>
      <w:lvlJc w:val="left"/>
      <w:pPr>
        <w:ind w:left="5945" w:hanging="211"/>
      </w:pPr>
      <w:rPr>
        <w:rFonts w:hint="default"/>
        <w:lang w:val="zh-CN" w:eastAsia="zh-CN" w:bidi="zh-CN"/>
      </w:rPr>
    </w:lvl>
    <w:lvl w:ilvl="6" w:tentative="0">
      <w:start w:val="0"/>
      <w:numFmt w:val="bullet"/>
      <w:lvlText w:val="•"/>
      <w:lvlJc w:val="left"/>
      <w:pPr>
        <w:ind w:left="6942" w:hanging="211"/>
      </w:pPr>
      <w:rPr>
        <w:rFonts w:hint="default"/>
        <w:lang w:val="zh-CN" w:eastAsia="zh-CN" w:bidi="zh-CN"/>
      </w:rPr>
    </w:lvl>
    <w:lvl w:ilvl="7" w:tentative="0">
      <w:start w:val="0"/>
      <w:numFmt w:val="bullet"/>
      <w:lvlText w:val="•"/>
      <w:lvlJc w:val="left"/>
      <w:pPr>
        <w:ind w:left="7939" w:hanging="211"/>
      </w:pPr>
      <w:rPr>
        <w:rFonts w:hint="default"/>
        <w:lang w:val="zh-CN" w:eastAsia="zh-CN" w:bidi="zh-CN"/>
      </w:rPr>
    </w:lvl>
    <w:lvl w:ilvl="8" w:tentative="0">
      <w:start w:val="0"/>
      <w:numFmt w:val="bullet"/>
      <w:lvlText w:val="•"/>
      <w:lvlJc w:val="left"/>
      <w:pPr>
        <w:ind w:left="8936" w:hanging="211"/>
      </w:pPr>
      <w:rPr>
        <w:rFonts w:hint="default"/>
        <w:lang w:val="zh-CN" w:eastAsia="zh-CN" w:bidi="zh-CN"/>
      </w:rPr>
    </w:lvl>
  </w:abstractNum>
  <w:abstractNum w:abstractNumId="65">
    <w:nsid w:val="1BCBBCF0"/>
    <w:multiLevelType w:val="multilevel"/>
    <w:tmpl w:val="1BCBBCF0"/>
    <w:lvl w:ilvl="0" w:tentative="0">
      <w:start w:val="3"/>
      <w:numFmt w:val="decimal"/>
      <w:lvlText w:val="%1"/>
      <w:lvlJc w:val="left"/>
      <w:pPr>
        <w:ind w:left="1167" w:hanging="586"/>
      </w:pPr>
      <w:rPr>
        <w:rFonts w:hint="default"/>
        <w:lang w:val="zh-CN" w:eastAsia="zh-CN" w:bidi="zh-CN"/>
      </w:rPr>
    </w:lvl>
    <w:lvl w:ilvl="1" w:tentative="0">
      <w:start w:val="7"/>
      <w:numFmt w:val="decimal"/>
      <w:lvlText w:val="%1.%2"/>
      <w:lvlJc w:val="left"/>
      <w:pPr>
        <w:ind w:left="1167" w:hanging="586"/>
      </w:pPr>
      <w:rPr>
        <w:rFonts w:hint="default"/>
        <w:lang w:val="zh-CN" w:eastAsia="zh-CN" w:bidi="zh-CN"/>
      </w:rPr>
    </w:lvl>
    <w:lvl w:ilvl="2" w:tentative="0">
      <w:start w:val="1"/>
      <w:numFmt w:val="decimal"/>
      <w:lvlText w:val="%1.%2.%3"/>
      <w:lvlJc w:val="left"/>
      <w:pPr>
        <w:ind w:left="1167" w:hanging="586"/>
      </w:pPr>
      <w:rPr>
        <w:rFonts w:hint="default" w:ascii="宋体" w:hAnsi="宋体" w:eastAsia="宋体" w:cs="宋体"/>
        <w:w w:val="100"/>
        <w:sz w:val="21"/>
        <w:szCs w:val="21"/>
        <w:lang w:val="zh-CN" w:eastAsia="zh-CN" w:bidi="zh-CN"/>
      </w:rPr>
    </w:lvl>
    <w:lvl w:ilvl="3" w:tentative="0">
      <w:start w:val="0"/>
      <w:numFmt w:val="bullet"/>
      <w:lvlText w:val="•"/>
      <w:lvlJc w:val="left"/>
      <w:pPr>
        <w:ind w:left="4091" w:hanging="586"/>
      </w:pPr>
      <w:rPr>
        <w:rFonts w:hint="default"/>
        <w:lang w:val="zh-CN" w:eastAsia="zh-CN" w:bidi="zh-CN"/>
      </w:rPr>
    </w:lvl>
    <w:lvl w:ilvl="4" w:tentative="0">
      <w:start w:val="0"/>
      <w:numFmt w:val="bullet"/>
      <w:lvlText w:val="•"/>
      <w:lvlJc w:val="left"/>
      <w:pPr>
        <w:ind w:left="5068" w:hanging="586"/>
      </w:pPr>
      <w:rPr>
        <w:rFonts w:hint="default"/>
        <w:lang w:val="zh-CN" w:eastAsia="zh-CN" w:bidi="zh-CN"/>
      </w:rPr>
    </w:lvl>
    <w:lvl w:ilvl="5" w:tentative="0">
      <w:start w:val="0"/>
      <w:numFmt w:val="bullet"/>
      <w:lvlText w:val="•"/>
      <w:lvlJc w:val="left"/>
      <w:pPr>
        <w:ind w:left="6045" w:hanging="586"/>
      </w:pPr>
      <w:rPr>
        <w:rFonts w:hint="default"/>
        <w:lang w:val="zh-CN" w:eastAsia="zh-CN" w:bidi="zh-CN"/>
      </w:rPr>
    </w:lvl>
    <w:lvl w:ilvl="6" w:tentative="0">
      <w:start w:val="0"/>
      <w:numFmt w:val="bullet"/>
      <w:lvlText w:val="•"/>
      <w:lvlJc w:val="left"/>
      <w:pPr>
        <w:ind w:left="7022" w:hanging="586"/>
      </w:pPr>
      <w:rPr>
        <w:rFonts w:hint="default"/>
        <w:lang w:val="zh-CN" w:eastAsia="zh-CN" w:bidi="zh-CN"/>
      </w:rPr>
    </w:lvl>
    <w:lvl w:ilvl="7" w:tentative="0">
      <w:start w:val="0"/>
      <w:numFmt w:val="bullet"/>
      <w:lvlText w:val="•"/>
      <w:lvlJc w:val="left"/>
      <w:pPr>
        <w:ind w:left="7999" w:hanging="586"/>
      </w:pPr>
      <w:rPr>
        <w:rFonts w:hint="default"/>
        <w:lang w:val="zh-CN" w:eastAsia="zh-CN" w:bidi="zh-CN"/>
      </w:rPr>
    </w:lvl>
    <w:lvl w:ilvl="8" w:tentative="0">
      <w:start w:val="0"/>
      <w:numFmt w:val="bullet"/>
      <w:lvlText w:val="•"/>
      <w:lvlJc w:val="left"/>
      <w:pPr>
        <w:ind w:left="8976" w:hanging="586"/>
      </w:pPr>
      <w:rPr>
        <w:rFonts w:hint="default"/>
        <w:lang w:val="zh-CN" w:eastAsia="zh-CN" w:bidi="zh-CN"/>
      </w:rPr>
    </w:lvl>
  </w:abstractNum>
  <w:abstractNum w:abstractNumId="66">
    <w:nsid w:val="2007DCFD"/>
    <w:multiLevelType w:val="multilevel"/>
    <w:tmpl w:val="2007DCFD"/>
    <w:lvl w:ilvl="0" w:tentative="0">
      <w:start w:val="2"/>
      <w:numFmt w:val="decimal"/>
      <w:lvlText w:val="%1）"/>
      <w:lvlJc w:val="left"/>
      <w:pPr>
        <w:ind w:left="1063" w:hanging="317"/>
      </w:pPr>
      <w:rPr>
        <w:rFonts w:hint="default" w:ascii="宋体" w:hAnsi="宋体" w:eastAsia="宋体" w:cs="宋体"/>
        <w:spacing w:val="-6"/>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67">
    <w:nsid w:val="21B3B1B1"/>
    <w:multiLevelType w:val="multilevel"/>
    <w:tmpl w:val="21B3B1B1"/>
    <w:lvl w:ilvl="0" w:tentative="0">
      <w:start w:val="1"/>
      <w:numFmt w:val="decimal"/>
      <w:lvlText w:val="（%1）"/>
      <w:lvlJc w:val="left"/>
      <w:pPr>
        <w:ind w:left="1273" w:hanging="527"/>
      </w:pPr>
      <w:rPr>
        <w:rFonts w:hint="default" w:ascii="宋体" w:hAnsi="宋体" w:eastAsia="宋体" w:cs="宋体"/>
        <w:spacing w:val="-46"/>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68">
    <w:nsid w:val="227C9188"/>
    <w:multiLevelType w:val="multilevel"/>
    <w:tmpl w:val="227C9188"/>
    <w:lvl w:ilvl="0" w:tentative="0">
      <w:start w:val="1"/>
      <w:numFmt w:val="decimal"/>
      <w:lvlText w:val="（%1）"/>
      <w:lvlJc w:val="left"/>
      <w:pPr>
        <w:ind w:left="1108" w:hanging="527"/>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69">
    <w:nsid w:val="251342A6"/>
    <w:multiLevelType w:val="multilevel"/>
    <w:tmpl w:val="251342A6"/>
    <w:lvl w:ilvl="0" w:tentative="0">
      <w:start w:val="1"/>
      <w:numFmt w:val="decimal"/>
      <w:lvlText w:val="%1）"/>
      <w:lvlJc w:val="left"/>
      <w:pPr>
        <w:ind w:left="1063" w:hanging="317"/>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70">
    <w:nsid w:val="252BF6AB"/>
    <w:multiLevelType w:val="multilevel"/>
    <w:tmpl w:val="252BF6AB"/>
    <w:lvl w:ilvl="0" w:tentative="0">
      <w:start w:val="1"/>
      <w:numFmt w:val="decimal"/>
      <w:lvlText w:val="%1."/>
      <w:lvlJc w:val="left"/>
      <w:pPr>
        <w:ind w:left="161" w:hanging="211"/>
      </w:pPr>
      <w:rPr>
        <w:rFonts w:hint="default" w:ascii="宋体" w:hAnsi="宋体" w:eastAsia="宋体" w:cs="宋体"/>
        <w:spacing w:val="-91"/>
        <w:w w:val="100"/>
        <w:sz w:val="19"/>
        <w:szCs w:val="19"/>
        <w:lang w:val="zh-CN" w:eastAsia="zh-CN" w:bidi="zh-CN"/>
      </w:rPr>
    </w:lvl>
    <w:lvl w:ilvl="1" w:tentative="0">
      <w:start w:val="0"/>
      <w:numFmt w:val="bullet"/>
      <w:lvlText w:val="•"/>
      <w:lvlJc w:val="left"/>
      <w:pPr>
        <w:ind w:left="1237" w:hanging="211"/>
      </w:pPr>
      <w:rPr>
        <w:rFonts w:hint="default"/>
        <w:lang w:val="zh-CN" w:eastAsia="zh-CN" w:bidi="zh-CN"/>
      </w:rPr>
    </w:lvl>
    <w:lvl w:ilvl="2" w:tentative="0">
      <w:start w:val="0"/>
      <w:numFmt w:val="bullet"/>
      <w:lvlText w:val="•"/>
      <w:lvlJc w:val="left"/>
      <w:pPr>
        <w:ind w:left="2314" w:hanging="211"/>
      </w:pPr>
      <w:rPr>
        <w:rFonts w:hint="default"/>
        <w:lang w:val="zh-CN" w:eastAsia="zh-CN" w:bidi="zh-CN"/>
      </w:rPr>
    </w:lvl>
    <w:lvl w:ilvl="3" w:tentative="0">
      <w:start w:val="0"/>
      <w:numFmt w:val="bullet"/>
      <w:lvlText w:val="•"/>
      <w:lvlJc w:val="left"/>
      <w:pPr>
        <w:ind w:left="3391" w:hanging="211"/>
      </w:pPr>
      <w:rPr>
        <w:rFonts w:hint="default"/>
        <w:lang w:val="zh-CN" w:eastAsia="zh-CN" w:bidi="zh-CN"/>
      </w:rPr>
    </w:lvl>
    <w:lvl w:ilvl="4" w:tentative="0">
      <w:start w:val="0"/>
      <w:numFmt w:val="bullet"/>
      <w:lvlText w:val="•"/>
      <w:lvlJc w:val="left"/>
      <w:pPr>
        <w:ind w:left="4468" w:hanging="211"/>
      </w:pPr>
      <w:rPr>
        <w:rFonts w:hint="default"/>
        <w:lang w:val="zh-CN" w:eastAsia="zh-CN" w:bidi="zh-CN"/>
      </w:rPr>
    </w:lvl>
    <w:lvl w:ilvl="5" w:tentative="0">
      <w:start w:val="0"/>
      <w:numFmt w:val="bullet"/>
      <w:lvlText w:val="•"/>
      <w:lvlJc w:val="left"/>
      <w:pPr>
        <w:ind w:left="5545" w:hanging="211"/>
      </w:pPr>
      <w:rPr>
        <w:rFonts w:hint="default"/>
        <w:lang w:val="zh-CN" w:eastAsia="zh-CN" w:bidi="zh-CN"/>
      </w:rPr>
    </w:lvl>
    <w:lvl w:ilvl="6" w:tentative="0">
      <w:start w:val="0"/>
      <w:numFmt w:val="bullet"/>
      <w:lvlText w:val="•"/>
      <w:lvlJc w:val="left"/>
      <w:pPr>
        <w:ind w:left="6622" w:hanging="211"/>
      </w:pPr>
      <w:rPr>
        <w:rFonts w:hint="default"/>
        <w:lang w:val="zh-CN" w:eastAsia="zh-CN" w:bidi="zh-CN"/>
      </w:rPr>
    </w:lvl>
    <w:lvl w:ilvl="7" w:tentative="0">
      <w:start w:val="0"/>
      <w:numFmt w:val="bullet"/>
      <w:lvlText w:val="•"/>
      <w:lvlJc w:val="left"/>
      <w:pPr>
        <w:ind w:left="7699" w:hanging="211"/>
      </w:pPr>
      <w:rPr>
        <w:rFonts w:hint="default"/>
        <w:lang w:val="zh-CN" w:eastAsia="zh-CN" w:bidi="zh-CN"/>
      </w:rPr>
    </w:lvl>
    <w:lvl w:ilvl="8" w:tentative="0">
      <w:start w:val="0"/>
      <w:numFmt w:val="bullet"/>
      <w:lvlText w:val="•"/>
      <w:lvlJc w:val="left"/>
      <w:pPr>
        <w:ind w:left="8776" w:hanging="211"/>
      </w:pPr>
      <w:rPr>
        <w:rFonts w:hint="default"/>
        <w:lang w:val="zh-CN" w:eastAsia="zh-CN" w:bidi="zh-CN"/>
      </w:rPr>
    </w:lvl>
  </w:abstractNum>
  <w:abstractNum w:abstractNumId="71">
    <w:nsid w:val="269945CE"/>
    <w:multiLevelType w:val="multilevel"/>
    <w:tmpl w:val="269945CE"/>
    <w:lvl w:ilvl="0" w:tentative="0">
      <w:start w:val="2"/>
      <w:numFmt w:val="decimal"/>
      <w:lvlText w:val="%1."/>
      <w:lvlJc w:val="left"/>
      <w:pPr>
        <w:ind w:left="161" w:hanging="316"/>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237" w:hanging="316"/>
      </w:pPr>
      <w:rPr>
        <w:rFonts w:hint="default"/>
        <w:lang w:val="zh-CN" w:eastAsia="zh-CN" w:bidi="zh-CN"/>
      </w:rPr>
    </w:lvl>
    <w:lvl w:ilvl="2" w:tentative="0">
      <w:start w:val="0"/>
      <w:numFmt w:val="bullet"/>
      <w:lvlText w:val="•"/>
      <w:lvlJc w:val="left"/>
      <w:pPr>
        <w:ind w:left="2314" w:hanging="316"/>
      </w:pPr>
      <w:rPr>
        <w:rFonts w:hint="default"/>
        <w:lang w:val="zh-CN" w:eastAsia="zh-CN" w:bidi="zh-CN"/>
      </w:rPr>
    </w:lvl>
    <w:lvl w:ilvl="3" w:tentative="0">
      <w:start w:val="0"/>
      <w:numFmt w:val="bullet"/>
      <w:lvlText w:val="•"/>
      <w:lvlJc w:val="left"/>
      <w:pPr>
        <w:ind w:left="3391" w:hanging="316"/>
      </w:pPr>
      <w:rPr>
        <w:rFonts w:hint="default"/>
        <w:lang w:val="zh-CN" w:eastAsia="zh-CN" w:bidi="zh-CN"/>
      </w:rPr>
    </w:lvl>
    <w:lvl w:ilvl="4" w:tentative="0">
      <w:start w:val="0"/>
      <w:numFmt w:val="bullet"/>
      <w:lvlText w:val="•"/>
      <w:lvlJc w:val="left"/>
      <w:pPr>
        <w:ind w:left="4468" w:hanging="316"/>
      </w:pPr>
      <w:rPr>
        <w:rFonts w:hint="default"/>
        <w:lang w:val="zh-CN" w:eastAsia="zh-CN" w:bidi="zh-CN"/>
      </w:rPr>
    </w:lvl>
    <w:lvl w:ilvl="5" w:tentative="0">
      <w:start w:val="0"/>
      <w:numFmt w:val="bullet"/>
      <w:lvlText w:val="•"/>
      <w:lvlJc w:val="left"/>
      <w:pPr>
        <w:ind w:left="5545" w:hanging="316"/>
      </w:pPr>
      <w:rPr>
        <w:rFonts w:hint="default"/>
        <w:lang w:val="zh-CN" w:eastAsia="zh-CN" w:bidi="zh-CN"/>
      </w:rPr>
    </w:lvl>
    <w:lvl w:ilvl="6" w:tentative="0">
      <w:start w:val="0"/>
      <w:numFmt w:val="bullet"/>
      <w:lvlText w:val="•"/>
      <w:lvlJc w:val="left"/>
      <w:pPr>
        <w:ind w:left="6622" w:hanging="316"/>
      </w:pPr>
      <w:rPr>
        <w:rFonts w:hint="default"/>
        <w:lang w:val="zh-CN" w:eastAsia="zh-CN" w:bidi="zh-CN"/>
      </w:rPr>
    </w:lvl>
    <w:lvl w:ilvl="7" w:tentative="0">
      <w:start w:val="0"/>
      <w:numFmt w:val="bullet"/>
      <w:lvlText w:val="•"/>
      <w:lvlJc w:val="left"/>
      <w:pPr>
        <w:ind w:left="7699" w:hanging="316"/>
      </w:pPr>
      <w:rPr>
        <w:rFonts w:hint="default"/>
        <w:lang w:val="zh-CN" w:eastAsia="zh-CN" w:bidi="zh-CN"/>
      </w:rPr>
    </w:lvl>
    <w:lvl w:ilvl="8" w:tentative="0">
      <w:start w:val="0"/>
      <w:numFmt w:val="bullet"/>
      <w:lvlText w:val="•"/>
      <w:lvlJc w:val="left"/>
      <w:pPr>
        <w:ind w:left="8776" w:hanging="316"/>
      </w:pPr>
      <w:rPr>
        <w:rFonts w:hint="default"/>
        <w:lang w:val="zh-CN" w:eastAsia="zh-CN" w:bidi="zh-CN"/>
      </w:rPr>
    </w:lvl>
  </w:abstractNum>
  <w:abstractNum w:abstractNumId="72">
    <w:nsid w:val="274D3D9B"/>
    <w:multiLevelType w:val="multilevel"/>
    <w:tmpl w:val="274D3D9B"/>
    <w:lvl w:ilvl="0" w:tentative="0">
      <w:start w:val="1"/>
      <w:numFmt w:val="decimal"/>
      <w:lvlText w:val="%1."/>
      <w:lvlJc w:val="left"/>
      <w:pPr>
        <w:ind w:left="161" w:hanging="316"/>
        <w:jc w:val="right"/>
      </w:pPr>
      <w:rPr>
        <w:rFonts w:hint="default" w:ascii="宋体" w:hAnsi="宋体" w:eastAsia="宋体" w:cs="宋体"/>
        <w:spacing w:val="-91"/>
        <w:w w:val="100"/>
        <w:sz w:val="19"/>
        <w:szCs w:val="19"/>
        <w:lang w:val="zh-CN" w:eastAsia="zh-CN" w:bidi="zh-CN"/>
      </w:rPr>
    </w:lvl>
    <w:lvl w:ilvl="1" w:tentative="0">
      <w:start w:val="0"/>
      <w:numFmt w:val="bullet"/>
      <w:lvlText w:val="•"/>
      <w:lvlJc w:val="left"/>
      <w:pPr>
        <w:ind w:left="1237" w:hanging="316"/>
      </w:pPr>
      <w:rPr>
        <w:rFonts w:hint="default"/>
        <w:lang w:val="zh-CN" w:eastAsia="zh-CN" w:bidi="zh-CN"/>
      </w:rPr>
    </w:lvl>
    <w:lvl w:ilvl="2" w:tentative="0">
      <w:start w:val="0"/>
      <w:numFmt w:val="bullet"/>
      <w:lvlText w:val="•"/>
      <w:lvlJc w:val="left"/>
      <w:pPr>
        <w:ind w:left="2314" w:hanging="316"/>
      </w:pPr>
      <w:rPr>
        <w:rFonts w:hint="default"/>
        <w:lang w:val="zh-CN" w:eastAsia="zh-CN" w:bidi="zh-CN"/>
      </w:rPr>
    </w:lvl>
    <w:lvl w:ilvl="3" w:tentative="0">
      <w:start w:val="0"/>
      <w:numFmt w:val="bullet"/>
      <w:lvlText w:val="•"/>
      <w:lvlJc w:val="left"/>
      <w:pPr>
        <w:ind w:left="3391" w:hanging="316"/>
      </w:pPr>
      <w:rPr>
        <w:rFonts w:hint="default"/>
        <w:lang w:val="zh-CN" w:eastAsia="zh-CN" w:bidi="zh-CN"/>
      </w:rPr>
    </w:lvl>
    <w:lvl w:ilvl="4" w:tentative="0">
      <w:start w:val="0"/>
      <w:numFmt w:val="bullet"/>
      <w:lvlText w:val="•"/>
      <w:lvlJc w:val="left"/>
      <w:pPr>
        <w:ind w:left="4468" w:hanging="316"/>
      </w:pPr>
      <w:rPr>
        <w:rFonts w:hint="default"/>
        <w:lang w:val="zh-CN" w:eastAsia="zh-CN" w:bidi="zh-CN"/>
      </w:rPr>
    </w:lvl>
    <w:lvl w:ilvl="5" w:tentative="0">
      <w:start w:val="0"/>
      <w:numFmt w:val="bullet"/>
      <w:lvlText w:val="•"/>
      <w:lvlJc w:val="left"/>
      <w:pPr>
        <w:ind w:left="5545" w:hanging="316"/>
      </w:pPr>
      <w:rPr>
        <w:rFonts w:hint="default"/>
        <w:lang w:val="zh-CN" w:eastAsia="zh-CN" w:bidi="zh-CN"/>
      </w:rPr>
    </w:lvl>
    <w:lvl w:ilvl="6" w:tentative="0">
      <w:start w:val="0"/>
      <w:numFmt w:val="bullet"/>
      <w:lvlText w:val="•"/>
      <w:lvlJc w:val="left"/>
      <w:pPr>
        <w:ind w:left="6622" w:hanging="316"/>
      </w:pPr>
      <w:rPr>
        <w:rFonts w:hint="default"/>
        <w:lang w:val="zh-CN" w:eastAsia="zh-CN" w:bidi="zh-CN"/>
      </w:rPr>
    </w:lvl>
    <w:lvl w:ilvl="7" w:tentative="0">
      <w:start w:val="0"/>
      <w:numFmt w:val="bullet"/>
      <w:lvlText w:val="•"/>
      <w:lvlJc w:val="left"/>
      <w:pPr>
        <w:ind w:left="7699" w:hanging="316"/>
      </w:pPr>
      <w:rPr>
        <w:rFonts w:hint="default"/>
        <w:lang w:val="zh-CN" w:eastAsia="zh-CN" w:bidi="zh-CN"/>
      </w:rPr>
    </w:lvl>
    <w:lvl w:ilvl="8" w:tentative="0">
      <w:start w:val="0"/>
      <w:numFmt w:val="bullet"/>
      <w:lvlText w:val="•"/>
      <w:lvlJc w:val="left"/>
      <w:pPr>
        <w:ind w:left="8776" w:hanging="316"/>
      </w:pPr>
      <w:rPr>
        <w:rFonts w:hint="default"/>
        <w:lang w:val="zh-CN" w:eastAsia="zh-CN" w:bidi="zh-CN"/>
      </w:rPr>
    </w:lvl>
  </w:abstractNum>
  <w:abstractNum w:abstractNumId="73">
    <w:nsid w:val="2B3F3F89"/>
    <w:multiLevelType w:val="multilevel"/>
    <w:tmpl w:val="2B3F3F89"/>
    <w:lvl w:ilvl="0" w:tentative="0">
      <w:start w:val="13"/>
      <w:numFmt w:val="decimal"/>
      <w:lvlText w:val="%1"/>
      <w:lvlJc w:val="left"/>
      <w:pPr>
        <w:ind w:left="1212" w:hanging="466"/>
      </w:pPr>
      <w:rPr>
        <w:rFonts w:hint="default"/>
        <w:lang w:val="zh-CN" w:eastAsia="zh-CN" w:bidi="zh-CN"/>
      </w:rPr>
    </w:lvl>
    <w:lvl w:ilvl="1" w:tentative="0">
      <w:start w:val="6"/>
      <w:numFmt w:val="decimal"/>
      <w:lvlText w:val="%1.%2"/>
      <w:lvlJc w:val="left"/>
      <w:pPr>
        <w:ind w:left="1212" w:hanging="466"/>
      </w:pPr>
      <w:rPr>
        <w:rFonts w:hint="default" w:ascii="微软雅黑" w:hAnsi="微软雅黑" w:eastAsia="微软雅黑" w:cs="微软雅黑"/>
        <w:b/>
        <w:bCs/>
        <w:spacing w:val="0"/>
        <w:w w:val="81"/>
        <w:sz w:val="19"/>
        <w:szCs w:val="19"/>
        <w:lang w:val="zh-CN" w:eastAsia="zh-CN" w:bidi="zh-CN"/>
      </w:rPr>
    </w:lvl>
    <w:lvl w:ilvl="2" w:tentative="0">
      <w:start w:val="1"/>
      <w:numFmt w:val="decimal"/>
      <w:lvlText w:val="%1.%2.%3"/>
      <w:lvlJc w:val="left"/>
      <w:pPr>
        <w:ind w:left="1378" w:hanging="631"/>
      </w:pPr>
      <w:rPr>
        <w:rFonts w:hint="default" w:ascii="宋体" w:hAnsi="宋体" w:eastAsia="宋体" w:cs="宋体"/>
        <w:w w:val="100"/>
        <w:sz w:val="19"/>
        <w:szCs w:val="19"/>
        <w:lang w:val="zh-CN" w:eastAsia="zh-CN" w:bidi="zh-CN"/>
      </w:rPr>
    </w:lvl>
    <w:lvl w:ilvl="3" w:tentative="0">
      <w:start w:val="0"/>
      <w:numFmt w:val="bullet"/>
      <w:lvlText w:val="•"/>
      <w:lvlJc w:val="left"/>
      <w:pPr>
        <w:ind w:left="3502" w:hanging="631"/>
      </w:pPr>
      <w:rPr>
        <w:rFonts w:hint="default"/>
        <w:lang w:val="zh-CN" w:eastAsia="zh-CN" w:bidi="zh-CN"/>
      </w:rPr>
    </w:lvl>
    <w:lvl w:ilvl="4" w:tentative="0">
      <w:start w:val="0"/>
      <w:numFmt w:val="bullet"/>
      <w:lvlText w:val="•"/>
      <w:lvlJc w:val="left"/>
      <w:pPr>
        <w:ind w:left="4563" w:hanging="631"/>
      </w:pPr>
      <w:rPr>
        <w:rFonts w:hint="default"/>
        <w:lang w:val="zh-CN" w:eastAsia="zh-CN" w:bidi="zh-CN"/>
      </w:rPr>
    </w:lvl>
    <w:lvl w:ilvl="5" w:tentative="0">
      <w:start w:val="0"/>
      <w:numFmt w:val="bullet"/>
      <w:lvlText w:val="•"/>
      <w:lvlJc w:val="left"/>
      <w:pPr>
        <w:ind w:left="5624" w:hanging="631"/>
      </w:pPr>
      <w:rPr>
        <w:rFonts w:hint="default"/>
        <w:lang w:val="zh-CN" w:eastAsia="zh-CN" w:bidi="zh-CN"/>
      </w:rPr>
    </w:lvl>
    <w:lvl w:ilvl="6" w:tentative="0">
      <w:start w:val="0"/>
      <w:numFmt w:val="bullet"/>
      <w:lvlText w:val="•"/>
      <w:lvlJc w:val="left"/>
      <w:pPr>
        <w:ind w:left="6685" w:hanging="631"/>
      </w:pPr>
      <w:rPr>
        <w:rFonts w:hint="default"/>
        <w:lang w:val="zh-CN" w:eastAsia="zh-CN" w:bidi="zh-CN"/>
      </w:rPr>
    </w:lvl>
    <w:lvl w:ilvl="7" w:tentative="0">
      <w:start w:val="0"/>
      <w:numFmt w:val="bullet"/>
      <w:lvlText w:val="•"/>
      <w:lvlJc w:val="left"/>
      <w:pPr>
        <w:ind w:left="7746" w:hanging="631"/>
      </w:pPr>
      <w:rPr>
        <w:rFonts w:hint="default"/>
        <w:lang w:val="zh-CN" w:eastAsia="zh-CN" w:bidi="zh-CN"/>
      </w:rPr>
    </w:lvl>
    <w:lvl w:ilvl="8" w:tentative="0">
      <w:start w:val="0"/>
      <w:numFmt w:val="bullet"/>
      <w:lvlText w:val="•"/>
      <w:lvlJc w:val="left"/>
      <w:pPr>
        <w:ind w:left="8807" w:hanging="631"/>
      </w:pPr>
      <w:rPr>
        <w:rFonts w:hint="default"/>
        <w:lang w:val="zh-CN" w:eastAsia="zh-CN" w:bidi="zh-CN"/>
      </w:rPr>
    </w:lvl>
  </w:abstractNum>
  <w:abstractNum w:abstractNumId="74">
    <w:nsid w:val="2F2D79CE"/>
    <w:multiLevelType w:val="multilevel"/>
    <w:tmpl w:val="2F2D79CE"/>
    <w:lvl w:ilvl="0" w:tentative="0">
      <w:start w:val="1"/>
      <w:numFmt w:val="decimal"/>
      <w:lvlText w:val="%1"/>
      <w:lvlJc w:val="left"/>
      <w:pPr>
        <w:ind w:left="1318" w:hanging="736"/>
      </w:pPr>
      <w:rPr>
        <w:rFonts w:hint="default"/>
        <w:lang w:val="zh-CN" w:eastAsia="zh-CN" w:bidi="zh-CN"/>
      </w:rPr>
    </w:lvl>
    <w:lvl w:ilvl="1" w:tentative="0">
      <w:start w:val="1"/>
      <w:numFmt w:val="decimal"/>
      <w:lvlText w:val="%1.%2"/>
      <w:lvlJc w:val="left"/>
      <w:pPr>
        <w:ind w:left="1318" w:hanging="736"/>
      </w:pPr>
      <w:rPr>
        <w:rFonts w:hint="default"/>
        <w:lang w:val="zh-CN" w:eastAsia="zh-CN" w:bidi="zh-CN"/>
      </w:rPr>
    </w:lvl>
    <w:lvl w:ilvl="2" w:tentative="0">
      <w:start w:val="3"/>
      <w:numFmt w:val="decimal"/>
      <w:lvlText w:val="%1.%2.%3"/>
      <w:lvlJc w:val="left"/>
      <w:pPr>
        <w:ind w:left="1318" w:hanging="736"/>
      </w:pPr>
      <w:rPr>
        <w:rFonts w:hint="default"/>
        <w:lang w:val="zh-CN" w:eastAsia="zh-CN" w:bidi="zh-CN"/>
      </w:rPr>
    </w:lvl>
    <w:lvl w:ilvl="3" w:tentative="0">
      <w:start w:val="9"/>
      <w:numFmt w:val="decimal"/>
      <w:lvlText w:val="%1.%2.%3.%4"/>
      <w:lvlJc w:val="left"/>
      <w:pPr>
        <w:ind w:left="1318" w:hanging="736"/>
      </w:pPr>
      <w:rPr>
        <w:rFonts w:hint="default" w:ascii="宋体" w:hAnsi="宋体" w:eastAsia="宋体" w:cs="宋体"/>
        <w:w w:val="100"/>
        <w:sz w:val="19"/>
        <w:szCs w:val="19"/>
        <w:lang w:val="zh-CN" w:eastAsia="zh-CN" w:bidi="zh-CN"/>
      </w:rPr>
    </w:lvl>
    <w:lvl w:ilvl="4" w:tentative="0">
      <w:start w:val="0"/>
      <w:numFmt w:val="bullet"/>
      <w:lvlText w:val="•"/>
      <w:lvlJc w:val="left"/>
      <w:pPr>
        <w:ind w:left="5164" w:hanging="736"/>
      </w:pPr>
      <w:rPr>
        <w:rFonts w:hint="default"/>
        <w:lang w:val="zh-CN" w:eastAsia="zh-CN" w:bidi="zh-CN"/>
      </w:rPr>
    </w:lvl>
    <w:lvl w:ilvl="5" w:tentative="0">
      <w:start w:val="0"/>
      <w:numFmt w:val="bullet"/>
      <w:lvlText w:val="•"/>
      <w:lvlJc w:val="left"/>
      <w:pPr>
        <w:ind w:left="6125" w:hanging="736"/>
      </w:pPr>
      <w:rPr>
        <w:rFonts w:hint="default"/>
        <w:lang w:val="zh-CN" w:eastAsia="zh-CN" w:bidi="zh-CN"/>
      </w:rPr>
    </w:lvl>
    <w:lvl w:ilvl="6" w:tentative="0">
      <w:start w:val="0"/>
      <w:numFmt w:val="bullet"/>
      <w:lvlText w:val="•"/>
      <w:lvlJc w:val="left"/>
      <w:pPr>
        <w:ind w:left="7086" w:hanging="736"/>
      </w:pPr>
      <w:rPr>
        <w:rFonts w:hint="default"/>
        <w:lang w:val="zh-CN" w:eastAsia="zh-CN" w:bidi="zh-CN"/>
      </w:rPr>
    </w:lvl>
    <w:lvl w:ilvl="7" w:tentative="0">
      <w:start w:val="0"/>
      <w:numFmt w:val="bullet"/>
      <w:lvlText w:val="•"/>
      <w:lvlJc w:val="left"/>
      <w:pPr>
        <w:ind w:left="8047" w:hanging="736"/>
      </w:pPr>
      <w:rPr>
        <w:rFonts w:hint="default"/>
        <w:lang w:val="zh-CN" w:eastAsia="zh-CN" w:bidi="zh-CN"/>
      </w:rPr>
    </w:lvl>
    <w:lvl w:ilvl="8" w:tentative="0">
      <w:start w:val="0"/>
      <w:numFmt w:val="bullet"/>
      <w:lvlText w:val="•"/>
      <w:lvlJc w:val="left"/>
      <w:pPr>
        <w:ind w:left="9008" w:hanging="736"/>
      </w:pPr>
      <w:rPr>
        <w:rFonts w:hint="default"/>
        <w:lang w:val="zh-CN" w:eastAsia="zh-CN" w:bidi="zh-CN"/>
      </w:rPr>
    </w:lvl>
  </w:abstractNum>
  <w:abstractNum w:abstractNumId="75">
    <w:nsid w:val="329A4FD1"/>
    <w:multiLevelType w:val="multilevel"/>
    <w:tmpl w:val="329A4FD1"/>
    <w:lvl w:ilvl="0" w:tentative="0">
      <w:start w:val="1"/>
      <w:numFmt w:val="decimal"/>
      <w:lvlText w:val="（%1）"/>
      <w:lvlJc w:val="left"/>
      <w:pPr>
        <w:ind w:left="1108" w:hanging="527"/>
      </w:pPr>
      <w:rPr>
        <w:rFonts w:hint="default" w:ascii="宋体" w:hAnsi="宋体" w:eastAsia="宋体" w:cs="宋体"/>
        <w:spacing w:val="-7"/>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76">
    <w:nsid w:val="35ECE9CB"/>
    <w:multiLevelType w:val="multilevel"/>
    <w:tmpl w:val="35ECE9CB"/>
    <w:lvl w:ilvl="0" w:tentative="0">
      <w:start w:val="1"/>
      <w:numFmt w:val="decimal"/>
      <w:lvlText w:val="（%1）"/>
      <w:lvlJc w:val="left"/>
      <w:pPr>
        <w:ind w:left="161" w:hanging="527"/>
      </w:pPr>
      <w:rPr>
        <w:rFonts w:hint="default" w:ascii="宋体" w:hAnsi="宋体" w:eastAsia="宋体" w:cs="宋体"/>
        <w:spacing w:val="-48"/>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77">
    <w:nsid w:val="38EAC418"/>
    <w:multiLevelType w:val="multilevel"/>
    <w:tmpl w:val="38EAC418"/>
    <w:lvl w:ilvl="0" w:tentative="0">
      <w:start w:val="1"/>
      <w:numFmt w:val="decimal"/>
      <w:lvlText w:val="（%1）"/>
      <w:lvlJc w:val="left"/>
      <w:pPr>
        <w:ind w:left="1273" w:hanging="527"/>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78">
    <w:nsid w:val="3A7FBA26"/>
    <w:multiLevelType w:val="multilevel"/>
    <w:tmpl w:val="3A7FBA26"/>
    <w:lvl w:ilvl="0" w:tentative="0">
      <w:start w:val="1"/>
      <w:numFmt w:val="decimal"/>
      <w:lvlText w:val="（%1）"/>
      <w:lvlJc w:val="left"/>
      <w:pPr>
        <w:ind w:left="1273" w:hanging="527"/>
        <w:jc w:val="right"/>
      </w:pPr>
      <w:rPr>
        <w:rFonts w:hint="default" w:ascii="宋体" w:hAnsi="宋体" w:eastAsia="宋体" w:cs="宋体"/>
        <w:spacing w:val="-47"/>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79">
    <w:nsid w:val="3D950AF9"/>
    <w:multiLevelType w:val="multilevel"/>
    <w:tmpl w:val="3D950AF9"/>
    <w:lvl w:ilvl="0" w:tentative="0">
      <w:start w:val="1"/>
      <w:numFmt w:val="decimal"/>
      <w:lvlText w:val="（%1）"/>
      <w:lvlJc w:val="left"/>
      <w:pPr>
        <w:ind w:left="1273" w:hanging="527"/>
      </w:pPr>
      <w:rPr>
        <w:rFonts w:hint="default" w:ascii="宋体" w:hAnsi="宋体" w:eastAsia="宋体" w:cs="宋体"/>
        <w:spacing w:val="-7"/>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80">
    <w:nsid w:val="3F415704"/>
    <w:multiLevelType w:val="singleLevel"/>
    <w:tmpl w:val="3F415704"/>
    <w:lvl w:ilvl="0" w:tentative="0">
      <w:start w:val="1"/>
      <w:numFmt w:val="decimal"/>
      <w:suff w:val="nothing"/>
      <w:lvlText w:val="%1、"/>
      <w:lvlJc w:val="left"/>
    </w:lvl>
  </w:abstractNum>
  <w:abstractNum w:abstractNumId="81">
    <w:nsid w:val="3FE315B6"/>
    <w:multiLevelType w:val="multilevel"/>
    <w:tmpl w:val="3FE315B6"/>
    <w:lvl w:ilvl="0" w:tentative="0">
      <w:start w:val="1"/>
      <w:numFmt w:val="decimal"/>
      <w:lvlText w:val="（%1）"/>
      <w:lvlJc w:val="left"/>
      <w:pPr>
        <w:ind w:left="161" w:hanging="527"/>
        <w:jc w:val="right"/>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82">
    <w:nsid w:val="408860E8"/>
    <w:multiLevelType w:val="multilevel"/>
    <w:tmpl w:val="408860E8"/>
    <w:lvl w:ilvl="0" w:tentative="0">
      <w:start w:val="1"/>
      <w:numFmt w:val="decimal"/>
      <w:lvlText w:val="%1."/>
      <w:lvlJc w:val="left"/>
      <w:pPr>
        <w:ind w:left="1063" w:hanging="317"/>
        <w:jc w:val="righ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83">
    <w:nsid w:val="40F245EA"/>
    <w:multiLevelType w:val="multilevel"/>
    <w:tmpl w:val="40F245EA"/>
    <w:lvl w:ilvl="0" w:tentative="0">
      <w:start w:val="14"/>
      <w:numFmt w:val="decimal"/>
      <w:lvlText w:val="%1"/>
      <w:lvlJc w:val="left"/>
      <w:pPr>
        <w:ind w:left="1378" w:hanging="631"/>
      </w:pPr>
      <w:rPr>
        <w:rFonts w:hint="default"/>
        <w:lang w:val="zh-CN" w:eastAsia="zh-CN" w:bidi="zh-CN"/>
      </w:rPr>
    </w:lvl>
    <w:lvl w:ilvl="1" w:tentative="0">
      <w:start w:val="4"/>
      <w:numFmt w:val="decimal"/>
      <w:lvlText w:val="%1.%2"/>
      <w:lvlJc w:val="left"/>
      <w:pPr>
        <w:ind w:left="1378" w:hanging="631"/>
      </w:pPr>
      <w:rPr>
        <w:rFonts w:hint="default"/>
        <w:lang w:val="zh-CN" w:eastAsia="zh-CN" w:bidi="zh-CN"/>
      </w:rPr>
    </w:lvl>
    <w:lvl w:ilvl="2" w:tentative="0">
      <w:start w:val="1"/>
      <w:numFmt w:val="decimal"/>
      <w:lvlText w:val="%1.%2.%3"/>
      <w:lvlJc w:val="left"/>
      <w:pPr>
        <w:ind w:left="1378" w:hanging="631"/>
      </w:pPr>
      <w:rPr>
        <w:rFonts w:hint="default" w:ascii="宋体" w:hAnsi="宋体" w:eastAsia="宋体" w:cs="宋体"/>
        <w:w w:val="100"/>
        <w:sz w:val="19"/>
        <w:szCs w:val="19"/>
        <w:lang w:val="zh-CN" w:eastAsia="zh-CN" w:bidi="zh-CN"/>
      </w:rPr>
    </w:lvl>
    <w:lvl w:ilvl="3" w:tentative="0">
      <w:start w:val="0"/>
      <w:numFmt w:val="bullet"/>
      <w:lvlText w:val="•"/>
      <w:lvlJc w:val="left"/>
      <w:pPr>
        <w:ind w:left="4245" w:hanging="631"/>
      </w:pPr>
      <w:rPr>
        <w:rFonts w:hint="default"/>
        <w:lang w:val="zh-CN" w:eastAsia="zh-CN" w:bidi="zh-CN"/>
      </w:rPr>
    </w:lvl>
    <w:lvl w:ilvl="4" w:tentative="0">
      <w:start w:val="0"/>
      <w:numFmt w:val="bullet"/>
      <w:lvlText w:val="•"/>
      <w:lvlJc w:val="left"/>
      <w:pPr>
        <w:ind w:left="5200" w:hanging="631"/>
      </w:pPr>
      <w:rPr>
        <w:rFonts w:hint="default"/>
        <w:lang w:val="zh-CN" w:eastAsia="zh-CN" w:bidi="zh-CN"/>
      </w:rPr>
    </w:lvl>
    <w:lvl w:ilvl="5" w:tentative="0">
      <w:start w:val="0"/>
      <w:numFmt w:val="bullet"/>
      <w:lvlText w:val="•"/>
      <w:lvlJc w:val="left"/>
      <w:pPr>
        <w:ind w:left="6155" w:hanging="631"/>
      </w:pPr>
      <w:rPr>
        <w:rFonts w:hint="default"/>
        <w:lang w:val="zh-CN" w:eastAsia="zh-CN" w:bidi="zh-CN"/>
      </w:rPr>
    </w:lvl>
    <w:lvl w:ilvl="6" w:tentative="0">
      <w:start w:val="0"/>
      <w:numFmt w:val="bullet"/>
      <w:lvlText w:val="•"/>
      <w:lvlJc w:val="left"/>
      <w:pPr>
        <w:ind w:left="7110" w:hanging="631"/>
      </w:pPr>
      <w:rPr>
        <w:rFonts w:hint="default"/>
        <w:lang w:val="zh-CN" w:eastAsia="zh-CN" w:bidi="zh-CN"/>
      </w:rPr>
    </w:lvl>
    <w:lvl w:ilvl="7" w:tentative="0">
      <w:start w:val="0"/>
      <w:numFmt w:val="bullet"/>
      <w:lvlText w:val="•"/>
      <w:lvlJc w:val="left"/>
      <w:pPr>
        <w:ind w:left="8065" w:hanging="631"/>
      </w:pPr>
      <w:rPr>
        <w:rFonts w:hint="default"/>
        <w:lang w:val="zh-CN" w:eastAsia="zh-CN" w:bidi="zh-CN"/>
      </w:rPr>
    </w:lvl>
    <w:lvl w:ilvl="8" w:tentative="0">
      <w:start w:val="0"/>
      <w:numFmt w:val="bullet"/>
      <w:lvlText w:val="•"/>
      <w:lvlJc w:val="left"/>
      <w:pPr>
        <w:ind w:left="9020" w:hanging="631"/>
      </w:pPr>
      <w:rPr>
        <w:rFonts w:hint="default"/>
        <w:lang w:val="zh-CN" w:eastAsia="zh-CN" w:bidi="zh-CN"/>
      </w:rPr>
    </w:lvl>
  </w:abstractNum>
  <w:abstractNum w:abstractNumId="84">
    <w:nsid w:val="4258023A"/>
    <w:multiLevelType w:val="multilevel"/>
    <w:tmpl w:val="4258023A"/>
    <w:lvl w:ilvl="0" w:tentative="0">
      <w:start w:val="2"/>
      <w:numFmt w:val="decimal"/>
      <w:lvlText w:val="（%1）"/>
      <w:lvlJc w:val="left"/>
      <w:pPr>
        <w:ind w:left="1108" w:hanging="527"/>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85">
    <w:nsid w:val="4A51D704"/>
    <w:multiLevelType w:val="multilevel"/>
    <w:tmpl w:val="4A51D704"/>
    <w:lvl w:ilvl="0" w:tentative="0">
      <w:start w:val="8"/>
      <w:numFmt w:val="decimal"/>
      <w:lvlText w:val="%1"/>
      <w:lvlJc w:val="left"/>
      <w:pPr>
        <w:ind w:left="1107" w:hanging="360"/>
      </w:pPr>
      <w:rPr>
        <w:rFonts w:hint="default"/>
        <w:lang w:val="zh-CN" w:eastAsia="zh-CN" w:bidi="zh-CN"/>
      </w:rPr>
    </w:lvl>
    <w:lvl w:ilvl="1" w:tentative="0">
      <w:start w:val="6"/>
      <w:numFmt w:val="decimal"/>
      <w:lvlText w:val="%1.%2"/>
      <w:lvlJc w:val="left"/>
      <w:pPr>
        <w:ind w:left="1107"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424" w:hanging="526"/>
      </w:pPr>
      <w:rPr>
        <w:rFonts w:hint="default"/>
        <w:lang w:val="zh-CN" w:eastAsia="zh-CN" w:bidi="zh-CN"/>
      </w:rPr>
    </w:lvl>
    <w:lvl w:ilvl="4" w:tentative="0">
      <w:start w:val="0"/>
      <w:numFmt w:val="bullet"/>
      <w:lvlText w:val="•"/>
      <w:lvlJc w:val="left"/>
      <w:pPr>
        <w:ind w:left="4496" w:hanging="526"/>
      </w:pPr>
      <w:rPr>
        <w:rFonts w:hint="default"/>
        <w:lang w:val="zh-CN" w:eastAsia="zh-CN" w:bidi="zh-CN"/>
      </w:rPr>
    </w:lvl>
    <w:lvl w:ilvl="5" w:tentative="0">
      <w:start w:val="0"/>
      <w:numFmt w:val="bullet"/>
      <w:lvlText w:val="•"/>
      <w:lvlJc w:val="left"/>
      <w:pPr>
        <w:ind w:left="5568" w:hanging="526"/>
      </w:pPr>
      <w:rPr>
        <w:rFonts w:hint="default"/>
        <w:lang w:val="zh-CN" w:eastAsia="zh-CN" w:bidi="zh-CN"/>
      </w:rPr>
    </w:lvl>
    <w:lvl w:ilvl="6" w:tentative="0">
      <w:start w:val="0"/>
      <w:numFmt w:val="bullet"/>
      <w:lvlText w:val="•"/>
      <w:lvlJc w:val="left"/>
      <w:pPr>
        <w:ind w:left="6641" w:hanging="526"/>
      </w:pPr>
      <w:rPr>
        <w:rFonts w:hint="default"/>
        <w:lang w:val="zh-CN" w:eastAsia="zh-CN" w:bidi="zh-CN"/>
      </w:rPr>
    </w:lvl>
    <w:lvl w:ilvl="7" w:tentative="0">
      <w:start w:val="0"/>
      <w:numFmt w:val="bullet"/>
      <w:lvlText w:val="•"/>
      <w:lvlJc w:val="left"/>
      <w:pPr>
        <w:ind w:left="7713" w:hanging="526"/>
      </w:pPr>
      <w:rPr>
        <w:rFonts w:hint="default"/>
        <w:lang w:val="zh-CN" w:eastAsia="zh-CN" w:bidi="zh-CN"/>
      </w:rPr>
    </w:lvl>
    <w:lvl w:ilvl="8" w:tentative="0">
      <w:start w:val="0"/>
      <w:numFmt w:val="bullet"/>
      <w:lvlText w:val="•"/>
      <w:lvlJc w:val="left"/>
      <w:pPr>
        <w:ind w:left="8785" w:hanging="526"/>
      </w:pPr>
      <w:rPr>
        <w:rFonts w:hint="default"/>
        <w:lang w:val="zh-CN" w:eastAsia="zh-CN" w:bidi="zh-CN"/>
      </w:rPr>
    </w:lvl>
  </w:abstractNum>
  <w:abstractNum w:abstractNumId="86">
    <w:nsid w:val="4AD1D84F"/>
    <w:multiLevelType w:val="multilevel"/>
    <w:tmpl w:val="4AD1D84F"/>
    <w:lvl w:ilvl="0" w:tentative="0">
      <w:start w:val="1"/>
      <w:numFmt w:val="decimal"/>
      <w:lvlText w:val="%1."/>
      <w:lvlJc w:val="left"/>
      <w:pPr>
        <w:ind w:left="161" w:hanging="211"/>
        <w:jc w:val="right"/>
      </w:pPr>
      <w:rPr>
        <w:rFonts w:hint="default" w:ascii="宋体" w:hAnsi="宋体" w:eastAsia="宋体" w:cs="宋体"/>
        <w:spacing w:val="-30"/>
        <w:w w:val="100"/>
        <w:sz w:val="19"/>
        <w:szCs w:val="19"/>
        <w:lang w:val="zh-CN" w:eastAsia="zh-CN" w:bidi="zh-CN"/>
      </w:rPr>
    </w:lvl>
    <w:lvl w:ilvl="1" w:tentative="0">
      <w:start w:val="0"/>
      <w:numFmt w:val="bullet"/>
      <w:lvlText w:val="•"/>
      <w:lvlJc w:val="left"/>
      <w:pPr>
        <w:ind w:left="1237" w:hanging="211"/>
      </w:pPr>
      <w:rPr>
        <w:rFonts w:hint="default"/>
        <w:lang w:val="zh-CN" w:eastAsia="zh-CN" w:bidi="zh-CN"/>
      </w:rPr>
    </w:lvl>
    <w:lvl w:ilvl="2" w:tentative="0">
      <w:start w:val="0"/>
      <w:numFmt w:val="bullet"/>
      <w:lvlText w:val="•"/>
      <w:lvlJc w:val="left"/>
      <w:pPr>
        <w:ind w:left="2314" w:hanging="211"/>
      </w:pPr>
      <w:rPr>
        <w:rFonts w:hint="default"/>
        <w:lang w:val="zh-CN" w:eastAsia="zh-CN" w:bidi="zh-CN"/>
      </w:rPr>
    </w:lvl>
    <w:lvl w:ilvl="3" w:tentative="0">
      <w:start w:val="0"/>
      <w:numFmt w:val="bullet"/>
      <w:lvlText w:val="•"/>
      <w:lvlJc w:val="left"/>
      <w:pPr>
        <w:ind w:left="3391" w:hanging="211"/>
      </w:pPr>
      <w:rPr>
        <w:rFonts w:hint="default"/>
        <w:lang w:val="zh-CN" w:eastAsia="zh-CN" w:bidi="zh-CN"/>
      </w:rPr>
    </w:lvl>
    <w:lvl w:ilvl="4" w:tentative="0">
      <w:start w:val="0"/>
      <w:numFmt w:val="bullet"/>
      <w:lvlText w:val="•"/>
      <w:lvlJc w:val="left"/>
      <w:pPr>
        <w:ind w:left="4468" w:hanging="211"/>
      </w:pPr>
      <w:rPr>
        <w:rFonts w:hint="default"/>
        <w:lang w:val="zh-CN" w:eastAsia="zh-CN" w:bidi="zh-CN"/>
      </w:rPr>
    </w:lvl>
    <w:lvl w:ilvl="5" w:tentative="0">
      <w:start w:val="0"/>
      <w:numFmt w:val="bullet"/>
      <w:lvlText w:val="•"/>
      <w:lvlJc w:val="left"/>
      <w:pPr>
        <w:ind w:left="5545" w:hanging="211"/>
      </w:pPr>
      <w:rPr>
        <w:rFonts w:hint="default"/>
        <w:lang w:val="zh-CN" w:eastAsia="zh-CN" w:bidi="zh-CN"/>
      </w:rPr>
    </w:lvl>
    <w:lvl w:ilvl="6" w:tentative="0">
      <w:start w:val="0"/>
      <w:numFmt w:val="bullet"/>
      <w:lvlText w:val="•"/>
      <w:lvlJc w:val="left"/>
      <w:pPr>
        <w:ind w:left="6622" w:hanging="211"/>
      </w:pPr>
      <w:rPr>
        <w:rFonts w:hint="default"/>
        <w:lang w:val="zh-CN" w:eastAsia="zh-CN" w:bidi="zh-CN"/>
      </w:rPr>
    </w:lvl>
    <w:lvl w:ilvl="7" w:tentative="0">
      <w:start w:val="0"/>
      <w:numFmt w:val="bullet"/>
      <w:lvlText w:val="•"/>
      <w:lvlJc w:val="left"/>
      <w:pPr>
        <w:ind w:left="7699" w:hanging="211"/>
      </w:pPr>
      <w:rPr>
        <w:rFonts w:hint="default"/>
        <w:lang w:val="zh-CN" w:eastAsia="zh-CN" w:bidi="zh-CN"/>
      </w:rPr>
    </w:lvl>
    <w:lvl w:ilvl="8" w:tentative="0">
      <w:start w:val="0"/>
      <w:numFmt w:val="bullet"/>
      <w:lvlText w:val="•"/>
      <w:lvlJc w:val="left"/>
      <w:pPr>
        <w:ind w:left="8776" w:hanging="211"/>
      </w:pPr>
      <w:rPr>
        <w:rFonts w:hint="default"/>
        <w:lang w:val="zh-CN" w:eastAsia="zh-CN" w:bidi="zh-CN"/>
      </w:rPr>
    </w:lvl>
  </w:abstractNum>
  <w:abstractNum w:abstractNumId="87">
    <w:nsid w:val="4D63189B"/>
    <w:multiLevelType w:val="multilevel"/>
    <w:tmpl w:val="4D63189B"/>
    <w:lvl w:ilvl="0" w:tentative="0">
      <w:start w:val="1"/>
      <w:numFmt w:val="decimal"/>
      <w:lvlText w:val="（%1）"/>
      <w:lvlJc w:val="left"/>
      <w:pPr>
        <w:ind w:left="1108" w:hanging="527"/>
      </w:pPr>
      <w:rPr>
        <w:rFonts w:hint="default" w:ascii="宋体" w:hAnsi="宋体" w:eastAsia="宋体" w:cs="宋体"/>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88">
    <w:nsid w:val="4FA7FC34"/>
    <w:multiLevelType w:val="multilevel"/>
    <w:tmpl w:val="4FA7FC34"/>
    <w:lvl w:ilvl="0" w:tentative="0">
      <w:start w:val="2"/>
      <w:numFmt w:val="decimal"/>
      <w:lvlText w:val="%1."/>
      <w:lvlJc w:val="left"/>
      <w:pPr>
        <w:ind w:left="1063" w:hanging="317"/>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89">
    <w:nsid w:val="4FB438A5"/>
    <w:multiLevelType w:val="multilevel"/>
    <w:tmpl w:val="4FB438A5"/>
    <w:lvl w:ilvl="0" w:tentative="0">
      <w:start w:val="15"/>
      <w:numFmt w:val="decimal"/>
      <w:lvlText w:val="%1"/>
      <w:lvlJc w:val="left"/>
      <w:pPr>
        <w:ind w:left="1047" w:hanging="466"/>
      </w:pPr>
      <w:rPr>
        <w:rFonts w:hint="default"/>
        <w:lang w:val="zh-CN" w:eastAsia="zh-CN" w:bidi="zh-CN"/>
      </w:rPr>
    </w:lvl>
    <w:lvl w:ilvl="1" w:tentative="0">
      <w:start w:val="3"/>
      <w:numFmt w:val="decimal"/>
      <w:lvlText w:val="%1.%2"/>
      <w:lvlJc w:val="left"/>
      <w:pPr>
        <w:ind w:left="1047" w:hanging="466"/>
        <w:jc w:val="right"/>
      </w:pPr>
      <w:rPr>
        <w:rFonts w:hint="default" w:ascii="微软雅黑" w:hAnsi="微软雅黑" w:eastAsia="微软雅黑" w:cs="微软雅黑"/>
        <w:b/>
        <w:bCs/>
        <w:spacing w:val="0"/>
        <w:w w:val="81"/>
        <w:sz w:val="19"/>
        <w:szCs w:val="19"/>
        <w:lang w:val="zh-CN" w:eastAsia="zh-CN" w:bidi="zh-CN"/>
      </w:rPr>
    </w:lvl>
    <w:lvl w:ilvl="2" w:tentative="0">
      <w:start w:val="1"/>
      <w:numFmt w:val="decimal"/>
      <w:lvlText w:val="%1.%2.%3"/>
      <w:lvlJc w:val="left"/>
      <w:pPr>
        <w:ind w:left="582" w:hanging="631"/>
        <w:jc w:val="right"/>
      </w:pPr>
      <w:rPr>
        <w:rFonts w:hint="default" w:ascii="宋体" w:hAnsi="宋体" w:eastAsia="宋体" w:cs="宋体"/>
        <w:w w:val="100"/>
        <w:sz w:val="19"/>
        <w:szCs w:val="19"/>
        <w:lang w:val="zh-CN" w:eastAsia="zh-CN" w:bidi="zh-CN"/>
      </w:rPr>
    </w:lvl>
    <w:lvl w:ilvl="3" w:tentative="0">
      <w:start w:val="1"/>
      <w:numFmt w:val="decimal"/>
      <w:lvlText w:val="（%4）"/>
      <w:lvlJc w:val="left"/>
      <w:pPr>
        <w:ind w:left="326" w:hanging="527"/>
      </w:pPr>
      <w:rPr>
        <w:rFonts w:hint="default" w:ascii="宋体" w:hAnsi="宋体" w:eastAsia="宋体" w:cs="宋体"/>
        <w:spacing w:val="-2"/>
        <w:w w:val="100"/>
        <w:sz w:val="19"/>
        <w:szCs w:val="19"/>
        <w:lang w:val="zh-CN" w:eastAsia="zh-CN" w:bidi="zh-CN"/>
      </w:rPr>
    </w:lvl>
    <w:lvl w:ilvl="4" w:tentative="0">
      <w:start w:val="0"/>
      <w:numFmt w:val="bullet"/>
      <w:lvlText w:val="•"/>
      <w:lvlJc w:val="left"/>
      <w:pPr>
        <w:ind w:left="2744" w:hanging="527"/>
      </w:pPr>
      <w:rPr>
        <w:rFonts w:hint="default"/>
        <w:lang w:val="zh-CN" w:eastAsia="zh-CN" w:bidi="zh-CN"/>
      </w:rPr>
    </w:lvl>
    <w:lvl w:ilvl="5" w:tentative="0">
      <w:start w:val="0"/>
      <w:numFmt w:val="bullet"/>
      <w:lvlText w:val="•"/>
      <w:lvlJc w:val="left"/>
      <w:pPr>
        <w:ind w:left="4108" w:hanging="527"/>
      </w:pPr>
      <w:rPr>
        <w:rFonts w:hint="default"/>
        <w:lang w:val="zh-CN" w:eastAsia="zh-CN" w:bidi="zh-CN"/>
      </w:rPr>
    </w:lvl>
    <w:lvl w:ilvl="6" w:tentative="0">
      <w:start w:val="0"/>
      <w:numFmt w:val="bullet"/>
      <w:lvlText w:val="•"/>
      <w:lvlJc w:val="left"/>
      <w:pPr>
        <w:ind w:left="5472" w:hanging="527"/>
      </w:pPr>
      <w:rPr>
        <w:rFonts w:hint="default"/>
        <w:lang w:val="zh-CN" w:eastAsia="zh-CN" w:bidi="zh-CN"/>
      </w:rPr>
    </w:lvl>
    <w:lvl w:ilvl="7" w:tentative="0">
      <w:start w:val="0"/>
      <w:numFmt w:val="bullet"/>
      <w:lvlText w:val="•"/>
      <w:lvlJc w:val="left"/>
      <w:pPr>
        <w:ind w:left="6837" w:hanging="527"/>
      </w:pPr>
      <w:rPr>
        <w:rFonts w:hint="default"/>
        <w:lang w:val="zh-CN" w:eastAsia="zh-CN" w:bidi="zh-CN"/>
      </w:rPr>
    </w:lvl>
    <w:lvl w:ilvl="8" w:tentative="0">
      <w:start w:val="0"/>
      <w:numFmt w:val="bullet"/>
      <w:lvlText w:val="•"/>
      <w:lvlJc w:val="left"/>
      <w:pPr>
        <w:ind w:left="8201" w:hanging="527"/>
      </w:pPr>
      <w:rPr>
        <w:rFonts w:hint="default"/>
        <w:lang w:val="zh-CN" w:eastAsia="zh-CN" w:bidi="zh-CN"/>
      </w:rPr>
    </w:lvl>
  </w:abstractNum>
  <w:abstractNum w:abstractNumId="90">
    <w:nsid w:val="51C4BC33"/>
    <w:multiLevelType w:val="multilevel"/>
    <w:tmpl w:val="51C4BC33"/>
    <w:lvl w:ilvl="0" w:tentative="0">
      <w:start w:val="1"/>
      <w:numFmt w:val="decimal"/>
      <w:lvlText w:val="（%1）"/>
      <w:lvlJc w:val="left"/>
      <w:pPr>
        <w:ind w:left="1273" w:hanging="527"/>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91">
    <w:nsid w:val="54701CA1"/>
    <w:multiLevelType w:val="multilevel"/>
    <w:tmpl w:val="54701CA1"/>
    <w:lvl w:ilvl="0" w:tentative="0">
      <w:start w:val="1"/>
      <w:numFmt w:val="decimal"/>
      <w:lvlText w:val="（%1）"/>
      <w:lvlJc w:val="left"/>
      <w:pPr>
        <w:ind w:left="1108" w:hanging="527"/>
      </w:pPr>
      <w:rPr>
        <w:rFonts w:hint="default" w:ascii="宋体" w:hAnsi="宋体" w:eastAsia="宋体" w:cs="宋体"/>
        <w:spacing w:val="-45"/>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92">
    <w:nsid w:val="59ADCABA"/>
    <w:multiLevelType w:val="multilevel"/>
    <w:tmpl w:val="59ADCABA"/>
    <w:lvl w:ilvl="0" w:tentative="0">
      <w:start w:val="1"/>
      <w:numFmt w:val="decimal"/>
      <w:lvlText w:val="%1."/>
      <w:lvlJc w:val="left"/>
      <w:pPr>
        <w:ind w:left="326" w:hanging="211"/>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381" w:hanging="211"/>
      </w:pPr>
      <w:rPr>
        <w:rFonts w:hint="default"/>
        <w:lang w:val="zh-CN" w:eastAsia="zh-CN" w:bidi="zh-CN"/>
      </w:rPr>
    </w:lvl>
    <w:lvl w:ilvl="2" w:tentative="0">
      <w:start w:val="0"/>
      <w:numFmt w:val="bullet"/>
      <w:lvlText w:val="•"/>
      <w:lvlJc w:val="left"/>
      <w:pPr>
        <w:ind w:left="2442" w:hanging="211"/>
      </w:pPr>
      <w:rPr>
        <w:rFonts w:hint="default"/>
        <w:lang w:val="zh-CN" w:eastAsia="zh-CN" w:bidi="zh-CN"/>
      </w:rPr>
    </w:lvl>
    <w:lvl w:ilvl="3" w:tentative="0">
      <w:start w:val="0"/>
      <w:numFmt w:val="bullet"/>
      <w:lvlText w:val="•"/>
      <w:lvlJc w:val="left"/>
      <w:pPr>
        <w:ind w:left="3503" w:hanging="211"/>
      </w:pPr>
      <w:rPr>
        <w:rFonts w:hint="default"/>
        <w:lang w:val="zh-CN" w:eastAsia="zh-CN" w:bidi="zh-CN"/>
      </w:rPr>
    </w:lvl>
    <w:lvl w:ilvl="4" w:tentative="0">
      <w:start w:val="0"/>
      <w:numFmt w:val="bullet"/>
      <w:lvlText w:val="•"/>
      <w:lvlJc w:val="left"/>
      <w:pPr>
        <w:ind w:left="4564" w:hanging="211"/>
      </w:pPr>
      <w:rPr>
        <w:rFonts w:hint="default"/>
        <w:lang w:val="zh-CN" w:eastAsia="zh-CN" w:bidi="zh-CN"/>
      </w:rPr>
    </w:lvl>
    <w:lvl w:ilvl="5" w:tentative="0">
      <w:start w:val="0"/>
      <w:numFmt w:val="bullet"/>
      <w:lvlText w:val="•"/>
      <w:lvlJc w:val="left"/>
      <w:pPr>
        <w:ind w:left="5625" w:hanging="211"/>
      </w:pPr>
      <w:rPr>
        <w:rFonts w:hint="default"/>
        <w:lang w:val="zh-CN" w:eastAsia="zh-CN" w:bidi="zh-CN"/>
      </w:rPr>
    </w:lvl>
    <w:lvl w:ilvl="6" w:tentative="0">
      <w:start w:val="0"/>
      <w:numFmt w:val="bullet"/>
      <w:lvlText w:val="•"/>
      <w:lvlJc w:val="left"/>
      <w:pPr>
        <w:ind w:left="6686" w:hanging="211"/>
      </w:pPr>
      <w:rPr>
        <w:rFonts w:hint="default"/>
        <w:lang w:val="zh-CN" w:eastAsia="zh-CN" w:bidi="zh-CN"/>
      </w:rPr>
    </w:lvl>
    <w:lvl w:ilvl="7" w:tentative="0">
      <w:start w:val="0"/>
      <w:numFmt w:val="bullet"/>
      <w:lvlText w:val="•"/>
      <w:lvlJc w:val="left"/>
      <w:pPr>
        <w:ind w:left="7747" w:hanging="211"/>
      </w:pPr>
      <w:rPr>
        <w:rFonts w:hint="default"/>
        <w:lang w:val="zh-CN" w:eastAsia="zh-CN" w:bidi="zh-CN"/>
      </w:rPr>
    </w:lvl>
    <w:lvl w:ilvl="8" w:tentative="0">
      <w:start w:val="0"/>
      <w:numFmt w:val="bullet"/>
      <w:lvlText w:val="•"/>
      <w:lvlJc w:val="left"/>
      <w:pPr>
        <w:ind w:left="8808" w:hanging="211"/>
      </w:pPr>
      <w:rPr>
        <w:rFonts w:hint="default"/>
        <w:lang w:val="zh-CN" w:eastAsia="zh-CN" w:bidi="zh-CN"/>
      </w:rPr>
    </w:lvl>
  </w:abstractNum>
  <w:abstractNum w:abstractNumId="93">
    <w:nsid w:val="59EEFD2A"/>
    <w:multiLevelType w:val="multilevel"/>
    <w:tmpl w:val="59EEFD2A"/>
    <w:lvl w:ilvl="0" w:tentative="0">
      <w:start w:val="1"/>
      <w:numFmt w:val="decimal"/>
      <w:lvlText w:val="（%1）"/>
      <w:lvlJc w:val="left"/>
      <w:pPr>
        <w:ind w:left="1108" w:hanging="527"/>
      </w:pPr>
      <w:rPr>
        <w:rFonts w:hint="default" w:ascii="宋体" w:hAnsi="宋体" w:eastAsia="宋体" w:cs="宋体"/>
        <w:spacing w:val="-6"/>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94">
    <w:nsid w:val="5F471D00"/>
    <w:multiLevelType w:val="singleLevel"/>
    <w:tmpl w:val="5F471D00"/>
    <w:lvl w:ilvl="0" w:tentative="0">
      <w:start w:val="3"/>
      <w:numFmt w:val="decimal"/>
      <w:suff w:val="nothing"/>
      <w:lvlText w:val="%1、"/>
      <w:lvlJc w:val="left"/>
    </w:lvl>
  </w:abstractNum>
  <w:abstractNum w:abstractNumId="95">
    <w:nsid w:val="5FCE4367"/>
    <w:multiLevelType w:val="multilevel"/>
    <w:tmpl w:val="5FCE4367"/>
    <w:lvl w:ilvl="0" w:tentative="0">
      <w:start w:val="1"/>
      <w:numFmt w:val="decimal"/>
      <w:lvlText w:val="（%1）"/>
      <w:lvlJc w:val="left"/>
      <w:pPr>
        <w:ind w:left="1273" w:hanging="527"/>
      </w:pPr>
      <w:rPr>
        <w:rFonts w:hint="default"/>
        <w:spacing w:val="-31"/>
        <w:sz w:val="19"/>
        <w:szCs w:val="19"/>
        <w:u w:val="single" w:color="000000"/>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96">
    <w:nsid w:val="610EFE5C"/>
    <w:multiLevelType w:val="multilevel"/>
    <w:tmpl w:val="610EFE5C"/>
    <w:lvl w:ilvl="0" w:tentative="0">
      <w:start w:val="9"/>
      <w:numFmt w:val="decimal"/>
      <w:lvlText w:val="%1"/>
      <w:lvlJc w:val="left"/>
      <w:pPr>
        <w:ind w:left="942" w:hanging="360"/>
      </w:pPr>
      <w:rPr>
        <w:rFonts w:hint="default"/>
        <w:lang w:val="zh-CN" w:eastAsia="zh-CN" w:bidi="zh-CN"/>
      </w:rPr>
    </w:lvl>
    <w:lvl w:ilvl="1" w:tentative="0">
      <w:start w:val="4"/>
      <w:numFmt w:val="decimal"/>
      <w:lvlText w:val="%1.%2"/>
      <w:lvlJc w:val="left"/>
      <w:pPr>
        <w:ind w:left="942"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167" w:hanging="586"/>
      </w:pPr>
      <w:rPr>
        <w:rFonts w:hint="default" w:ascii="宋体" w:hAnsi="宋体" w:eastAsia="宋体" w:cs="宋体"/>
        <w:w w:val="100"/>
        <w:sz w:val="21"/>
        <w:szCs w:val="21"/>
        <w:lang w:val="zh-CN" w:eastAsia="zh-CN" w:bidi="zh-CN"/>
      </w:rPr>
    </w:lvl>
    <w:lvl w:ilvl="3" w:tentative="0">
      <w:start w:val="0"/>
      <w:numFmt w:val="bullet"/>
      <w:lvlText w:val="•"/>
      <w:lvlJc w:val="left"/>
      <w:pPr>
        <w:ind w:left="3331" w:hanging="586"/>
      </w:pPr>
      <w:rPr>
        <w:rFonts w:hint="default"/>
        <w:lang w:val="zh-CN" w:eastAsia="zh-CN" w:bidi="zh-CN"/>
      </w:rPr>
    </w:lvl>
    <w:lvl w:ilvl="4" w:tentative="0">
      <w:start w:val="0"/>
      <w:numFmt w:val="bullet"/>
      <w:lvlText w:val="•"/>
      <w:lvlJc w:val="left"/>
      <w:pPr>
        <w:ind w:left="4416" w:hanging="586"/>
      </w:pPr>
      <w:rPr>
        <w:rFonts w:hint="default"/>
        <w:lang w:val="zh-CN" w:eastAsia="zh-CN" w:bidi="zh-CN"/>
      </w:rPr>
    </w:lvl>
    <w:lvl w:ilvl="5" w:tentative="0">
      <w:start w:val="0"/>
      <w:numFmt w:val="bullet"/>
      <w:lvlText w:val="•"/>
      <w:lvlJc w:val="left"/>
      <w:pPr>
        <w:ind w:left="5502" w:hanging="586"/>
      </w:pPr>
      <w:rPr>
        <w:rFonts w:hint="default"/>
        <w:lang w:val="zh-CN" w:eastAsia="zh-CN" w:bidi="zh-CN"/>
      </w:rPr>
    </w:lvl>
    <w:lvl w:ilvl="6" w:tentative="0">
      <w:start w:val="0"/>
      <w:numFmt w:val="bullet"/>
      <w:lvlText w:val="•"/>
      <w:lvlJc w:val="left"/>
      <w:pPr>
        <w:ind w:left="6587" w:hanging="586"/>
      </w:pPr>
      <w:rPr>
        <w:rFonts w:hint="default"/>
        <w:lang w:val="zh-CN" w:eastAsia="zh-CN" w:bidi="zh-CN"/>
      </w:rPr>
    </w:lvl>
    <w:lvl w:ilvl="7" w:tentative="0">
      <w:start w:val="0"/>
      <w:numFmt w:val="bullet"/>
      <w:lvlText w:val="•"/>
      <w:lvlJc w:val="left"/>
      <w:pPr>
        <w:ind w:left="7673" w:hanging="586"/>
      </w:pPr>
      <w:rPr>
        <w:rFonts w:hint="default"/>
        <w:lang w:val="zh-CN" w:eastAsia="zh-CN" w:bidi="zh-CN"/>
      </w:rPr>
    </w:lvl>
    <w:lvl w:ilvl="8" w:tentative="0">
      <w:start w:val="0"/>
      <w:numFmt w:val="bullet"/>
      <w:lvlText w:val="•"/>
      <w:lvlJc w:val="left"/>
      <w:pPr>
        <w:ind w:left="8758" w:hanging="586"/>
      </w:pPr>
      <w:rPr>
        <w:rFonts w:hint="default"/>
        <w:lang w:val="zh-CN" w:eastAsia="zh-CN" w:bidi="zh-CN"/>
      </w:rPr>
    </w:lvl>
  </w:abstractNum>
  <w:abstractNum w:abstractNumId="97">
    <w:nsid w:val="63B12E74"/>
    <w:multiLevelType w:val="multilevel"/>
    <w:tmpl w:val="63B12E74"/>
    <w:lvl w:ilvl="0" w:tentative="0">
      <w:start w:val="1"/>
      <w:numFmt w:val="decimal"/>
      <w:lvlText w:val="%1."/>
      <w:lvlJc w:val="left"/>
      <w:pPr>
        <w:ind w:left="326" w:hanging="317"/>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381" w:hanging="317"/>
      </w:pPr>
      <w:rPr>
        <w:rFonts w:hint="default"/>
        <w:lang w:val="zh-CN" w:eastAsia="zh-CN" w:bidi="zh-CN"/>
      </w:rPr>
    </w:lvl>
    <w:lvl w:ilvl="2" w:tentative="0">
      <w:start w:val="0"/>
      <w:numFmt w:val="bullet"/>
      <w:lvlText w:val="•"/>
      <w:lvlJc w:val="left"/>
      <w:pPr>
        <w:ind w:left="2442" w:hanging="317"/>
      </w:pPr>
      <w:rPr>
        <w:rFonts w:hint="default"/>
        <w:lang w:val="zh-CN" w:eastAsia="zh-CN" w:bidi="zh-CN"/>
      </w:rPr>
    </w:lvl>
    <w:lvl w:ilvl="3" w:tentative="0">
      <w:start w:val="0"/>
      <w:numFmt w:val="bullet"/>
      <w:lvlText w:val="•"/>
      <w:lvlJc w:val="left"/>
      <w:pPr>
        <w:ind w:left="3503" w:hanging="317"/>
      </w:pPr>
      <w:rPr>
        <w:rFonts w:hint="default"/>
        <w:lang w:val="zh-CN" w:eastAsia="zh-CN" w:bidi="zh-CN"/>
      </w:rPr>
    </w:lvl>
    <w:lvl w:ilvl="4" w:tentative="0">
      <w:start w:val="0"/>
      <w:numFmt w:val="bullet"/>
      <w:lvlText w:val="•"/>
      <w:lvlJc w:val="left"/>
      <w:pPr>
        <w:ind w:left="4564" w:hanging="317"/>
      </w:pPr>
      <w:rPr>
        <w:rFonts w:hint="default"/>
        <w:lang w:val="zh-CN" w:eastAsia="zh-CN" w:bidi="zh-CN"/>
      </w:rPr>
    </w:lvl>
    <w:lvl w:ilvl="5" w:tentative="0">
      <w:start w:val="0"/>
      <w:numFmt w:val="bullet"/>
      <w:lvlText w:val="•"/>
      <w:lvlJc w:val="left"/>
      <w:pPr>
        <w:ind w:left="5625" w:hanging="317"/>
      </w:pPr>
      <w:rPr>
        <w:rFonts w:hint="default"/>
        <w:lang w:val="zh-CN" w:eastAsia="zh-CN" w:bidi="zh-CN"/>
      </w:rPr>
    </w:lvl>
    <w:lvl w:ilvl="6" w:tentative="0">
      <w:start w:val="0"/>
      <w:numFmt w:val="bullet"/>
      <w:lvlText w:val="•"/>
      <w:lvlJc w:val="left"/>
      <w:pPr>
        <w:ind w:left="6686" w:hanging="317"/>
      </w:pPr>
      <w:rPr>
        <w:rFonts w:hint="default"/>
        <w:lang w:val="zh-CN" w:eastAsia="zh-CN" w:bidi="zh-CN"/>
      </w:rPr>
    </w:lvl>
    <w:lvl w:ilvl="7" w:tentative="0">
      <w:start w:val="0"/>
      <w:numFmt w:val="bullet"/>
      <w:lvlText w:val="•"/>
      <w:lvlJc w:val="left"/>
      <w:pPr>
        <w:ind w:left="7747" w:hanging="317"/>
      </w:pPr>
      <w:rPr>
        <w:rFonts w:hint="default"/>
        <w:lang w:val="zh-CN" w:eastAsia="zh-CN" w:bidi="zh-CN"/>
      </w:rPr>
    </w:lvl>
    <w:lvl w:ilvl="8" w:tentative="0">
      <w:start w:val="0"/>
      <w:numFmt w:val="bullet"/>
      <w:lvlText w:val="•"/>
      <w:lvlJc w:val="left"/>
      <w:pPr>
        <w:ind w:left="8808" w:hanging="317"/>
      </w:pPr>
      <w:rPr>
        <w:rFonts w:hint="default"/>
        <w:lang w:val="zh-CN" w:eastAsia="zh-CN" w:bidi="zh-CN"/>
      </w:rPr>
    </w:lvl>
  </w:abstractNum>
  <w:abstractNum w:abstractNumId="98">
    <w:nsid w:val="659EB354"/>
    <w:multiLevelType w:val="multilevel"/>
    <w:tmpl w:val="659EB354"/>
    <w:lvl w:ilvl="0" w:tentative="0">
      <w:start w:val="1"/>
      <w:numFmt w:val="decimal"/>
      <w:lvlText w:val="%1."/>
      <w:lvlJc w:val="left"/>
      <w:pPr>
        <w:ind w:left="161" w:hanging="316"/>
        <w:jc w:val="right"/>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237" w:hanging="316"/>
      </w:pPr>
      <w:rPr>
        <w:rFonts w:hint="default"/>
        <w:lang w:val="zh-CN" w:eastAsia="zh-CN" w:bidi="zh-CN"/>
      </w:rPr>
    </w:lvl>
    <w:lvl w:ilvl="2" w:tentative="0">
      <w:start w:val="0"/>
      <w:numFmt w:val="bullet"/>
      <w:lvlText w:val="•"/>
      <w:lvlJc w:val="left"/>
      <w:pPr>
        <w:ind w:left="2314" w:hanging="316"/>
      </w:pPr>
      <w:rPr>
        <w:rFonts w:hint="default"/>
        <w:lang w:val="zh-CN" w:eastAsia="zh-CN" w:bidi="zh-CN"/>
      </w:rPr>
    </w:lvl>
    <w:lvl w:ilvl="3" w:tentative="0">
      <w:start w:val="0"/>
      <w:numFmt w:val="bullet"/>
      <w:lvlText w:val="•"/>
      <w:lvlJc w:val="left"/>
      <w:pPr>
        <w:ind w:left="3391" w:hanging="316"/>
      </w:pPr>
      <w:rPr>
        <w:rFonts w:hint="default"/>
        <w:lang w:val="zh-CN" w:eastAsia="zh-CN" w:bidi="zh-CN"/>
      </w:rPr>
    </w:lvl>
    <w:lvl w:ilvl="4" w:tentative="0">
      <w:start w:val="0"/>
      <w:numFmt w:val="bullet"/>
      <w:lvlText w:val="•"/>
      <w:lvlJc w:val="left"/>
      <w:pPr>
        <w:ind w:left="4468" w:hanging="316"/>
      </w:pPr>
      <w:rPr>
        <w:rFonts w:hint="default"/>
        <w:lang w:val="zh-CN" w:eastAsia="zh-CN" w:bidi="zh-CN"/>
      </w:rPr>
    </w:lvl>
    <w:lvl w:ilvl="5" w:tentative="0">
      <w:start w:val="0"/>
      <w:numFmt w:val="bullet"/>
      <w:lvlText w:val="•"/>
      <w:lvlJc w:val="left"/>
      <w:pPr>
        <w:ind w:left="5545" w:hanging="316"/>
      </w:pPr>
      <w:rPr>
        <w:rFonts w:hint="default"/>
        <w:lang w:val="zh-CN" w:eastAsia="zh-CN" w:bidi="zh-CN"/>
      </w:rPr>
    </w:lvl>
    <w:lvl w:ilvl="6" w:tentative="0">
      <w:start w:val="0"/>
      <w:numFmt w:val="bullet"/>
      <w:lvlText w:val="•"/>
      <w:lvlJc w:val="left"/>
      <w:pPr>
        <w:ind w:left="6622" w:hanging="316"/>
      </w:pPr>
      <w:rPr>
        <w:rFonts w:hint="default"/>
        <w:lang w:val="zh-CN" w:eastAsia="zh-CN" w:bidi="zh-CN"/>
      </w:rPr>
    </w:lvl>
    <w:lvl w:ilvl="7" w:tentative="0">
      <w:start w:val="0"/>
      <w:numFmt w:val="bullet"/>
      <w:lvlText w:val="•"/>
      <w:lvlJc w:val="left"/>
      <w:pPr>
        <w:ind w:left="7699" w:hanging="316"/>
      </w:pPr>
      <w:rPr>
        <w:rFonts w:hint="default"/>
        <w:lang w:val="zh-CN" w:eastAsia="zh-CN" w:bidi="zh-CN"/>
      </w:rPr>
    </w:lvl>
    <w:lvl w:ilvl="8" w:tentative="0">
      <w:start w:val="0"/>
      <w:numFmt w:val="bullet"/>
      <w:lvlText w:val="•"/>
      <w:lvlJc w:val="left"/>
      <w:pPr>
        <w:ind w:left="8776" w:hanging="316"/>
      </w:pPr>
      <w:rPr>
        <w:rFonts w:hint="default"/>
        <w:lang w:val="zh-CN" w:eastAsia="zh-CN" w:bidi="zh-CN"/>
      </w:rPr>
    </w:lvl>
  </w:abstractNum>
  <w:abstractNum w:abstractNumId="99">
    <w:nsid w:val="68B298F7"/>
    <w:multiLevelType w:val="multilevel"/>
    <w:tmpl w:val="68B298F7"/>
    <w:lvl w:ilvl="0" w:tentative="0">
      <w:start w:val="5"/>
      <w:numFmt w:val="decimal"/>
      <w:lvlText w:val="%1"/>
      <w:lvlJc w:val="left"/>
      <w:pPr>
        <w:ind w:left="1107" w:hanging="360"/>
      </w:pPr>
      <w:rPr>
        <w:rFonts w:hint="default"/>
        <w:lang w:val="zh-CN" w:eastAsia="zh-CN" w:bidi="zh-CN"/>
      </w:rPr>
    </w:lvl>
    <w:lvl w:ilvl="1" w:tentative="0">
      <w:start w:val="6"/>
      <w:numFmt w:val="decimal"/>
      <w:lvlText w:val="%1.%2"/>
      <w:lvlJc w:val="left"/>
      <w:pPr>
        <w:ind w:left="1107"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424" w:hanging="526"/>
      </w:pPr>
      <w:rPr>
        <w:rFonts w:hint="default"/>
        <w:lang w:val="zh-CN" w:eastAsia="zh-CN" w:bidi="zh-CN"/>
      </w:rPr>
    </w:lvl>
    <w:lvl w:ilvl="4" w:tentative="0">
      <w:start w:val="0"/>
      <w:numFmt w:val="bullet"/>
      <w:lvlText w:val="•"/>
      <w:lvlJc w:val="left"/>
      <w:pPr>
        <w:ind w:left="4496" w:hanging="526"/>
      </w:pPr>
      <w:rPr>
        <w:rFonts w:hint="default"/>
        <w:lang w:val="zh-CN" w:eastAsia="zh-CN" w:bidi="zh-CN"/>
      </w:rPr>
    </w:lvl>
    <w:lvl w:ilvl="5" w:tentative="0">
      <w:start w:val="0"/>
      <w:numFmt w:val="bullet"/>
      <w:lvlText w:val="•"/>
      <w:lvlJc w:val="left"/>
      <w:pPr>
        <w:ind w:left="5568" w:hanging="526"/>
      </w:pPr>
      <w:rPr>
        <w:rFonts w:hint="default"/>
        <w:lang w:val="zh-CN" w:eastAsia="zh-CN" w:bidi="zh-CN"/>
      </w:rPr>
    </w:lvl>
    <w:lvl w:ilvl="6" w:tentative="0">
      <w:start w:val="0"/>
      <w:numFmt w:val="bullet"/>
      <w:lvlText w:val="•"/>
      <w:lvlJc w:val="left"/>
      <w:pPr>
        <w:ind w:left="6641" w:hanging="526"/>
      </w:pPr>
      <w:rPr>
        <w:rFonts w:hint="default"/>
        <w:lang w:val="zh-CN" w:eastAsia="zh-CN" w:bidi="zh-CN"/>
      </w:rPr>
    </w:lvl>
    <w:lvl w:ilvl="7" w:tentative="0">
      <w:start w:val="0"/>
      <w:numFmt w:val="bullet"/>
      <w:lvlText w:val="•"/>
      <w:lvlJc w:val="left"/>
      <w:pPr>
        <w:ind w:left="7713" w:hanging="526"/>
      </w:pPr>
      <w:rPr>
        <w:rFonts w:hint="default"/>
        <w:lang w:val="zh-CN" w:eastAsia="zh-CN" w:bidi="zh-CN"/>
      </w:rPr>
    </w:lvl>
    <w:lvl w:ilvl="8" w:tentative="0">
      <w:start w:val="0"/>
      <w:numFmt w:val="bullet"/>
      <w:lvlText w:val="•"/>
      <w:lvlJc w:val="left"/>
      <w:pPr>
        <w:ind w:left="8785" w:hanging="526"/>
      </w:pPr>
      <w:rPr>
        <w:rFonts w:hint="default"/>
        <w:lang w:val="zh-CN" w:eastAsia="zh-CN" w:bidi="zh-CN"/>
      </w:rPr>
    </w:lvl>
  </w:abstractNum>
  <w:abstractNum w:abstractNumId="100">
    <w:nsid w:val="6AFC2A1C"/>
    <w:multiLevelType w:val="multilevel"/>
    <w:tmpl w:val="6AFC2A1C"/>
    <w:lvl w:ilvl="0" w:tentative="0">
      <w:start w:val="20"/>
      <w:numFmt w:val="decimal"/>
      <w:lvlText w:val="%1"/>
      <w:lvlJc w:val="left"/>
      <w:pPr>
        <w:ind w:left="1212" w:hanging="466"/>
      </w:pPr>
      <w:rPr>
        <w:rFonts w:hint="default"/>
        <w:lang w:val="zh-CN" w:eastAsia="zh-CN" w:bidi="zh-CN"/>
      </w:rPr>
    </w:lvl>
    <w:lvl w:ilvl="1" w:tentative="0">
      <w:start w:val="3"/>
      <w:numFmt w:val="decimal"/>
      <w:lvlText w:val="%1.%2"/>
      <w:lvlJc w:val="left"/>
      <w:pPr>
        <w:ind w:left="1212" w:hanging="466"/>
      </w:pPr>
      <w:rPr>
        <w:rFonts w:hint="default" w:ascii="微软雅黑" w:hAnsi="微软雅黑" w:eastAsia="微软雅黑" w:cs="微软雅黑"/>
        <w:b/>
        <w:bCs/>
        <w:spacing w:val="0"/>
        <w:w w:val="81"/>
        <w:sz w:val="19"/>
        <w:szCs w:val="19"/>
        <w:lang w:val="zh-CN" w:eastAsia="zh-CN" w:bidi="zh-CN"/>
      </w:rPr>
    </w:lvl>
    <w:lvl w:ilvl="2" w:tentative="0">
      <w:start w:val="0"/>
      <w:numFmt w:val="bullet"/>
      <w:lvlText w:val="•"/>
      <w:lvlJc w:val="left"/>
      <w:pPr>
        <w:ind w:left="3162" w:hanging="466"/>
      </w:pPr>
      <w:rPr>
        <w:rFonts w:hint="default"/>
        <w:lang w:val="zh-CN" w:eastAsia="zh-CN" w:bidi="zh-CN"/>
      </w:rPr>
    </w:lvl>
    <w:lvl w:ilvl="3" w:tentative="0">
      <w:start w:val="0"/>
      <w:numFmt w:val="bullet"/>
      <w:lvlText w:val="•"/>
      <w:lvlJc w:val="left"/>
      <w:pPr>
        <w:ind w:left="4133" w:hanging="466"/>
      </w:pPr>
      <w:rPr>
        <w:rFonts w:hint="default"/>
        <w:lang w:val="zh-CN" w:eastAsia="zh-CN" w:bidi="zh-CN"/>
      </w:rPr>
    </w:lvl>
    <w:lvl w:ilvl="4" w:tentative="0">
      <w:start w:val="0"/>
      <w:numFmt w:val="bullet"/>
      <w:lvlText w:val="•"/>
      <w:lvlJc w:val="left"/>
      <w:pPr>
        <w:ind w:left="5104" w:hanging="466"/>
      </w:pPr>
      <w:rPr>
        <w:rFonts w:hint="default"/>
        <w:lang w:val="zh-CN" w:eastAsia="zh-CN" w:bidi="zh-CN"/>
      </w:rPr>
    </w:lvl>
    <w:lvl w:ilvl="5" w:tentative="0">
      <w:start w:val="0"/>
      <w:numFmt w:val="bullet"/>
      <w:lvlText w:val="•"/>
      <w:lvlJc w:val="left"/>
      <w:pPr>
        <w:ind w:left="6075" w:hanging="466"/>
      </w:pPr>
      <w:rPr>
        <w:rFonts w:hint="default"/>
        <w:lang w:val="zh-CN" w:eastAsia="zh-CN" w:bidi="zh-CN"/>
      </w:rPr>
    </w:lvl>
    <w:lvl w:ilvl="6" w:tentative="0">
      <w:start w:val="0"/>
      <w:numFmt w:val="bullet"/>
      <w:lvlText w:val="•"/>
      <w:lvlJc w:val="left"/>
      <w:pPr>
        <w:ind w:left="7046" w:hanging="466"/>
      </w:pPr>
      <w:rPr>
        <w:rFonts w:hint="default"/>
        <w:lang w:val="zh-CN" w:eastAsia="zh-CN" w:bidi="zh-CN"/>
      </w:rPr>
    </w:lvl>
    <w:lvl w:ilvl="7" w:tentative="0">
      <w:start w:val="0"/>
      <w:numFmt w:val="bullet"/>
      <w:lvlText w:val="•"/>
      <w:lvlJc w:val="left"/>
      <w:pPr>
        <w:ind w:left="8017" w:hanging="466"/>
      </w:pPr>
      <w:rPr>
        <w:rFonts w:hint="default"/>
        <w:lang w:val="zh-CN" w:eastAsia="zh-CN" w:bidi="zh-CN"/>
      </w:rPr>
    </w:lvl>
    <w:lvl w:ilvl="8" w:tentative="0">
      <w:start w:val="0"/>
      <w:numFmt w:val="bullet"/>
      <w:lvlText w:val="•"/>
      <w:lvlJc w:val="left"/>
      <w:pPr>
        <w:ind w:left="8988" w:hanging="466"/>
      </w:pPr>
      <w:rPr>
        <w:rFonts w:hint="default"/>
        <w:lang w:val="zh-CN" w:eastAsia="zh-CN" w:bidi="zh-CN"/>
      </w:rPr>
    </w:lvl>
  </w:abstractNum>
  <w:abstractNum w:abstractNumId="101">
    <w:nsid w:val="6C0BE2D1"/>
    <w:multiLevelType w:val="multilevel"/>
    <w:tmpl w:val="6C0BE2D1"/>
    <w:lvl w:ilvl="0" w:tentative="0">
      <w:start w:val="1"/>
      <w:numFmt w:val="decimal"/>
      <w:lvlText w:val="%1."/>
      <w:lvlJc w:val="left"/>
      <w:pPr>
        <w:ind w:left="161" w:hanging="316"/>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237" w:hanging="316"/>
      </w:pPr>
      <w:rPr>
        <w:rFonts w:hint="default"/>
        <w:lang w:val="zh-CN" w:eastAsia="zh-CN" w:bidi="zh-CN"/>
      </w:rPr>
    </w:lvl>
    <w:lvl w:ilvl="2" w:tentative="0">
      <w:start w:val="0"/>
      <w:numFmt w:val="bullet"/>
      <w:lvlText w:val="•"/>
      <w:lvlJc w:val="left"/>
      <w:pPr>
        <w:ind w:left="2314" w:hanging="316"/>
      </w:pPr>
      <w:rPr>
        <w:rFonts w:hint="default"/>
        <w:lang w:val="zh-CN" w:eastAsia="zh-CN" w:bidi="zh-CN"/>
      </w:rPr>
    </w:lvl>
    <w:lvl w:ilvl="3" w:tentative="0">
      <w:start w:val="0"/>
      <w:numFmt w:val="bullet"/>
      <w:lvlText w:val="•"/>
      <w:lvlJc w:val="left"/>
      <w:pPr>
        <w:ind w:left="3391" w:hanging="316"/>
      </w:pPr>
      <w:rPr>
        <w:rFonts w:hint="default"/>
        <w:lang w:val="zh-CN" w:eastAsia="zh-CN" w:bidi="zh-CN"/>
      </w:rPr>
    </w:lvl>
    <w:lvl w:ilvl="4" w:tentative="0">
      <w:start w:val="0"/>
      <w:numFmt w:val="bullet"/>
      <w:lvlText w:val="•"/>
      <w:lvlJc w:val="left"/>
      <w:pPr>
        <w:ind w:left="4468" w:hanging="316"/>
      </w:pPr>
      <w:rPr>
        <w:rFonts w:hint="default"/>
        <w:lang w:val="zh-CN" w:eastAsia="zh-CN" w:bidi="zh-CN"/>
      </w:rPr>
    </w:lvl>
    <w:lvl w:ilvl="5" w:tentative="0">
      <w:start w:val="0"/>
      <w:numFmt w:val="bullet"/>
      <w:lvlText w:val="•"/>
      <w:lvlJc w:val="left"/>
      <w:pPr>
        <w:ind w:left="5545" w:hanging="316"/>
      </w:pPr>
      <w:rPr>
        <w:rFonts w:hint="default"/>
        <w:lang w:val="zh-CN" w:eastAsia="zh-CN" w:bidi="zh-CN"/>
      </w:rPr>
    </w:lvl>
    <w:lvl w:ilvl="6" w:tentative="0">
      <w:start w:val="0"/>
      <w:numFmt w:val="bullet"/>
      <w:lvlText w:val="•"/>
      <w:lvlJc w:val="left"/>
      <w:pPr>
        <w:ind w:left="6622" w:hanging="316"/>
      </w:pPr>
      <w:rPr>
        <w:rFonts w:hint="default"/>
        <w:lang w:val="zh-CN" w:eastAsia="zh-CN" w:bidi="zh-CN"/>
      </w:rPr>
    </w:lvl>
    <w:lvl w:ilvl="7" w:tentative="0">
      <w:start w:val="0"/>
      <w:numFmt w:val="bullet"/>
      <w:lvlText w:val="•"/>
      <w:lvlJc w:val="left"/>
      <w:pPr>
        <w:ind w:left="7699" w:hanging="316"/>
      </w:pPr>
      <w:rPr>
        <w:rFonts w:hint="default"/>
        <w:lang w:val="zh-CN" w:eastAsia="zh-CN" w:bidi="zh-CN"/>
      </w:rPr>
    </w:lvl>
    <w:lvl w:ilvl="8" w:tentative="0">
      <w:start w:val="0"/>
      <w:numFmt w:val="bullet"/>
      <w:lvlText w:val="•"/>
      <w:lvlJc w:val="left"/>
      <w:pPr>
        <w:ind w:left="8776" w:hanging="316"/>
      </w:pPr>
      <w:rPr>
        <w:rFonts w:hint="default"/>
        <w:lang w:val="zh-CN" w:eastAsia="zh-CN" w:bidi="zh-CN"/>
      </w:rPr>
    </w:lvl>
  </w:abstractNum>
  <w:abstractNum w:abstractNumId="102">
    <w:nsid w:val="6D423078"/>
    <w:multiLevelType w:val="multilevel"/>
    <w:tmpl w:val="6D423078"/>
    <w:lvl w:ilvl="0" w:tentative="0">
      <w:start w:val="1"/>
      <w:numFmt w:val="decimal"/>
      <w:lvlText w:val="（%1）"/>
      <w:lvlJc w:val="left"/>
      <w:pPr>
        <w:ind w:left="110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103">
    <w:nsid w:val="70F95E71"/>
    <w:multiLevelType w:val="multilevel"/>
    <w:tmpl w:val="70F95E71"/>
    <w:lvl w:ilvl="0" w:tentative="0">
      <w:start w:val="1"/>
      <w:numFmt w:val="decimal"/>
      <w:lvlText w:val="（%1）"/>
      <w:lvlJc w:val="left"/>
      <w:pPr>
        <w:ind w:left="1273" w:hanging="527"/>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104">
    <w:nsid w:val="744F3566"/>
    <w:multiLevelType w:val="multilevel"/>
    <w:tmpl w:val="744F3566"/>
    <w:lvl w:ilvl="0" w:tentative="0">
      <w:start w:val="1"/>
      <w:numFmt w:val="decimal"/>
      <w:lvlText w:val="%1."/>
      <w:lvlJc w:val="left"/>
      <w:pPr>
        <w:ind w:left="161" w:hanging="316"/>
        <w:jc w:val="right"/>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237" w:hanging="316"/>
      </w:pPr>
      <w:rPr>
        <w:rFonts w:hint="default"/>
        <w:lang w:val="zh-CN" w:eastAsia="zh-CN" w:bidi="zh-CN"/>
      </w:rPr>
    </w:lvl>
    <w:lvl w:ilvl="2" w:tentative="0">
      <w:start w:val="0"/>
      <w:numFmt w:val="bullet"/>
      <w:lvlText w:val="•"/>
      <w:lvlJc w:val="left"/>
      <w:pPr>
        <w:ind w:left="2314" w:hanging="316"/>
      </w:pPr>
      <w:rPr>
        <w:rFonts w:hint="default"/>
        <w:lang w:val="zh-CN" w:eastAsia="zh-CN" w:bidi="zh-CN"/>
      </w:rPr>
    </w:lvl>
    <w:lvl w:ilvl="3" w:tentative="0">
      <w:start w:val="0"/>
      <w:numFmt w:val="bullet"/>
      <w:lvlText w:val="•"/>
      <w:lvlJc w:val="left"/>
      <w:pPr>
        <w:ind w:left="3391" w:hanging="316"/>
      </w:pPr>
      <w:rPr>
        <w:rFonts w:hint="default"/>
        <w:lang w:val="zh-CN" w:eastAsia="zh-CN" w:bidi="zh-CN"/>
      </w:rPr>
    </w:lvl>
    <w:lvl w:ilvl="4" w:tentative="0">
      <w:start w:val="0"/>
      <w:numFmt w:val="bullet"/>
      <w:lvlText w:val="•"/>
      <w:lvlJc w:val="left"/>
      <w:pPr>
        <w:ind w:left="4468" w:hanging="316"/>
      </w:pPr>
      <w:rPr>
        <w:rFonts w:hint="default"/>
        <w:lang w:val="zh-CN" w:eastAsia="zh-CN" w:bidi="zh-CN"/>
      </w:rPr>
    </w:lvl>
    <w:lvl w:ilvl="5" w:tentative="0">
      <w:start w:val="0"/>
      <w:numFmt w:val="bullet"/>
      <w:lvlText w:val="•"/>
      <w:lvlJc w:val="left"/>
      <w:pPr>
        <w:ind w:left="5545" w:hanging="316"/>
      </w:pPr>
      <w:rPr>
        <w:rFonts w:hint="default"/>
        <w:lang w:val="zh-CN" w:eastAsia="zh-CN" w:bidi="zh-CN"/>
      </w:rPr>
    </w:lvl>
    <w:lvl w:ilvl="6" w:tentative="0">
      <w:start w:val="0"/>
      <w:numFmt w:val="bullet"/>
      <w:lvlText w:val="•"/>
      <w:lvlJc w:val="left"/>
      <w:pPr>
        <w:ind w:left="6622" w:hanging="316"/>
      </w:pPr>
      <w:rPr>
        <w:rFonts w:hint="default"/>
        <w:lang w:val="zh-CN" w:eastAsia="zh-CN" w:bidi="zh-CN"/>
      </w:rPr>
    </w:lvl>
    <w:lvl w:ilvl="7" w:tentative="0">
      <w:start w:val="0"/>
      <w:numFmt w:val="bullet"/>
      <w:lvlText w:val="•"/>
      <w:lvlJc w:val="left"/>
      <w:pPr>
        <w:ind w:left="7699" w:hanging="316"/>
      </w:pPr>
      <w:rPr>
        <w:rFonts w:hint="default"/>
        <w:lang w:val="zh-CN" w:eastAsia="zh-CN" w:bidi="zh-CN"/>
      </w:rPr>
    </w:lvl>
    <w:lvl w:ilvl="8" w:tentative="0">
      <w:start w:val="0"/>
      <w:numFmt w:val="bullet"/>
      <w:lvlText w:val="•"/>
      <w:lvlJc w:val="left"/>
      <w:pPr>
        <w:ind w:left="8776" w:hanging="316"/>
      </w:pPr>
      <w:rPr>
        <w:rFonts w:hint="default"/>
        <w:lang w:val="zh-CN" w:eastAsia="zh-CN" w:bidi="zh-CN"/>
      </w:rPr>
    </w:lvl>
  </w:abstractNum>
  <w:abstractNum w:abstractNumId="105">
    <w:nsid w:val="7499D7B3"/>
    <w:multiLevelType w:val="multilevel"/>
    <w:tmpl w:val="7499D7B3"/>
    <w:lvl w:ilvl="0" w:tentative="0">
      <w:start w:val="1"/>
      <w:numFmt w:val="decimal"/>
      <w:lvlText w:val="%1."/>
      <w:lvlJc w:val="left"/>
      <w:pPr>
        <w:ind w:left="326" w:hanging="317"/>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381" w:hanging="317"/>
      </w:pPr>
      <w:rPr>
        <w:rFonts w:hint="default"/>
        <w:lang w:val="zh-CN" w:eastAsia="zh-CN" w:bidi="zh-CN"/>
      </w:rPr>
    </w:lvl>
    <w:lvl w:ilvl="2" w:tentative="0">
      <w:start w:val="0"/>
      <w:numFmt w:val="bullet"/>
      <w:lvlText w:val="•"/>
      <w:lvlJc w:val="left"/>
      <w:pPr>
        <w:ind w:left="2442" w:hanging="317"/>
      </w:pPr>
      <w:rPr>
        <w:rFonts w:hint="default"/>
        <w:lang w:val="zh-CN" w:eastAsia="zh-CN" w:bidi="zh-CN"/>
      </w:rPr>
    </w:lvl>
    <w:lvl w:ilvl="3" w:tentative="0">
      <w:start w:val="0"/>
      <w:numFmt w:val="bullet"/>
      <w:lvlText w:val="•"/>
      <w:lvlJc w:val="left"/>
      <w:pPr>
        <w:ind w:left="3503" w:hanging="317"/>
      </w:pPr>
      <w:rPr>
        <w:rFonts w:hint="default"/>
        <w:lang w:val="zh-CN" w:eastAsia="zh-CN" w:bidi="zh-CN"/>
      </w:rPr>
    </w:lvl>
    <w:lvl w:ilvl="4" w:tentative="0">
      <w:start w:val="0"/>
      <w:numFmt w:val="bullet"/>
      <w:lvlText w:val="•"/>
      <w:lvlJc w:val="left"/>
      <w:pPr>
        <w:ind w:left="4564" w:hanging="317"/>
      </w:pPr>
      <w:rPr>
        <w:rFonts w:hint="default"/>
        <w:lang w:val="zh-CN" w:eastAsia="zh-CN" w:bidi="zh-CN"/>
      </w:rPr>
    </w:lvl>
    <w:lvl w:ilvl="5" w:tentative="0">
      <w:start w:val="0"/>
      <w:numFmt w:val="bullet"/>
      <w:lvlText w:val="•"/>
      <w:lvlJc w:val="left"/>
      <w:pPr>
        <w:ind w:left="5625" w:hanging="317"/>
      </w:pPr>
      <w:rPr>
        <w:rFonts w:hint="default"/>
        <w:lang w:val="zh-CN" w:eastAsia="zh-CN" w:bidi="zh-CN"/>
      </w:rPr>
    </w:lvl>
    <w:lvl w:ilvl="6" w:tentative="0">
      <w:start w:val="0"/>
      <w:numFmt w:val="bullet"/>
      <w:lvlText w:val="•"/>
      <w:lvlJc w:val="left"/>
      <w:pPr>
        <w:ind w:left="6686" w:hanging="317"/>
      </w:pPr>
      <w:rPr>
        <w:rFonts w:hint="default"/>
        <w:lang w:val="zh-CN" w:eastAsia="zh-CN" w:bidi="zh-CN"/>
      </w:rPr>
    </w:lvl>
    <w:lvl w:ilvl="7" w:tentative="0">
      <w:start w:val="0"/>
      <w:numFmt w:val="bullet"/>
      <w:lvlText w:val="•"/>
      <w:lvlJc w:val="left"/>
      <w:pPr>
        <w:ind w:left="7747" w:hanging="317"/>
      </w:pPr>
      <w:rPr>
        <w:rFonts w:hint="default"/>
        <w:lang w:val="zh-CN" w:eastAsia="zh-CN" w:bidi="zh-CN"/>
      </w:rPr>
    </w:lvl>
    <w:lvl w:ilvl="8" w:tentative="0">
      <w:start w:val="0"/>
      <w:numFmt w:val="bullet"/>
      <w:lvlText w:val="•"/>
      <w:lvlJc w:val="left"/>
      <w:pPr>
        <w:ind w:left="8808" w:hanging="317"/>
      </w:pPr>
      <w:rPr>
        <w:rFonts w:hint="default"/>
        <w:lang w:val="zh-CN" w:eastAsia="zh-CN" w:bidi="zh-CN"/>
      </w:rPr>
    </w:lvl>
  </w:abstractNum>
  <w:abstractNum w:abstractNumId="106">
    <w:nsid w:val="77633216"/>
    <w:multiLevelType w:val="multilevel"/>
    <w:tmpl w:val="77633216"/>
    <w:lvl w:ilvl="0" w:tentative="0">
      <w:start w:val="1"/>
      <w:numFmt w:val="decimal"/>
      <w:lvlText w:val="%1."/>
      <w:lvlJc w:val="left"/>
      <w:pPr>
        <w:ind w:left="566" w:hanging="240"/>
        <w:jc w:val="right"/>
      </w:pPr>
      <w:rPr>
        <w:rFonts w:hint="default" w:ascii="微软雅黑" w:hAnsi="微软雅黑" w:eastAsia="微软雅黑" w:cs="微软雅黑"/>
        <w:b/>
        <w:bCs/>
        <w:spacing w:val="15"/>
        <w:w w:val="110"/>
        <w:sz w:val="19"/>
        <w:szCs w:val="19"/>
        <w:lang w:val="zh-CN" w:eastAsia="zh-CN" w:bidi="zh-CN"/>
      </w:rPr>
    </w:lvl>
    <w:lvl w:ilvl="1" w:tentative="0">
      <w:start w:val="1"/>
      <w:numFmt w:val="decimal"/>
      <w:lvlText w:val="%1.%2"/>
      <w:lvlJc w:val="left"/>
      <w:pPr>
        <w:ind w:left="747" w:hanging="421"/>
      </w:pPr>
      <w:rPr>
        <w:rFonts w:hint="default" w:ascii="微软雅黑" w:hAnsi="微软雅黑" w:eastAsia="微软雅黑" w:cs="微软雅黑"/>
        <w:b/>
        <w:bCs/>
        <w:spacing w:val="0"/>
        <w:w w:val="98"/>
        <w:sz w:val="21"/>
        <w:szCs w:val="21"/>
        <w:lang w:val="zh-CN" w:eastAsia="zh-CN" w:bidi="zh-CN"/>
      </w:rPr>
    </w:lvl>
    <w:lvl w:ilvl="2" w:tentative="0">
      <w:start w:val="1"/>
      <w:numFmt w:val="decimal"/>
      <w:lvlText w:val="%1.%2.%3"/>
      <w:lvlJc w:val="left"/>
      <w:pPr>
        <w:ind w:left="161" w:hanging="586"/>
        <w:jc w:val="right"/>
      </w:pPr>
      <w:rPr>
        <w:rFonts w:hint="default" w:ascii="宋体" w:hAnsi="宋体" w:eastAsia="宋体" w:cs="宋体"/>
        <w:w w:val="100"/>
        <w:sz w:val="21"/>
        <w:szCs w:val="21"/>
        <w:lang w:val="zh-CN" w:eastAsia="zh-CN" w:bidi="zh-CN"/>
      </w:rPr>
    </w:lvl>
    <w:lvl w:ilvl="3" w:tentative="0">
      <w:start w:val="1"/>
      <w:numFmt w:val="decimal"/>
      <w:lvlText w:val="%1.%2.%3.%4"/>
      <w:lvlJc w:val="left"/>
      <w:pPr>
        <w:ind w:left="326" w:hanging="902"/>
      </w:pPr>
      <w:rPr>
        <w:rFonts w:hint="default" w:ascii="宋体" w:hAnsi="宋体" w:eastAsia="宋体" w:cs="宋体"/>
        <w:w w:val="100"/>
        <w:sz w:val="21"/>
        <w:szCs w:val="21"/>
        <w:lang w:val="zh-CN" w:eastAsia="zh-CN" w:bidi="zh-CN"/>
      </w:rPr>
    </w:lvl>
    <w:lvl w:ilvl="4" w:tentative="0">
      <w:start w:val="0"/>
      <w:numFmt w:val="bullet"/>
      <w:lvlText w:val="•"/>
      <w:lvlJc w:val="left"/>
      <w:pPr>
        <w:ind w:left="940" w:hanging="902"/>
      </w:pPr>
      <w:rPr>
        <w:rFonts w:hint="default"/>
        <w:lang w:val="zh-CN" w:eastAsia="zh-CN" w:bidi="zh-CN"/>
      </w:rPr>
    </w:lvl>
    <w:lvl w:ilvl="5" w:tentative="0">
      <w:start w:val="0"/>
      <w:numFmt w:val="bullet"/>
      <w:lvlText w:val="•"/>
      <w:lvlJc w:val="left"/>
      <w:pPr>
        <w:ind w:left="1040" w:hanging="902"/>
      </w:pPr>
      <w:rPr>
        <w:rFonts w:hint="default"/>
        <w:lang w:val="zh-CN" w:eastAsia="zh-CN" w:bidi="zh-CN"/>
      </w:rPr>
    </w:lvl>
    <w:lvl w:ilvl="6" w:tentative="0">
      <w:start w:val="0"/>
      <w:numFmt w:val="bullet"/>
      <w:lvlText w:val="•"/>
      <w:lvlJc w:val="left"/>
      <w:pPr>
        <w:ind w:left="1100" w:hanging="902"/>
      </w:pPr>
      <w:rPr>
        <w:rFonts w:hint="default"/>
        <w:lang w:val="zh-CN" w:eastAsia="zh-CN" w:bidi="zh-CN"/>
      </w:rPr>
    </w:lvl>
    <w:lvl w:ilvl="7" w:tentative="0">
      <w:start w:val="0"/>
      <w:numFmt w:val="bullet"/>
      <w:lvlText w:val="•"/>
      <w:lvlJc w:val="left"/>
      <w:pPr>
        <w:ind w:left="1160" w:hanging="902"/>
      </w:pPr>
      <w:rPr>
        <w:rFonts w:hint="default"/>
        <w:lang w:val="zh-CN" w:eastAsia="zh-CN" w:bidi="zh-CN"/>
      </w:rPr>
    </w:lvl>
    <w:lvl w:ilvl="8" w:tentative="0">
      <w:start w:val="0"/>
      <w:numFmt w:val="bullet"/>
      <w:lvlText w:val="•"/>
      <w:lvlJc w:val="left"/>
      <w:pPr>
        <w:ind w:left="1220" w:hanging="902"/>
      </w:pPr>
      <w:rPr>
        <w:rFonts w:hint="default"/>
        <w:lang w:val="zh-CN" w:eastAsia="zh-CN" w:bidi="zh-CN"/>
      </w:rPr>
    </w:lvl>
  </w:abstractNum>
  <w:num w:numId="1">
    <w:abstractNumId w:val="80"/>
  </w:num>
  <w:num w:numId="2">
    <w:abstractNumId w:val="52"/>
  </w:num>
  <w:num w:numId="3">
    <w:abstractNumId w:val="33"/>
  </w:num>
  <w:num w:numId="4">
    <w:abstractNumId w:val="92"/>
  </w:num>
  <w:num w:numId="5">
    <w:abstractNumId w:val="106"/>
  </w:num>
  <w:num w:numId="6">
    <w:abstractNumId w:val="36"/>
  </w:num>
  <w:num w:numId="7">
    <w:abstractNumId w:val="23"/>
  </w:num>
  <w:num w:numId="8">
    <w:abstractNumId w:val="74"/>
  </w:num>
  <w:num w:numId="9">
    <w:abstractNumId w:val="41"/>
  </w:num>
  <w:num w:numId="10">
    <w:abstractNumId w:val="9"/>
  </w:num>
  <w:num w:numId="11">
    <w:abstractNumId w:val="93"/>
  </w:num>
  <w:num w:numId="12">
    <w:abstractNumId w:val="25"/>
  </w:num>
  <w:num w:numId="13">
    <w:abstractNumId w:val="20"/>
  </w:num>
  <w:num w:numId="14">
    <w:abstractNumId w:val="5"/>
  </w:num>
  <w:num w:numId="15">
    <w:abstractNumId w:val="18"/>
  </w:num>
  <w:num w:numId="16">
    <w:abstractNumId w:val="11"/>
  </w:num>
  <w:num w:numId="17">
    <w:abstractNumId w:val="4"/>
  </w:num>
  <w:num w:numId="18">
    <w:abstractNumId w:val="65"/>
  </w:num>
  <w:num w:numId="19">
    <w:abstractNumId w:val="26"/>
  </w:num>
  <w:num w:numId="20">
    <w:abstractNumId w:val="61"/>
  </w:num>
  <w:num w:numId="21">
    <w:abstractNumId w:val="34"/>
  </w:num>
  <w:num w:numId="22">
    <w:abstractNumId w:val="99"/>
  </w:num>
  <w:num w:numId="23">
    <w:abstractNumId w:val="0"/>
  </w:num>
  <w:num w:numId="24">
    <w:abstractNumId w:val="24"/>
  </w:num>
  <w:num w:numId="25">
    <w:abstractNumId w:val="50"/>
  </w:num>
  <w:num w:numId="26">
    <w:abstractNumId w:val="59"/>
  </w:num>
  <w:num w:numId="27">
    <w:abstractNumId w:val="38"/>
  </w:num>
  <w:num w:numId="28">
    <w:abstractNumId w:val="63"/>
  </w:num>
  <w:num w:numId="29">
    <w:abstractNumId w:val="85"/>
  </w:num>
  <w:num w:numId="30">
    <w:abstractNumId w:val="17"/>
  </w:num>
  <w:num w:numId="31">
    <w:abstractNumId w:val="96"/>
  </w:num>
  <w:num w:numId="32">
    <w:abstractNumId w:val="1"/>
  </w:num>
  <w:num w:numId="33">
    <w:abstractNumId w:val="3"/>
  </w:num>
  <w:num w:numId="34">
    <w:abstractNumId w:val="53"/>
  </w:num>
  <w:num w:numId="35">
    <w:abstractNumId w:val="14"/>
  </w:num>
  <w:num w:numId="36">
    <w:abstractNumId w:val="27"/>
  </w:num>
  <w:num w:numId="37">
    <w:abstractNumId w:val="29"/>
  </w:num>
  <w:num w:numId="38">
    <w:abstractNumId w:val="49"/>
  </w:num>
  <w:num w:numId="39">
    <w:abstractNumId w:val="95"/>
  </w:num>
  <w:num w:numId="40">
    <w:abstractNumId w:val="47"/>
  </w:num>
  <w:num w:numId="41">
    <w:abstractNumId w:val="91"/>
  </w:num>
  <w:num w:numId="42">
    <w:abstractNumId w:val="67"/>
  </w:num>
  <w:num w:numId="43">
    <w:abstractNumId w:val="8"/>
  </w:num>
  <w:num w:numId="44">
    <w:abstractNumId w:val="55"/>
  </w:num>
  <w:num w:numId="45">
    <w:abstractNumId w:val="13"/>
  </w:num>
  <w:num w:numId="46">
    <w:abstractNumId w:val="73"/>
  </w:num>
  <w:num w:numId="47">
    <w:abstractNumId w:val="90"/>
  </w:num>
  <w:num w:numId="48">
    <w:abstractNumId w:val="32"/>
  </w:num>
  <w:num w:numId="49">
    <w:abstractNumId w:val="10"/>
  </w:num>
  <w:num w:numId="50">
    <w:abstractNumId w:val="69"/>
  </w:num>
  <w:num w:numId="51">
    <w:abstractNumId w:val="83"/>
  </w:num>
  <w:num w:numId="52">
    <w:abstractNumId w:val="60"/>
  </w:num>
  <w:num w:numId="53">
    <w:abstractNumId w:val="87"/>
  </w:num>
  <w:num w:numId="54">
    <w:abstractNumId w:val="89"/>
  </w:num>
  <w:num w:numId="55">
    <w:abstractNumId w:val="68"/>
  </w:num>
  <w:num w:numId="56">
    <w:abstractNumId w:val="40"/>
  </w:num>
  <w:num w:numId="57">
    <w:abstractNumId w:val="12"/>
  </w:num>
  <w:num w:numId="58">
    <w:abstractNumId w:val="78"/>
  </w:num>
  <w:num w:numId="59">
    <w:abstractNumId w:val="81"/>
  </w:num>
  <w:num w:numId="60">
    <w:abstractNumId w:val="58"/>
  </w:num>
  <w:num w:numId="61">
    <w:abstractNumId w:val="102"/>
  </w:num>
  <w:num w:numId="62">
    <w:abstractNumId w:val="39"/>
  </w:num>
  <w:num w:numId="63">
    <w:abstractNumId w:val="66"/>
  </w:num>
  <w:num w:numId="64">
    <w:abstractNumId w:val="57"/>
  </w:num>
  <w:num w:numId="65">
    <w:abstractNumId w:val="42"/>
  </w:num>
  <w:num w:numId="66">
    <w:abstractNumId w:val="45"/>
  </w:num>
  <w:num w:numId="67">
    <w:abstractNumId w:val="35"/>
  </w:num>
  <w:num w:numId="68">
    <w:abstractNumId w:val="84"/>
  </w:num>
  <w:num w:numId="69">
    <w:abstractNumId w:val="48"/>
  </w:num>
  <w:num w:numId="70">
    <w:abstractNumId w:val="7"/>
  </w:num>
  <w:num w:numId="71">
    <w:abstractNumId w:val="44"/>
  </w:num>
  <w:num w:numId="72">
    <w:abstractNumId w:val="54"/>
  </w:num>
  <w:num w:numId="73">
    <w:abstractNumId w:val="30"/>
  </w:num>
  <w:num w:numId="74">
    <w:abstractNumId w:val="77"/>
  </w:num>
  <w:num w:numId="75">
    <w:abstractNumId w:val="100"/>
  </w:num>
  <w:num w:numId="76">
    <w:abstractNumId w:val="37"/>
  </w:num>
  <w:num w:numId="77">
    <w:abstractNumId w:val="16"/>
  </w:num>
  <w:num w:numId="78">
    <w:abstractNumId w:val="2"/>
  </w:num>
  <w:num w:numId="79">
    <w:abstractNumId w:val="19"/>
  </w:num>
  <w:num w:numId="80">
    <w:abstractNumId w:val="56"/>
  </w:num>
  <w:num w:numId="81">
    <w:abstractNumId w:val="22"/>
  </w:num>
  <w:num w:numId="82">
    <w:abstractNumId w:val="46"/>
  </w:num>
  <w:num w:numId="83">
    <w:abstractNumId w:val="70"/>
  </w:num>
  <w:num w:numId="84">
    <w:abstractNumId w:val="86"/>
  </w:num>
  <w:num w:numId="85">
    <w:abstractNumId w:val="21"/>
  </w:num>
  <w:num w:numId="86">
    <w:abstractNumId w:val="79"/>
  </w:num>
  <w:num w:numId="87">
    <w:abstractNumId w:val="64"/>
  </w:num>
  <w:num w:numId="88">
    <w:abstractNumId w:val="62"/>
  </w:num>
  <w:num w:numId="89">
    <w:abstractNumId w:val="51"/>
  </w:num>
  <w:num w:numId="90">
    <w:abstractNumId w:val="76"/>
  </w:num>
  <w:num w:numId="91">
    <w:abstractNumId w:val="28"/>
  </w:num>
  <w:num w:numId="92">
    <w:abstractNumId w:val="88"/>
  </w:num>
  <w:num w:numId="93">
    <w:abstractNumId w:val="82"/>
  </w:num>
  <w:num w:numId="94">
    <w:abstractNumId w:val="72"/>
  </w:num>
  <w:num w:numId="95">
    <w:abstractNumId w:val="43"/>
  </w:num>
  <w:num w:numId="96">
    <w:abstractNumId w:val="15"/>
  </w:num>
  <w:num w:numId="97">
    <w:abstractNumId w:val="105"/>
  </w:num>
  <w:num w:numId="98">
    <w:abstractNumId w:val="71"/>
  </w:num>
  <w:num w:numId="99">
    <w:abstractNumId w:val="101"/>
  </w:num>
  <w:num w:numId="100">
    <w:abstractNumId w:val="6"/>
  </w:num>
  <w:num w:numId="101">
    <w:abstractNumId w:val="98"/>
  </w:num>
  <w:num w:numId="102">
    <w:abstractNumId w:val="31"/>
  </w:num>
  <w:num w:numId="103">
    <w:abstractNumId w:val="97"/>
  </w:num>
  <w:num w:numId="104">
    <w:abstractNumId w:val="75"/>
  </w:num>
  <w:num w:numId="105">
    <w:abstractNumId w:val="104"/>
  </w:num>
  <w:num w:numId="106">
    <w:abstractNumId w:val="103"/>
  </w:num>
  <w:num w:numId="107">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000000"/>
    <w:rsid w:val="01750EDE"/>
    <w:rsid w:val="02497534"/>
    <w:rsid w:val="029A7643"/>
    <w:rsid w:val="02CB3070"/>
    <w:rsid w:val="03712D21"/>
    <w:rsid w:val="043C1EA8"/>
    <w:rsid w:val="057364D8"/>
    <w:rsid w:val="067018B8"/>
    <w:rsid w:val="07146850"/>
    <w:rsid w:val="0747316B"/>
    <w:rsid w:val="089C322F"/>
    <w:rsid w:val="08D852DC"/>
    <w:rsid w:val="0AC34A23"/>
    <w:rsid w:val="0B374AB7"/>
    <w:rsid w:val="0B8A12CF"/>
    <w:rsid w:val="0F3118B1"/>
    <w:rsid w:val="0FED2443"/>
    <w:rsid w:val="102C328E"/>
    <w:rsid w:val="10662E20"/>
    <w:rsid w:val="13CA799C"/>
    <w:rsid w:val="13DD62E6"/>
    <w:rsid w:val="15194865"/>
    <w:rsid w:val="155F0AA1"/>
    <w:rsid w:val="17072F54"/>
    <w:rsid w:val="17180DCA"/>
    <w:rsid w:val="185276F3"/>
    <w:rsid w:val="1BDB12EA"/>
    <w:rsid w:val="1D9E2B66"/>
    <w:rsid w:val="1EB93EB5"/>
    <w:rsid w:val="1F996596"/>
    <w:rsid w:val="202820DF"/>
    <w:rsid w:val="210618F0"/>
    <w:rsid w:val="21270CC2"/>
    <w:rsid w:val="24266EC9"/>
    <w:rsid w:val="248F3D0B"/>
    <w:rsid w:val="26D36140"/>
    <w:rsid w:val="273D73A4"/>
    <w:rsid w:val="28AF528E"/>
    <w:rsid w:val="2B24412B"/>
    <w:rsid w:val="2B960069"/>
    <w:rsid w:val="2D316018"/>
    <w:rsid w:val="2D397AFE"/>
    <w:rsid w:val="2EBF07A0"/>
    <w:rsid w:val="2F3F0791"/>
    <w:rsid w:val="2FE62A0A"/>
    <w:rsid w:val="30BF31A0"/>
    <w:rsid w:val="316600C5"/>
    <w:rsid w:val="3300448E"/>
    <w:rsid w:val="33CB0DB0"/>
    <w:rsid w:val="344A7EB3"/>
    <w:rsid w:val="3D3F248B"/>
    <w:rsid w:val="3E485474"/>
    <w:rsid w:val="424A2B87"/>
    <w:rsid w:val="43BE2B8A"/>
    <w:rsid w:val="46277859"/>
    <w:rsid w:val="48093C71"/>
    <w:rsid w:val="49CE7107"/>
    <w:rsid w:val="4B3F6D5D"/>
    <w:rsid w:val="4C0226DF"/>
    <w:rsid w:val="4D920C64"/>
    <w:rsid w:val="4F305D57"/>
    <w:rsid w:val="4F686B2E"/>
    <w:rsid w:val="4F79447E"/>
    <w:rsid w:val="51A43FCD"/>
    <w:rsid w:val="522A6FE1"/>
    <w:rsid w:val="53394028"/>
    <w:rsid w:val="53B03160"/>
    <w:rsid w:val="546F7495"/>
    <w:rsid w:val="55C14D43"/>
    <w:rsid w:val="566209E7"/>
    <w:rsid w:val="56CC3E96"/>
    <w:rsid w:val="570263B4"/>
    <w:rsid w:val="591F4667"/>
    <w:rsid w:val="59952F94"/>
    <w:rsid w:val="5CBC4428"/>
    <w:rsid w:val="5F370970"/>
    <w:rsid w:val="618D4BBE"/>
    <w:rsid w:val="621D1385"/>
    <w:rsid w:val="62C91582"/>
    <w:rsid w:val="63091321"/>
    <w:rsid w:val="638A31EF"/>
    <w:rsid w:val="6534707B"/>
    <w:rsid w:val="671764AB"/>
    <w:rsid w:val="68233E92"/>
    <w:rsid w:val="6A9774F1"/>
    <w:rsid w:val="6B9D26D7"/>
    <w:rsid w:val="6BA64352"/>
    <w:rsid w:val="6D6C1709"/>
    <w:rsid w:val="6F00293A"/>
    <w:rsid w:val="6F0D49D1"/>
    <w:rsid w:val="760A6969"/>
    <w:rsid w:val="78BB630B"/>
    <w:rsid w:val="7A4160FC"/>
    <w:rsid w:val="7AFE0EDA"/>
    <w:rsid w:val="7D271CAE"/>
    <w:rsid w:val="7E542628"/>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6"/>
    <w:autoRedefine/>
    <w:qFormat/>
    <w:uiPriority w:val="0"/>
    <w:pPr>
      <w:keepNext/>
      <w:keepLines/>
      <w:ind w:firstLine="200" w:firstLineChars="200"/>
      <w:outlineLvl w:val="5"/>
    </w:pPr>
    <w:rPr>
      <w:rFonts w:hAnsi="Arial"/>
    </w:rPr>
  </w:style>
  <w:style w:type="paragraph" w:styleId="9">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qFormat/>
    <w:uiPriority w:val="1"/>
  </w:style>
  <w:style w:type="table" w:default="1" w:styleId="46">
    <w:name w:val="Normal Table"/>
    <w:autoRedefine/>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205"/>
    <w:autoRedefine/>
    <w:qFormat/>
    <w:uiPriority w:val="0"/>
    <w:pPr>
      <w:shd w:val="clear" w:color="auto" w:fill="000080"/>
    </w:pPr>
  </w:style>
  <w:style w:type="paragraph" w:styleId="15">
    <w:name w:val="annotation text"/>
    <w:basedOn w:val="1"/>
    <w:link w:val="290"/>
    <w:autoRedefine/>
    <w:qFormat/>
    <w:uiPriority w:val="99"/>
    <w:pPr>
      <w:jc w:val="left"/>
    </w:pPr>
  </w:style>
  <w:style w:type="paragraph" w:styleId="16">
    <w:name w:val="Body Text 3"/>
    <w:basedOn w:val="1"/>
    <w:link w:val="309"/>
    <w:autoRedefine/>
    <w:qFormat/>
    <w:uiPriority w:val="0"/>
    <w:pPr>
      <w:spacing w:after="120"/>
    </w:pPr>
    <w:rPr>
      <w:sz w:val="16"/>
      <w:szCs w:val="16"/>
    </w:rPr>
  </w:style>
  <w:style w:type="paragraph" w:styleId="17">
    <w:name w:val="Body Text"/>
    <w:basedOn w:val="1"/>
    <w:link w:val="215"/>
    <w:autoRedefine/>
    <w:qFormat/>
    <w:uiPriority w:val="0"/>
    <w:pPr>
      <w:spacing w:after="120"/>
    </w:pPr>
  </w:style>
  <w:style w:type="paragraph" w:styleId="18">
    <w:name w:val="Body Text Indent"/>
    <w:basedOn w:val="1"/>
    <w:link w:val="270"/>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4"/>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5"/>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8"/>
    <w:autoRedefine/>
    <w:qFormat/>
    <w:uiPriority w:val="0"/>
    <w:pPr>
      <w:ind w:left="100" w:leftChars="2500"/>
    </w:pPr>
  </w:style>
  <w:style w:type="paragraph" w:styleId="26">
    <w:name w:val="Body Text Indent 2"/>
    <w:basedOn w:val="1"/>
    <w:link w:val="272"/>
    <w:autoRedefine/>
    <w:qFormat/>
    <w:uiPriority w:val="0"/>
    <w:pPr>
      <w:widowControl/>
      <w:spacing w:line="480" w:lineRule="auto"/>
      <w:ind w:firstLine="560"/>
      <w:jc w:val="left"/>
    </w:pPr>
    <w:rPr>
      <w:kern w:val="0"/>
      <w:sz w:val="28"/>
    </w:rPr>
  </w:style>
  <w:style w:type="paragraph" w:styleId="27">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9"/>
    <w:autoRedefine/>
    <w:qFormat/>
    <w:uiPriority w:val="0"/>
    <w:rPr>
      <w:sz w:val="18"/>
      <w:szCs w:val="18"/>
    </w:rPr>
  </w:style>
  <w:style w:type="paragraph" w:styleId="29">
    <w:name w:val="footer"/>
    <w:basedOn w:val="1"/>
    <w:link w:val="197"/>
    <w:autoRedefine/>
    <w:qFormat/>
    <w:uiPriority w:val="0"/>
    <w:pPr>
      <w:tabs>
        <w:tab w:val="center" w:pos="4153"/>
        <w:tab w:val="right" w:pos="8306"/>
      </w:tabs>
      <w:snapToGrid w:val="0"/>
      <w:jc w:val="left"/>
    </w:pPr>
    <w:rPr>
      <w:sz w:val="18"/>
      <w:szCs w:val="18"/>
    </w:rPr>
  </w:style>
  <w:style w:type="paragraph" w:styleId="30">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autoRedefine/>
    <w:qFormat/>
    <w:uiPriority w:val="0"/>
    <w:pPr>
      <w:widowControl/>
      <w:jc w:val="center"/>
    </w:pPr>
    <w:rPr>
      <w:kern w:val="0"/>
      <w:sz w:val="20"/>
      <w:u w:val="single"/>
      <w:lang w:eastAsia="en-US"/>
    </w:rPr>
  </w:style>
  <w:style w:type="paragraph" w:styleId="34">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7">
    <w:name w:val="toc 2"/>
    <w:basedOn w:val="3"/>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5"/>
    <w:autoRedefine/>
    <w:qFormat/>
    <w:uiPriority w:val="0"/>
    <w:rPr>
      <w:i/>
      <w:iCs/>
      <w:sz w:val="26"/>
    </w:rPr>
  </w:style>
  <w:style w:type="paragraph" w:styleId="40">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2"/>
    <w:autoRedefine/>
    <w:qFormat/>
    <w:uiPriority w:val="0"/>
    <w:pPr>
      <w:widowControl/>
      <w:jc w:val="center"/>
    </w:pPr>
    <w:rPr>
      <w:kern w:val="0"/>
      <w:sz w:val="20"/>
      <w:u w:val="single"/>
      <w:lang w:eastAsia="en-US"/>
    </w:rPr>
  </w:style>
  <w:style w:type="paragraph" w:styleId="44">
    <w:name w:val="annotation subject"/>
    <w:basedOn w:val="15"/>
    <w:next w:val="15"/>
    <w:link w:val="264"/>
    <w:autoRedefine/>
    <w:qFormat/>
    <w:uiPriority w:val="0"/>
    <w:rPr>
      <w:b/>
      <w:bCs/>
    </w:rPr>
  </w:style>
  <w:style w:type="paragraph" w:styleId="45">
    <w:name w:val="Body Text First Indent"/>
    <w:basedOn w:val="17"/>
    <w:autoRedefine/>
    <w:qFormat/>
    <w:uiPriority w:val="99"/>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8">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autoRedefine/>
    <w:qFormat/>
    <w:uiPriority w:val="99"/>
    <w:pPr>
      <w:ind w:firstLine="420" w:firstLineChars="200"/>
    </w:pPr>
    <w:rPr>
      <w:sz w:val="28"/>
      <w:szCs w:val="28"/>
    </w:rPr>
  </w:style>
  <w:style w:type="paragraph" w:customStyle="1" w:styleId="60">
    <w:name w:val="表格标题"/>
    <w:basedOn w:val="61"/>
    <w:autoRedefine/>
    <w:qFormat/>
    <w:uiPriority w:val="0"/>
  </w:style>
  <w:style w:type="paragraph" w:customStyle="1" w:styleId="61">
    <w:name w:val="表格内容"/>
    <w:basedOn w:val="1"/>
    <w:autoRedefine/>
    <w:qFormat/>
    <w:uiPriority w:val="0"/>
    <w:pPr>
      <w:suppressLineNumbers/>
      <w:suppressAutoHyphens/>
    </w:pPr>
  </w:style>
  <w:style w:type="paragraph" w:customStyle="1" w:styleId="62">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autoRedefine/>
    <w:qFormat/>
    <w:uiPriority w:val="0"/>
    <w:pPr>
      <w:spacing w:line="600" w:lineRule="exact"/>
      <w:ind w:firstLine="567"/>
    </w:pPr>
    <w:rPr>
      <w:rFonts w:ascii="Calibri" w:hAnsi="Calibri"/>
      <w:sz w:val="28"/>
    </w:rPr>
  </w:style>
  <w:style w:type="paragraph" w:customStyle="1" w:styleId="66">
    <w:name w:val="列出段落11"/>
    <w:basedOn w:val="1"/>
    <w:autoRedefine/>
    <w:qFormat/>
    <w:uiPriority w:val="0"/>
    <w:pPr>
      <w:ind w:firstLine="420" w:firstLineChars="200"/>
    </w:pPr>
    <w:rPr>
      <w:sz w:val="28"/>
      <w:szCs w:val="28"/>
    </w:rPr>
  </w:style>
  <w:style w:type="paragraph" w:customStyle="1" w:styleId="67">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autoRedefine/>
    <w:qFormat/>
    <w:uiPriority w:val="0"/>
  </w:style>
  <w:style w:type="paragraph" w:customStyle="1" w:styleId="69">
    <w:name w:val="WW-表格内容"/>
    <w:basedOn w:val="1"/>
    <w:autoRedefine/>
    <w:qFormat/>
    <w:uiPriority w:val="0"/>
    <w:pPr>
      <w:suppressLineNumbers/>
      <w:suppressAutoHyphens/>
    </w:pPr>
  </w:style>
  <w:style w:type="paragraph" w:customStyle="1" w:styleId="70">
    <w:name w:val="引用2"/>
    <w:basedOn w:val="1"/>
    <w:next w:val="1"/>
    <w:link w:val="301"/>
    <w:autoRedefine/>
    <w:qFormat/>
    <w:uiPriority w:val="0"/>
    <w:rPr>
      <w:i/>
      <w:iCs/>
      <w:color w:val="000000"/>
    </w:rPr>
  </w:style>
  <w:style w:type="paragraph" w:customStyle="1" w:styleId="71">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7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4"/>
    <w:autoRedefine/>
    <w:qFormat/>
    <w:uiPriority w:val="0"/>
    <w:pPr>
      <w:spacing w:line="360" w:lineRule="auto"/>
      <w:ind w:firstLine="200" w:firstLineChars="200"/>
    </w:pPr>
    <w:rPr>
      <w:rFonts w:ascii="Tahoma" w:hAnsi="Tahoma"/>
      <w:sz w:val="24"/>
    </w:rPr>
  </w:style>
  <w:style w:type="paragraph" w:customStyle="1" w:styleId="74">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autoRedefine/>
    <w:qFormat/>
    <w:uiPriority w:val="0"/>
    <w:pPr>
      <w:widowControl/>
    </w:pPr>
    <w:rPr>
      <w:rFonts w:ascii="Calibri" w:hAnsi="Calibri" w:cs="宋体"/>
      <w:kern w:val="0"/>
      <w:szCs w:val="21"/>
    </w:rPr>
  </w:style>
  <w:style w:type="paragraph" w:customStyle="1" w:styleId="77">
    <w:name w:val="列出段落1"/>
    <w:basedOn w:val="1"/>
    <w:autoRedefine/>
    <w:qFormat/>
    <w:uiPriority w:val="0"/>
    <w:pPr>
      <w:ind w:firstLine="420" w:firstLineChars="200"/>
    </w:pPr>
    <w:rPr>
      <w:sz w:val="28"/>
      <w:szCs w:val="28"/>
    </w:rPr>
  </w:style>
  <w:style w:type="paragraph" w:customStyle="1" w:styleId="78">
    <w:name w:val="样式1"/>
    <w:basedOn w:val="1"/>
    <w:next w:val="5"/>
    <w:autoRedefine/>
    <w:qFormat/>
    <w:uiPriority w:val="0"/>
    <w:pPr>
      <w:spacing w:line="360" w:lineRule="auto"/>
      <w:ind w:firstLine="420" w:firstLineChars="200"/>
    </w:pPr>
    <w:rPr>
      <w:rFonts w:ascii="宋体" w:hAnsi="宋体"/>
      <w:szCs w:val="21"/>
    </w:rPr>
  </w:style>
  <w:style w:type="paragraph" w:customStyle="1" w:styleId="79">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81">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autoRedefine/>
    <w:qFormat/>
    <w:uiPriority w:val="29"/>
    <w:rPr>
      <w:i/>
      <w:iCs/>
      <w:color w:val="000000"/>
      <w:szCs w:val="20"/>
    </w:rPr>
  </w:style>
  <w:style w:type="paragraph" w:customStyle="1" w:styleId="83">
    <w:name w:val="表格文字"/>
    <w:basedOn w:val="1"/>
    <w:autoRedefine/>
    <w:qFormat/>
    <w:uiPriority w:val="0"/>
    <w:pPr>
      <w:adjustRightInd w:val="0"/>
      <w:spacing w:line="420" w:lineRule="atLeast"/>
      <w:jc w:val="left"/>
      <w:textAlignment w:val="baseline"/>
    </w:pPr>
    <w:rPr>
      <w:kern w:val="0"/>
      <w:szCs w:val="20"/>
    </w:rPr>
  </w:style>
  <w:style w:type="paragraph" w:customStyle="1" w:styleId="84">
    <w:name w:val="_Style 96"/>
    <w:autoRedefine/>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autoRedefine/>
    <w:qFormat/>
    <w:uiPriority w:val="0"/>
    <w:pPr>
      <w:spacing w:line="360" w:lineRule="auto"/>
      <w:ind w:firstLine="200" w:firstLineChars="200"/>
    </w:pPr>
    <w:rPr>
      <w:rFonts w:ascii="宋体" w:hAnsi="Calibri"/>
      <w:sz w:val="24"/>
    </w:rPr>
  </w:style>
  <w:style w:type="paragraph" w:customStyle="1" w:styleId="88">
    <w:name w:val="标题4"/>
    <w:basedOn w:val="3"/>
    <w:next w:val="20"/>
    <w:link w:val="244"/>
    <w:autoRedefine/>
    <w:qFormat/>
    <w:uiPriority w:val="0"/>
    <w:pPr>
      <w:spacing w:line="413" w:lineRule="auto"/>
    </w:pPr>
    <w:rPr>
      <w:rFonts w:ascii="Arial" w:hAnsi="Arial"/>
      <w:kern w:val="0"/>
      <w:sz w:val="24"/>
    </w:rPr>
  </w:style>
  <w:style w:type="paragraph" w:customStyle="1" w:styleId="89">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autoRedefine/>
    <w:qFormat/>
    <w:uiPriority w:val="0"/>
    <w:pPr>
      <w:widowControl/>
      <w:spacing w:after="160" w:line="240" w:lineRule="exact"/>
      <w:jc w:val="left"/>
    </w:pPr>
    <w:rPr>
      <w:rFonts w:ascii="Calibri" w:hAnsi="Calibri"/>
      <w:szCs w:val="20"/>
    </w:rPr>
  </w:style>
  <w:style w:type="paragraph" w:customStyle="1" w:styleId="97">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autoRedefine/>
    <w:qFormat/>
    <w:uiPriority w:val="0"/>
    <w:pPr>
      <w:widowControl/>
      <w:spacing w:after="120"/>
    </w:pPr>
    <w:rPr>
      <w:kern w:val="0"/>
      <w:szCs w:val="21"/>
    </w:rPr>
  </w:style>
  <w:style w:type="paragraph" w:customStyle="1" w:styleId="10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autoRedefine/>
    <w:qFormat/>
    <w:uiPriority w:val="0"/>
    <w:rPr>
      <w:i/>
      <w:iCs/>
      <w:color w:val="000000"/>
      <w:szCs w:val="22"/>
    </w:rPr>
  </w:style>
  <w:style w:type="paragraph" w:customStyle="1" w:styleId="10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autoRedefine/>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2"/>
    <w:next w:val="1"/>
    <w:autoRedefine/>
    <w:qFormat/>
    <w:uiPriority w:val="0"/>
    <w:pPr>
      <w:outlineLvl w:val="9"/>
    </w:pPr>
    <w:rPr>
      <w:rFonts w:ascii="Calibri" w:hAnsi="Calibri"/>
    </w:rPr>
  </w:style>
  <w:style w:type="paragraph" w:customStyle="1" w:styleId="11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4"/>
    <w:link w:val="166"/>
    <w:autoRedefine/>
    <w:qFormat/>
    <w:uiPriority w:val="0"/>
    <w:pPr>
      <w:spacing w:line="413" w:lineRule="auto"/>
    </w:pPr>
    <w:rPr>
      <w:rFonts w:ascii="Arial" w:hAnsi="Arial"/>
      <w:kern w:val="0"/>
      <w:sz w:val="24"/>
    </w:rPr>
  </w:style>
  <w:style w:type="paragraph" w:customStyle="1" w:styleId="118">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autoRedefine/>
    <w:qFormat/>
    <w:uiPriority w:val="0"/>
    <w:rPr>
      <w:rFonts w:ascii="Calibri" w:hAnsi="Calibri"/>
    </w:rPr>
  </w:style>
  <w:style w:type="paragraph" w:customStyle="1" w:styleId="122">
    <w:name w:val="_Style 87"/>
    <w:basedOn w:val="1"/>
    <w:autoRedefine/>
    <w:qFormat/>
    <w:uiPriority w:val="99"/>
    <w:pPr>
      <w:ind w:firstLine="420" w:firstLineChars="200"/>
    </w:pPr>
    <w:rPr>
      <w:rFonts w:ascii="Calibri" w:hAnsi="Calibri"/>
      <w:sz w:val="28"/>
      <w:szCs w:val="28"/>
    </w:rPr>
  </w:style>
  <w:style w:type="paragraph" w:customStyle="1" w:styleId="123">
    <w:name w:val="自定样式1"/>
    <w:basedOn w:val="1"/>
    <w:autoRedefine/>
    <w:qFormat/>
    <w:uiPriority w:val="0"/>
    <w:pPr>
      <w:suppressAutoHyphens/>
      <w:jc w:val="center"/>
    </w:pPr>
    <w:rPr>
      <w:rFonts w:ascii="宋体" w:hAnsi="宋体"/>
      <w:color w:val="000000"/>
      <w:sz w:val="18"/>
    </w:rPr>
  </w:style>
  <w:style w:type="paragraph" w:customStyle="1" w:styleId="124">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autoRedefine/>
    <w:qFormat/>
    <w:uiPriority w:val="0"/>
  </w:style>
  <w:style w:type="paragraph" w:customStyle="1" w:styleId="126">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autoRedefine/>
    <w:qFormat/>
    <w:uiPriority w:val="34"/>
    <w:pPr>
      <w:ind w:firstLine="420" w:firstLineChars="200"/>
    </w:pPr>
    <w:rPr>
      <w:rFonts w:ascii="Calibri" w:hAnsi="Calibri"/>
    </w:rPr>
  </w:style>
  <w:style w:type="paragraph" w:customStyle="1" w:styleId="12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autoRedefine/>
    <w:qFormat/>
    <w:uiPriority w:val="0"/>
    <w:pPr>
      <w:spacing w:line="0" w:lineRule="atLeast"/>
    </w:pPr>
    <w:rPr>
      <w:rFonts w:ascii="Calibri" w:hAnsi="Calibri"/>
      <w:b/>
      <w:snapToGrid w:val="0"/>
      <w:szCs w:val="20"/>
    </w:rPr>
  </w:style>
  <w:style w:type="paragraph" w:customStyle="1" w:styleId="13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autoRedefine/>
    <w:qFormat/>
    <w:uiPriority w:val="0"/>
  </w:style>
  <w:style w:type="paragraph" w:customStyle="1" w:styleId="13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36">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autoRedefine/>
    <w:qFormat/>
    <w:uiPriority w:val="0"/>
  </w:style>
  <w:style w:type="paragraph" w:customStyle="1" w:styleId="138">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2"/>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字符"/>
    <w:link w:val="25"/>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7"/>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字符"/>
    <w:link w:val="5"/>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字符"/>
    <w:link w:val="27"/>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8"/>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字符"/>
    <w:link w:val="4"/>
    <w:autoRedefine/>
    <w:qFormat/>
    <w:uiPriority w:val="0"/>
    <w:rPr>
      <w:rFonts w:eastAsia="宋体"/>
      <w:b/>
      <w:bCs/>
      <w:kern w:val="2"/>
      <w:sz w:val="32"/>
      <w:szCs w:val="32"/>
      <w:lang w:val="en-US" w:eastAsia="zh-CN" w:bidi="ar-SA"/>
    </w:rPr>
  </w:style>
  <w:style w:type="character" w:customStyle="1" w:styleId="195">
    <w:name w:val="标题 2 字符"/>
    <w:link w:val="3"/>
    <w:autoRedefine/>
    <w:qFormat/>
    <w:uiPriority w:val="0"/>
    <w:rPr>
      <w:rFonts w:ascii="Cambria" w:hAnsi="Cambria" w:eastAsia="宋体"/>
      <w:b/>
      <w:bCs/>
      <w:kern w:val="2"/>
      <w:sz w:val="32"/>
      <w:szCs w:val="32"/>
      <w:lang w:val="en-US" w:eastAsia="zh-CN" w:bidi="ar-SA"/>
    </w:rPr>
  </w:style>
  <w:style w:type="character" w:customStyle="1" w:styleId="196">
    <w:name w:val="标题 6 字符"/>
    <w:link w:val="7"/>
    <w:autoRedefine/>
    <w:qFormat/>
    <w:uiPriority w:val="0"/>
    <w:rPr>
      <w:rFonts w:hAnsi="Arial" w:eastAsia="仿宋_GB2312"/>
      <w:sz w:val="30"/>
      <w:lang w:val="en-US" w:eastAsia="zh-CN" w:bidi="ar-SA"/>
    </w:rPr>
  </w:style>
  <w:style w:type="character" w:customStyle="1" w:styleId="197">
    <w:name w:val="页脚 字符"/>
    <w:link w:val="29"/>
    <w:autoRedefine/>
    <w:qFormat/>
    <w:uiPriority w:val="0"/>
    <w:rPr>
      <w:rFonts w:eastAsia="宋体"/>
      <w:kern w:val="2"/>
      <w:sz w:val="18"/>
      <w:szCs w:val="18"/>
      <w:lang w:val="en-US" w:eastAsia="zh-CN" w:bidi="ar-SA"/>
    </w:rPr>
  </w:style>
  <w:style w:type="character" w:customStyle="1" w:styleId="198">
    <w:name w:val="引用 Char4"/>
    <w:link w:val="103"/>
    <w:autoRedefine/>
    <w:qFormat/>
    <w:uiPriority w:val="0"/>
    <w:rPr>
      <w:i/>
      <w:iCs/>
      <w:color w:val="000000"/>
      <w:kern w:val="2"/>
      <w:sz w:val="21"/>
      <w:szCs w:val="22"/>
      <w:lang w:bidi="ar-SA"/>
    </w:rPr>
  </w:style>
  <w:style w:type="character" w:customStyle="1" w:styleId="199">
    <w:name w:val="标题 9 字符"/>
    <w:link w:val="11"/>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字符"/>
    <w:link w:val="14"/>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字符"/>
    <w:link w:val="28"/>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字符"/>
    <w:link w:val="43"/>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字符"/>
    <w:link w:val="17"/>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字符"/>
    <w:link w:val="34"/>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8"/>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字符"/>
    <w:link w:val="30"/>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8"/>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8"/>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字符"/>
    <w:link w:val="44"/>
    <w:autoRedefine/>
    <w:qFormat/>
    <w:uiPriority w:val="0"/>
    <w:rPr>
      <w:rFonts w:eastAsia="宋体"/>
      <w:b/>
      <w:bCs/>
      <w:kern w:val="2"/>
      <w:sz w:val="21"/>
      <w:szCs w:val="24"/>
      <w:lang w:val="en-US" w:eastAsia="zh-CN" w:bidi="ar-SA"/>
    </w:rPr>
  </w:style>
  <w:style w:type="character" w:customStyle="1" w:styleId="265">
    <w:name w:val="正文文本 2 字符"/>
    <w:link w:val="39"/>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字符"/>
    <w:link w:val="10"/>
    <w:autoRedefine/>
    <w:qFormat/>
    <w:uiPriority w:val="0"/>
    <w:rPr>
      <w:rFonts w:hAnsi="Arial" w:eastAsia="仿宋_GB2312"/>
      <w:sz w:val="30"/>
      <w:lang w:val="en-US" w:eastAsia="zh-CN" w:bidi="ar-SA"/>
    </w:rPr>
  </w:style>
  <w:style w:type="character" w:customStyle="1" w:styleId="269">
    <w:name w:val="正文文本缩进 3 字符"/>
    <w:link w:val="36"/>
    <w:autoRedefine/>
    <w:qFormat/>
    <w:uiPriority w:val="0"/>
    <w:rPr>
      <w:rFonts w:ascii="宋体" w:hAnsi="宋体" w:eastAsia="宋体"/>
      <w:kern w:val="2"/>
      <w:sz w:val="28"/>
      <w:szCs w:val="28"/>
      <w:lang w:val="en-US" w:eastAsia="zh-CN" w:bidi="ar-SA"/>
    </w:rPr>
  </w:style>
  <w:style w:type="character" w:customStyle="1" w:styleId="270">
    <w:name w:val="正文文本缩进 字符"/>
    <w:link w:val="18"/>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字符"/>
    <w:link w:val="26"/>
    <w:autoRedefine/>
    <w:qFormat/>
    <w:uiPriority w:val="0"/>
    <w:rPr>
      <w:rFonts w:eastAsia="宋体"/>
      <w:sz w:val="28"/>
      <w:szCs w:val="24"/>
      <w:lang w:val="en-US" w:eastAsia="zh-CN" w:bidi="ar-SA"/>
    </w:rPr>
  </w:style>
  <w:style w:type="character" w:customStyle="1" w:styleId="273">
    <w:name w:val="标题 7 字符"/>
    <w:link w:val="9"/>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字符"/>
    <w:link w:val="15"/>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字符"/>
    <w:link w:val="6"/>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字符"/>
    <w:link w:val="2"/>
    <w:autoRedefine/>
    <w:qFormat/>
    <w:uiPriority w:val="0"/>
    <w:rPr>
      <w:rFonts w:eastAsia="宋体"/>
      <w:b/>
      <w:bCs/>
      <w:kern w:val="44"/>
      <w:sz w:val="44"/>
      <w:szCs w:val="44"/>
      <w:lang w:val="en-US" w:eastAsia="zh-CN" w:bidi="ar-SA"/>
    </w:rPr>
  </w:style>
  <w:style w:type="character" w:customStyle="1" w:styleId="296">
    <w:name w:val="intel3"/>
    <w:basedOn w:val="48"/>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19"/>
    <w:autoRedefine/>
    <w:qFormat/>
    <w:uiPriority w:val="0"/>
    <w:rPr>
      <w:b/>
      <w:bCs/>
      <w:i/>
      <w:iCs/>
      <w:color w:val="4F81BD"/>
      <w:kern w:val="2"/>
      <w:sz w:val="21"/>
      <w:szCs w:val="22"/>
      <w:lang w:bidi="ar-SA"/>
    </w:rPr>
  </w:style>
  <w:style w:type="character" w:customStyle="1" w:styleId="299">
    <w:name w:val="明显引用 Char1"/>
    <w:link w:val="112"/>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0"/>
    <w:autoRedefine/>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3"/>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字符"/>
    <w:link w:val="16"/>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pPr>
      <w:ind w:leftChars="0"/>
    </w:pPr>
    <w:rPr>
      <w:rFonts w:ascii="Times New Roman" w:hAnsi="Times New Roman" w:eastAsia="宋体" w:cs="Times New Roman"/>
      <w:sz w:val="20"/>
      <w:szCs w:val="20"/>
    </w:rPr>
  </w:style>
  <w:style w:type="paragraph" w:customStyle="1" w:styleId="316">
    <w:name w:val="WPSOffice手动目录 2"/>
    <w:autoRedefine/>
    <w:qFormat/>
    <w:uiPriority w:val="0"/>
    <w:pPr>
      <w:ind w:leftChars="200"/>
    </w:pPr>
    <w:rPr>
      <w:rFonts w:ascii="Times New Roman" w:hAnsi="Times New Roman" w:eastAsia="宋体" w:cs="Times New Roman"/>
      <w:sz w:val="20"/>
      <w:szCs w:val="20"/>
    </w:rPr>
  </w:style>
  <w:style w:type="paragraph" w:styleId="317">
    <w:name w:val="List Paragraph"/>
    <w:basedOn w:val="1"/>
    <w:autoRedefine/>
    <w:qFormat/>
    <w:uiPriority w:val="1"/>
    <w:pPr>
      <w:ind w:left="1273" w:hanging="528"/>
    </w:pPr>
  </w:style>
  <w:style w:type="paragraph" w:customStyle="1" w:styleId="318">
    <w:name w:val="Table Paragraph"/>
    <w:basedOn w:val="1"/>
    <w:autoRedefine/>
    <w:qFormat/>
    <w:uiPriority w:val="1"/>
    <w:pPr>
      <w:spacing w:before="105"/>
      <w:ind w:left="442"/>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191</Pages>
  <Words>75896</Words>
  <Characters>79222</Characters>
  <Paragraphs>4432</Paragraphs>
  <TotalTime>248</TotalTime>
  <ScaleCrop>false</ScaleCrop>
  <LinksUpToDate>false</LinksUpToDate>
  <CharactersWithSpaces>87534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2024-06-20T08:24:31Z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D6D8F8A380224B268F46CC8C6E7916C6_13</vt:lpwstr>
  </property>
</Properties>
</file>