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8AD9">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14:paraId="69631F63">
      <w:pPr>
        <w:spacing w:line="360" w:lineRule="auto"/>
        <w:jc w:val="center"/>
        <w:rPr>
          <w:rFonts w:hint="eastAsia" w:ascii="宋体" w:hAnsi="宋体"/>
          <w:color w:val="0000FF"/>
          <w:kern w:val="0"/>
          <w:sz w:val="32"/>
          <w:szCs w:val="32"/>
          <w:highlight w:val="none"/>
          <w:u w:val="single"/>
          <w:lang w:eastAsia="zh-CN"/>
        </w:rPr>
      </w:pPr>
      <w:r>
        <w:rPr>
          <w:rFonts w:hint="eastAsia" w:ascii="宋体" w:hAnsi="宋体"/>
          <w:color w:val="0000FF"/>
          <w:kern w:val="0"/>
          <w:sz w:val="32"/>
          <w:szCs w:val="32"/>
          <w:highlight w:val="none"/>
          <w:u w:val="single"/>
          <w:lang w:eastAsia="zh-CN"/>
        </w:rPr>
        <w:t>经开.博睿庭（人才公寓）项目</w:t>
      </w:r>
      <w:r>
        <w:rPr>
          <w:rFonts w:hint="eastAsia" w:ascii="宋体" w:hAnsi="宋体"/>
          <w:color w:val="0000FF"/>
          <w:kern w:val="0"/>
          <w:sz w:val="32"/>
          <w:szCs w:val="32"/>
          <w:highlight w:val="none"/>
          <w:u w:val="single"/>
          <w:lang w:val="en-US" w:eastAsia="zh-CN"/>
        </w:rPr>
        <w:t>正式</w:t>
      </w:r>
      <w:r>
        <w:rPr>
          <w:rFonts w:hint="eastAsia" w:ascii="宋体" w:hAnsi="宋体"/>
          <w:color w:val="0000FF"/>
          <w:kern w:val="0"/>
          <w:sz w:val="32"/>
          <w:szCs w:val="32"/>
          <w:highlight w:val="none"/>
          <w:u w:val="single"/>
          <w:lang w:eastAsia="zh-CN"/>
        </w:rPr>
        <w:t>用电工程（外线）施工</w:t>
      </w:r>
    </w:p>
    <w:p w14:paraId="6EB2DBD7">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（项目名称）</w:t>
      </w:r>
    </w:p>
    <w:p w14:paraId="36FFA121">
      <w:pPr>
        <w:autoSpaceDE w:val="0"/>
        <w:autoSpaceDN w:val="0"/>
        <w:adjustRightInd w:val="0"/>
        <w:snapToGrid w:val="0"/>
        <w:spacing w:line="360" w:lineRule="auto"/>
        <w:jc w:val="left"/>
        <w:rPr>
          <w:rFonts w:ascii="宋体" w:hAnsi="宋体"/>
          <w:kern w:val="0"/>
          <w:sz w:val="20"/>
          <w:szCs w:val="20"/>
          <w:highlight w:val="none"/>
        </w:rPr>
      </w:pPr>
    </w:p>
    <w:p w14:paraId="7ACC9018">
      <w:pPr>
        <w:autoSpaceDE w:val="0"/>
        <w:autoSpaceDN w:val="0"/>
        <w:adjustRightInd w:val="0"/>
        <w:snapToGrid w:val="0"/>
        <w:spacing w:line="360" w:lineRule="auto"/>
        <w:jc w:val="left"/>
        <w:rPr>
          <w:rFonts w:ascii="宋体" w:hAnsi="宋体"/>
          <w:kern w:val="0"/>
          <w:sz w:val="20"/>
          <w:szCs w:val="20"/>
          <w:highlight w:val="none"/>
        </w:rPr>
      </w:pPr>
    </w:p>
    <w:p w14:paraId="44691C7E">
      <w:pPr>
        <w:autoSpaceDE w:val="0"/>
        <w:autoSpaceDN w:val="0"/>
        <w:adjustRightInd w:val="0"/>
        <w:snapToGrid w:val="0"/>
        <w:spacing w:line="360" w:lineRule="auto"/>
        <w:jc w:val="left"/>
        <w:rPr>
          <w:rFonts w:ascii="宋体" w:hAnsi="宋体"/>
          <w:kern w:val="0"/>
          <w:sz w:val="20"/>
          <w:szCs w:val="20"/>
          <w:highlight w:val="none"/>
        </w:rPr>
      </w:pPr>
    </w:p>
    <w:p w14:paraId="49A2D7AE">
      <w:pPr>
        <w:autoSpaceDE w:val="0"/>
        <w:autoSpaceDN w:val="0"/>
        <w:adjustRightInd w:val="0"/>
        <w:snapToGrid w:val="0"/>
        <w:spacing w:line="360" w:lineRule="auto"/>
        <w:jc w:val="left"/>
        <w:rPr>
          <w:rFonts w:ascii="宋体" w:hAnsi="宋体"/>
          <w:kern w:val="0"/>
          <w:sz w:val="20"/>
          <w:szCs w:val="20"/>
          <w:highlight w:val="none"/>
        </w:rPr>
      </w:pPr>
    </w:p>
    <w:p w14:paraId="753D074E">
      <w:pPr>
        <w:autoSpaceDE w:val="0"/>
        <w:autoSpaceDN w:val="0"/>
        <w:adjustRightInd w:val="0"/>
        <w:snapToGrid w:val="0"/>
        <w:spacing w:line="360" w:lineRule="auto"/>
        <w:jc w:val="left"/>
        <w:rPr>
          <w:rFonts w:ascii="宋体" w:hAnsi="宋体"/>
          <w:kern w:val="0"/>
          <w:sz w:val="20"/>
          <w:szCs w:val="20"/>
          <w:highlight w:val="none"/>
        </w:rPr>
      </w:pPr>
    </w:p>
    <w:p w14:paraId="7133B940">
      <w:pPr>
        <w:autoSpaceDE w:val="0"/>
        <w:autoSpaceDN w:val="0"/>
        <w:adjustRightInd w:val="0"/>
        <w:snapToGrid w:val="0"/>
        <w:spacing w:line="360" w:lineRule="auto"/>
        <w:jc w:val="left"/>
        <w:rPr>
          <w:rFonts w:ascii="宋体" w:hAnsi="宋体"/>
          <w:kern w:val="0"/>
          <w:sz w:val="20"/>
          <w:szCs w:val="20"/>
          <w:highlight w:val="none"/>
        </w:rPr>
      </w:pPr>
    </w:p>
    <w:p w14:paraId="53077F7E">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14:paraId="78F50C2D">
      <w:pPr>
        <w:autoSpaceDE w:val="0"/>
        <w:autoSpaceDN w:val="0"/>
        <w:adjustRightInd w:val="0"/>
        <w:snapToGrid w:val="0"/>
        <w:spacing w:line="360" w:lineRule="auto"/>
        <w:jc w:val="left"/>
        <w:rPr>
          <w:rFonts w:ascii="宋体" w:hAnsi="宋体"/>
          <w:kern w:val="0"/>
          <w:sz w:val="10"/>
          <w:szCs w:val="10"/>
          <w:highlight w:val="none"/>
        </w:rPr>
      </w:pPr>
    </w:p>
    <w:p w14:paraId="6CB1DC61">
      <w:pPr>
        <w:autoSpaceDE w:val="0"/>
        <w:autoSpaceDN w:val="0"/>
        <w:adjustRightInd w:val="0"/>
        <w:snapToGrid w:val="0"/>
        <w:spacing w:line="360" w:lineRule="auto"/>
        <w:jc w:val="left"/>
        <w:rPr>
          <w:rFonts w:ascii="宋体" w:hAnsi="宋体"/>
          <w:kern w:val="0"/>
          <w:sz w:val="20"/>
          <w:szCs w:val="20"/>
          <w:highlight w:val="none"/>
        </w:rPr>
      </w:pPr>
    </w:p>
    <w:p w14:paraId="6ED8E8A5">
      <w:pPr>
        <w:autoSpaceDE w:val="0"/>
        <w:autoSpaceDN w:val="0"/>
        <w:adjustRightInd w:val="0"/>
        <w:snapToGrid w:val="0"/>
        <w:spacing w:line="360" w:lineRule="auto"/>
        <w:jc w:val="left"/>
        <w:rPr>
          <w:rFonts w:ascii="宋体" w:hAnsi="宋体"/>
          <w:kern w:val="0"/>
          <w:sz w:val="20"/>
          <w:szCs w:val="20"/>
          <w:highlight w:val="none"/>
        </w:rPr>
      </w:pPr>
    </w:p>
    <w:p w14:paraId="40AB203B">
      <w:pPr>
        <w:autoSpaceDE w:val="0"/>
        <w:autoSpaceDN w:val="0"/>
        <w:adjustRightInd w:val="0"/>
        <w:snapToGrid w:val="0"/>
        <w:spacing w:line="360" w:lineRule="auto"/>
        <w:jc w:val="left"/>
        <w:rPr>
          <w:rFonts w:ascii="宋体" w:hAnsi="宋体"/>
          <w:kern w:val="0"/>
          <w:sz w:val="20"/>
          <w:szCs w:val="20"/>
          <w:highlight w:val="none"/>
        </w:rPr>
      </w:pPr>
    </w:p>
    <w:p w14:paraId="532F590B">
      <w:pPr>
        <w:autoSpaceDE w:val="0"/>
        <w:autoSpaceDN w:val="0"/>
        <w:adjustRightInd w:val="0"/>
        <w:snapToGrid w:val="0"/>
        <w:spacing w:line="360" w:lineRule="auto"/>
        <w:jc w:val="left"/>
        <w:rPr>
          <w:rFonts w:ascii="宋体" w:hAnsi="宋体"/>
          <w:kern w:val="0"/>
          <w:sz w:val="20"/>
          <w:szCs w:val="20"/>
          <w:highlight w:val="none"/>
        </w:rPr>
      </w:pPr>
    </w:p>
    <w:p w14:paraId="078D0202">
      <w:pPr>
        <w:autoSpaceDE w:val="0"/>
        <w:autoSpaceDN w:val="0"/>
        <w:adjustRightInd w:val="0"/>
        <w:snapToGrid w:val="0"/>
        <w:spacing w:line="360" w:lineRule="auto"/>
        <w:jc w:val="left"/>
        <w:rPr>
          <w:rFonts w:ascii="宋体" w:hAnsi="宋体"/>
          <w:kern w:val="0"/>
          <w:sz w:val="20"/>
          <w:szCs w:val="20"/>
          <w:highlight w:val="none"/>
        </w:rPr>
      </w:pPr>
    </w:p>
    <w:p w14:paraId="5CCAED27">
      <w:pPr>
        <w:autoSpaceDE w:val="0"/>
        <w:autoSpaceDN w:val="0"/>
        <w:adjustRightInd w:val="0"/>
        <w:snapToGrid w:val="0"/>
        <w:spacing w:line="360" w:lineRule="auto"/>
        <w:jc w:val="left"/>
        <w:rPr>
          <w:rFonts w:ascii="宋体" w:hAnsi="宋体"/>
          <w:kern w:val="0"/>
          <w:sz w:val="20"/>
          <w:szCs w:val="20"/>
          <w:highlight w:val="none"/>
        </w:rPr>
      </w:pPr>
    </w:p>
    <w:p w14:paraId="46127E57">
      <w:pPr>
        <w:autoSpaceDE w:val="0"/>
        <w:autoSpaceDN w:val="0"/>
        <w:adjustRightInd w:val="0"/>
        <w:snapToGrid w:val="0"/>
        <w:spacing w:line="360" w:lineRule="auto"/>
        <w:jc w:val="left"/>
        <w:rPr>
          <w:rFonts w:ascii="宋体" w:hAnsi="宋体"/>
          <w:kern w:val="0"/>
          <w:sz w:val="20"/>
          <w:szCs w:val="20"/>
          <w:highlight w:val="none"/>
        </w:rPr>
      </w:pPr>
    </w:p>
    <w:p w14:paraId="5BFB78A7">
      <w:pPr>
        <w:autoSpaceDE w:val="0"/>
        <w:autoSpaceDN w:val="0"/>
        <w:adjustRightInd w:val="0"/>
        <w:snapToGrid w:val="0"/>
        <w:spacing w:line="360" w:lineRule="auto"/>
        <w:rPr>
          <w:rFonts w:ascii="宋体" w:hAnsi="宋体"/>
          <w:kern w:val="0"/>
          <w:sz w:val="20"/>
          <w:szCs w:val="20"/>
          <w:highlight w:val="none"/>
        </w:rPr>
      </w:pPr>
    </w:p>
    <w:p w14:paraId="46F1B0DB">
      <w:pPr>
        <w:autoSpaceDE w:val="0"/>
        <w:autoSpaceDN w:val="0"/>
        <w:adjustRightInd w:val="0"/>
        <w:snapToGrid w:val="0"/>
        <w:spacing w:line="360" w:lineRule="auto"/>
        <w:jc w:val="left"/>
        <w:rPr>
          <w:rFonts w:ascii="宋体" w:hAnsi="宋体"/>
          <w:kern w:val="0"/>
          <w:sz w:val="20"/>
          <w:szCs w:val="20"/>
          <w:highlight w:val="none"/>
        </w:rPr>
      </w:pPr>
    </w:p>
    <w:p w14:paraId="3F6E7EA4">
      <w:pPr>
        <w:autoSpaceDE w:val="0"/>
        <w:autoSpaceDN w:val="0"/>
        <w:adjustRightInd w:val="0"/>
        <w:snapToGrid w:val="0"/>
        <w:spacing w:line="360" w:lineRule="auto"/>
        <w:rPr>
          <w:rFonts w:ascii="宋体" w:hAnsi="宋体"/>
          <w:kern w:val="0"/>
          <w:sz w:val="20"/>
          <w:szCs w:val="20"/>
          <w:highlight w:val="none"/>
        </w:rPr>
      </w:pPr>
    </w:p>
    <w:p w14:paraId="53CE3D23">
      <w:pPr>
        <w:autoSpaceDE w:val="0"/>
        <w:autoSpaceDN w:val="0"/>
        <w:adjustRightInd w:val="0"/>
        <w:snapToGrid w:val="0"/>
        <w:spacing w:line="360" w:lineRule="auto"/>
        <w:rPr>
          <w:rFonts w:ascii="宋体" w:hAnsi="宋体"/>
          <w:kern w:val="0"/>
          <w:sz w:val="20"/>
          <w:szCs w:val="20"/>
          <w:highlight w:val="none"/>
        </w:rPr>
      </w:pPr>
    </w:p>
    <w:p w14:paraId="08C06024">
      <w:pPr>
        <w:autoSpaceDE w:val="0"/>
        <w:autoSpaceDN w:val="0"/>
        <w:adjustRightInd w:val="0"/>
        <w:snapToGrid w:val="0"/>
        <w:spacing w:line="360" w:lineRule="auto"/>
        <w:rPr>
          <w:rFonts w:ascii="宋体" w:hAnsi="宋体"/>
          <w:kern w:val="0"/>
          <w:sz w:val="20"/>
          <w:szCs w:val="20"/>
          <w:highlight w:val="none"/>
        </w:rPr>
      </w:pPr>
    </w:p>
    <w:p w14:paraId="07CC5920">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新汇商实业</w:t>
      </w:r>
      <w:r>
        <w:rPr>
          <w:rFonts w:hint="eastAsia" w:ascii="宋体" w:hAnsi="宋体"/>
          <w:b/>
          <w:w w:val="99"/>
          <w:kern w:val="0"/>
          <w:sz w:val="28"/>
          <w:szCs w:val="28"/>
          <w:highlight w:val="none"/>
        </w:rPr>
        <w:t>有限公司</w:t>
      </w:r>
      <w:r>
        <w:rPr>
          <w:rFonts w:ascii="宋体" w:hAnsi="宋体"/>
          <w:b/>
          <w:w w:val="99"/>
          <w:kern w:val="0"/>
          <w:sz w:val="28"/>
          <w:szCs w:val="28"/>
          <w:highlight w:val="none"/>
        </w:rPr>
        <w:t>（盖单位法人章）</w:t>
      </w:r>
      <w:bookmarkEnd w:id="1"/>
    </w:p>
    <w:p w14:paraId="07C84DCE">
      <w:pPr>
        <w:autoSpaceDE w:val="0"/>
        <w:autoSpaceDN w:val="0"/>
        <w:adjustRightInd w:val="0"/>
        <w:snapToGrid w:val="0"/>
        <w:spacing w:line="360" w:lineRule="auto"/>
        <w:jc w:val="center"/>
        <w:rPr>
          <w:rFonts w:ascii="宋体" w:hAnsi="宋体"/>
          <w:b/>
          <w:kern w:val="0"/>
          <w:sz w:val="20"/>
          <w:szCs w:val="20"/>
          <w:highlight w:val="none"/>
        </w:rPr>
      </w:pPr>
    </w:p>
    <w:p w14:paraId="20B69273">
      <w:pPr>
        <w:autoSpaceDE w:val="0"/>
        <w:autoSpaceDN w:val="0"/>
        <w:adjustRightInd w:val="0"/>
        <w:snapToGrid w:val="0"/>
        <w:spacing w:line="360" w:lineRule="auto"/>
        <w:jc w:val="center"/>
        <w:rPr>
          <w:rFonts w:ascii="宋体" w:hAnsi="宋体"/>
          <w:b/>
          <w:kern w:val="0"/>
          <w:sz w:val="28"/>
          <w:szCs w:val="28"/>
          <w:highlight w:val="none"/>
        </w:rPr>
      </w:pPr>
    </w:p>
    <w:p w14:paraId="09784AD1">
      <w:pPr>
        <w:autoSpaceDE w:val="0"/>
        <w:autoSpaceDN w:val="0"/>
        <w:adjustRightInd w:val="0"/>
        <w:snapToGrid w:val="0"/>
        <w:spacing w:line="360" w:lineRule="auto"/>
        <w:jc w:val="center"/>
        <w:rPr>
          <w:rFonts w:ascii="宋体" w:hAnsi="宋体"/>
          <w:b/>
          <w:kern w:val="0"/>
          <w:sz w:val="28"/>
          <w:szCs w:val="28"/>
          <w:highlight w:val="none"/>
        </w:rPr>
      </w:pPr>
    </w:p>
    <w:p w14:paraId="3D54E77B">
      <w:pPr>
        <w:autoSpaceDE w:val="0"/>
        <w:autoSpaceDN w:val="0"/>
        <w:adjustRightInd w:val="0"/>
        <w:snapToGrid w:val="0"/>
        <w:spacing w:line="360" w:lineRule="auto"/>
        <w:rPr>
          <w:rFonts w:ascii="宋体" w:hAnsi="宋体"/>
          <w:b/>
          <w:kern w:val="0"/>
          <w:sz w:val="20"/>
          <w:szCs w:val="20"/>
          <w:highlight w:val="none"/>
        </w:rPr>
      </w:pPr>
    </w:p>
    <w:p w14:paraId="1396ECB9">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536621766"/>
      <w:bookmarkStart w:id="3" w:name="_Toc509218549"/>
      <w:bookmarkStart w:id="4" w:name="_Toc13210649"/>
      <w:bookmarkStart w:id="5" w:name="_Toc536796736"/>
      <w:bookmarkStart w:id="6" w:name="_Toc536797277"/>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7</w:t>
      </w:r>
      <w:r>
        <w:rPr>
          <w:rFonts w:ascii="宋体" w:hAnsi="宋体"/>
          <w:b/>
          <w:spacing w:val="8"/>
          <w:kern w:val="0"/>
          <w:sz w:val="28"/>
          <w:szCs w:val="28"/>
          <w:highlight w:val="none"/>
        </w:rPr>
        <w:t>月</w:t>
      </w:r>
      <w:bookmarkEnd w:id="2"/>
      <w:bookmarkEnd w:id="3"/>
      <w:bookmarkEnd w:id="4"/>
      <w:bookmarkEnd w:id="5"/>
      <w:bookmarkEnd w:id="6"/>
    </w:p>
    <w:p w14:paraId="6EA29BBD">
      <w:pPr>
        <w:pStyle w:val="3"/>
        <w:spacing w:line="360" w:lineRule="auto"/>
        <w:jc w:val="center"/>
        <w:outlineLvl w:val="9"/>
        <w:rPr>
          <w:rFonts w:ascii="宋体" w:hAnsi="宋体"/>
          <w:w w:val="99"/>
          <w:kern w:val="0"/>
          <w:sz w:val="24"/>
          <w:highlight w:val="none"/>
        </w:rPr>
        <w:sectPr>
          <w:headerReference r:id="rId6" w:type="default"/>
          <w:footerReference r:id="rId7" w:type="default"/>
          <w:pgSz w:w="11907" w:h="16840"/>
          <w:pgMar w:top="1304" w:right="1134" w:bottom="1304" w:left="1304" w:header="851" w:footer="992" w:gutter="0"/>
          <w:pgNumType w:fmt="numberInDash" w:start="1"/>
          <w:cols w:space="720" w:num="1"/>
          <w:docGrid w:linePitch="312" w:charSpace="0"/>
        </w:sectPr>
      </w:pPr>
    </w:p>
    <w:p w14:paraId="076861AD">
      <w:pPr>
        <w:pStyle w:val="120"/>
        <w:jc w:val="center"/>
        <w:rPr>
          <w:rFonts w:ascii="宋体" w:hAnsi="宋体"/>
          <w:color w:val="auto"/>
          <w:sz w:val="44"/>
          <w:szCs w:val="44"/>
          <w:highlight w:val="none"/>
          <w:lang w:val="zh-CN"/>
        </w:rPr>
      </w:pPr>
      <w:bookmarkStart w:id="7" w:name="_Toc28843"/>
      <w:bookmarkStart w:id="8"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454B810C">
          <w:pPr>
            <w:spacing w:before="0" w:beforeLines="0" w:after="0" w:afterLines="0" w:line="240" w:lineRule="auto"/>
            <w:ind w:left="0" w:leftChars="0" w:right="0" w:rightChars="0" w:firstLine="0" w:firstLineChars="0"/>
            <w:jc w:val="center"/>
          </w:pPr>
          <w:bookmarkStart w:id="9" w:name="_Toc12819"/>
          <w:bookmarkStart w:id="10" w:name="_Toc277082535"/>
          <w:bookmarkStart w:id="11" w:name="_Toc287607727"/>
          <w:bookmarkStart w:id="12" w:name="_Toc224103298"/>
          <w:bookmarkStart w:id="13" w:name="_Toc430530415"/>
          <w:bookmarkStart w:id="14" w:name="_Toc7997"/>
          <w:bookmarkStart w:id="15" w:name="_Toc287620666"/>
          <w:bookmarkStart w:id="16" w:name="_Toc509218691"/>
        </w:p>
        <w:p w14:paraId="69AC6800">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14:paraId="4CE1E803">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14:paraId="01958CFE">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14:paraId="0E9CB088">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14:paraId="43B64220">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14:paraId="2911AA56">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14:paraId="3DBBE241">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w:t>
          </w:r>
          <w:r>
            <w:rPr>
              <w:rFonts w:hint="eastAsia" w:ascii="宋体" w:hAnsi="宋体"/>
              <w:sz w:val="24"/>
              <w:szCs w:val="24"/>
              <w:highlight w:val="none"/>
              <w:lang w:val="en-US" w:eastAsia="zh-CN"/>
            </w:rPr>
            <w:t>五</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14:paraId="391FB47A">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 xml:space="preserve">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14:paraId="7E29A42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8"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14:paraId="0E15019C">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14:paraId="5846A1DC">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224103299"/>
      <w:bookmarkStart w:id="19" w:name="_Toc277082536"/>
      <w:bookmarkStart w:id="20" w:name="_Toc287620667"/>
      <w:bookmarkStart w:id="21" w:name="_Toc200359238"/>
      <w:bookmarkStart w:id="22" w:name="_Toc26523"/>
      <w:bookmarkStart w:id="23" w:name="_Toc200359427"/>
      <w:bookmarkStart w:id="24" w:name="_Toc430530416"/>
      <w:bookmarkStart w:id="25" w:name="_Toc287607728"/>
      <w:bookmarkStart w:id="26" w:name="_Toc27491"/>
      <w:bookmarkStart w:id="27" w:name="_Toc509218692"/>
      <w:r>
        <w:rPr>
          <w:rFonts w:hint="eastAsia" w:ascii="宋体" w:hAnsi="宋体"/>
          <w:color w:val="0000FF"/>
          <w:kern w:val="0"/>
          <w:sz w:val="32"/>
          <w:szCs w:val="32"/>
          <w:highlight w:val="none"/>
          <w:u w:val="single"/>
          <w:lang w:eastAsia="zh-CN"/>
        </w:rPr>
        <w:t>经开.博睿庭（人才公寓）项目</w:t>
      </w:r>
      <w:r>
        <w:rPr>
          <w:rFonts w:hint="eastAsia" w:ascii="宋体" w:hAnsi="宋体"/>
          <w:color w:val="0000FF"/>
          <w:kern w:val="0"/>
          <w:sz w:val="32"/>
          <w:szCs w:val="32"/>
          <w:highlight w:val="none"/>
          <w:u w:val="single"/>
          <w:lang w:val="en-US" w:eastAsia="zh-CN"/>
        </w:rPr>
        <w:t>正式</w:t>
      </w:r>
      <w:r>
        <w:rPr>
          <w:rFonts w:hint="eastAsia" w:ascii="宋体" w:hAnsi="宋体"/>
          <w:color w:val="0000FF"/>
          <w:kern w:val="0"/>
          <w:sz w:val="32"/>
          <w:szCs w:val="32"/>
          <w:highlight w:val="none"/>
          <w:u w:val="single"/>
          <w:lang w:eastAsia="zh-CN"/>
        </w:rPr>
        <w:t>用电工程（外线）施工</w:t>
      </w:r>
    </w:p>
    <w:p w14:paraId="19A0B6F2">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14:paraId="592C529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经开.博睿庭（人才公寓）项目正式用电工程（外线）施工</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3160E7E1">
      <w:pPr>
        <w:pStyle w:val="4"/>
        <w:spacing w:before="100" w:after="100" w:line="460" w:lineRule="exact"/>
        <w:rPr>
          <w:rFonts w:ascii="宋体" w:hAnsi="宋体"/>
          <w:snapToGrid w:val="0"/>
          <w:color w:val="auto"/>
          <w:sz w:val="28"/>
          <w:szCs w:val="28"/>
          <w:highlight w:val="none"/>
        </w:rPr>
      </w:pPr>
      <w:bookmarkStart w:id="28" w:name="_Toc277082537"/>
      <w:bookmarkStart w:id="29" w:name="_Toc200359428"/>
      <w:bookmarkStart w:id="30" w:name="_Toc200359239"/>
      <w:bookmarkStart w:id="31" w:name="_Toc224103300"/>
      <w:bookmarkStart w:id="32" w:name="_Toc287607729"/>
      <w:bookmarkStart w:id="33" w:name="_Toc16344"/>
      <w:bookmarkStart w:id="34" w:name="_Toc287620668"/>
      <w:bookmarkStart w:id="35" w:name="_Toc22556"/>
      <w:bookmarkStart w:id="36" w:name="_Toc509218693"/>
      <w:bookmarkStart w:id="37" w:name="_Toc43053041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14:paraId="1FD630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p>
    <w:p w14:paraId="3597DE5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项目概况与建设规模：</w:t>
      </w:r>
    </w:p>
    <w:p w14:paraId="45F917B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峡药一回#969间隔出线电缆及峡药二回#987间隔出线电缆现有电力线路、设施设备改造升级，达到国网重庆市电力公司南岸供电分公司专用产权转公用产权的验收、交付及使用，并需配合完成将峡药一回#969间隔出线电缆及峡药二回#987间隔出线电缆申请为经开·博睿庭项目一期公用供电电源。</w:t>
      </w:r>
    </w:p>
    <w:p w14:paraId="2B89C01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360万</w:t>
      </w:r>
      <w:r>
        <w:rPr>
          <w:rFonts w:hint="eastAsia" w:ascii="宋体" w:hAnsi="宋体"/>
          <w:snapToGrid w:val="0"/>
          <w:color w:val="auto"/>
          <w:kern w:val="0"/>
          <w:szCs w:val="21"/>
          <w:highlight w:val="none"/>
          <w:u w:val="single"/>
        </w:rPr>
        <w:t>元</w:t>
      </w:r>
    </w:p>
    <w:p w14:paraId="32B4377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峡药一回#969间隔出线电缆及峡药二回#987间隔出线电缆现有电力线路、设施设备改造升级，主要内容包括二进四出环网柜2台、新建3*4+2孔排管20米、4*6孔排管20米，新建6×1.3×1.8m三通井2个、6×1.9×1.8m三通井1个，扩建6×1.3×1.8mm三通井1个、新建环网柜基础2个、环网柜至开闭所电力电缆ZA-YJV22-8.7/15kV-3×400mm²  2129m、配网自动化以及相应的调试、峡药一、二回缺陷整治及办理资产移交等。</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14:paraId="37F833D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30日历天（从中标通知书发出之日起算）。</w:t>
      </w:r>
    </w:p>
    <w:p w14:paraId="42011E4C">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2年 </w:t>
      </w:r>
    </w:p>
    <w:p w14:paraId="6EF3521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03D458D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54B48A27">
      <w:pPr>
        <w:pStyle w:val="4"/>
        <w:spacing w:before="100" w:after="100" w:line="460" w:lineRule="exact"/>
        <w:rPr>
          <w:rFonts w:ascii="宋体" w:hAnsi="宋体"/>
          <w:snapToGrid w:val="0"/>
          <w:sz w:val="28"/>
          <w:szCs w:val="28"/>
          <w:highlight w:val="none"/>
        </w:rPr>
      </w:pPr>
      <w:bookmarkStart w:id="38" w:name="_Toc200359240"/>
      <w:bookmarkStart w:id="39" w:name="_Toc509218694"/>
      <w:bookmarkStart w:id="40" w:name="_Toc19513"/>
      <w:bookmarkStart w:id="41" w:name="_Toc287620669"/>
      <w:bookmarkStart w:id="42" w:name="_Toc287607730"/>
      <w:bookmarkStart w:id="43" w:name="_Toc5240"/>
      <w:bookmarkStart w:id="44" w:name="_Toc430530418"/>
      <w:bookmarkStart w:id="45" w:name="_Toc224103301"/>
      <w:bookmarkStart w:id="46" w:name="_Toc277082538"/>
      <w:bookmarkStart w:id="47" w:name="_Toc200359429"/>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14:paraId="293D405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5A42E010">
      <w:pPr>
        <w:spacing w:line="360" w:lineRule="auto"/>
        <w:ind w:firstLine="315" w:firstLineChars="150"/>
        <w:rPr>
          <w:rFonts w:hint="eastAsia" w:ascii="宋体" w:hAnsi="宋体"/>
          <w:strike w:val="0"/>
          <w:dstrike w:val="0"/>
          <w:snapToGrid w:val="0"/>
          <w:color w:val="auto"/>
          <w:kern w:val="0"/>
          <w:szCs w:val="21"/>
          <w:highlight w:val="none"/>
          <w:u w:val="single"/>
          <w:lang w:val="en-US" w:eastAsia="zh-CN"/>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电力工程施工总承包三级及以上资质或者输变电工程专业承包三级及以上资质，并同时具备承装类、承试类、承修类四级以上资质。</w:t>
      </w:r>
      <w:r>
        <w:rPr>
          <w:rFonts w:hint="eastAsia" w:asciiTheme="minorEastAsia" w:hAnsiTheme="minorEastAsia" w:eastAsiaTheme="minorEastAsia" w:cstheme="minorEastAsia"/>
          <w:sz w:val="21"/>
          <w:szCs w:val="21"/>
          <w:u w:val="single"/>
        </w:rPr>
        <w:t>202</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年1月1日至</w:t>
      </w:r>
      <w:r>
        <w:rPr>
          <w:rFonts w:hint="eastAsia" w:ascii="宋体" w:hAnsi="宋体"/>
          <w:strike w:val="0"/>
          <w:dstrike w:val="0"/>
          <w:color w:val="auto"/>
          <w:szCs w:val="21"/>
          <w:highlight w:val="none"/>
          <w:u w:val="single"/>
        </w:rPr>
        <w:t>投标截止日止（以竣工时间为准）</w:t>
      </w:r>
      <w:r>
        <w:rPr>
          <w:rFonts w:hint="eastAsia" w:ascii="宋体" w:hAnsi="宋体"/>
          <w:strike w:val="0"/>
          <w:dstrike w:val="0"/>
          <w:color w:val="auto"/>
          <w:szCs w:val="21"/>
          <w:highlight w:val="none"/>
          <w:u w:val="single"/>
          <w:lang w:val="en-US" w:eastAsia="zh-CN"/>
        </w:rPr>
        <w:t>完成</w:t>
      </w:r>
      <w:r>
        <w:rPr>
          <w:rFonts w:hint="eastAsia" w:ascii="宋体" w:hAnsi="宋体"/>
          <w:strike w:val="0"/>
          <w:dstrike w:val="0"/>
          <w:color w:val="auto"/>
          <w:szCs w:val="21"/>
          <w:highlight w:val="none"/>
          <w:u w:val="single"/>
        </w:rPr>
        <w:t>的</w:t>
      </w:r>
      <w:r>
        <w:rPr>
          <w:rFonts w:hint="eastAsia" w:ascii="宋体" w:hAnsi="宋体"/>
          <w:strike w:val="0"/>
          <w:dstrike w:val="0"/>
          <w:color w:val="auto"/>
          <w:szCs w:val="21"/>
          <w:highlight w:val="none"/>
          <w:u w:val="single"/>
          <w:lang w:val="en-US" w:eastAsia="zh-CN"/>
        </w:rPr>
        <w:t>1</w:t>
      </w:r>
      <w:r>
        <w:rPr>
          <w:rFonts w:hint="eastAsia" w:ascii="宋体" w:hAnsi="宋体"/>
          <w:strike w:val="0"/>
          <w:dstrike w:val="0"/>
          <w:color w:val="auto"/>
          <w:szCs w:val="21"/>
          <w:highlight w:val="none"/>
          <w:u w:val="single"/>
        </w:rPr>
        <w:t>个类似项目业绩。</w:t>
      </w:r>
    </w:p>
    <w:p w14:paraId="36E51867">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14:paraId="73B3FD58">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14:paraId="63A299DD">
      <w:pPr>
        <w:pStyle w:val="4"/>
        <w:spacing w:before="100" w:after="100" w:line="460" w:lineRule="exact"/>
        <w:rPr>
          <w:rFonts w:ascii="宋体" w:hAnsi="宋体"/>
          <w:snapToGrid w:val="0"/>
          <w:sz w:val="28"/>
          <w:szCs w:val="28"/>
          <w:highlight w:val="none"/>
        </w:rPr>
      </w:pPr>
      <w:bookmarkStart w:id="48" w:name="_Toc200359241"/>
      <w:bookmarkStart w:id="49" w:name="_Toc509218695"/>
      <w:bookmarkStart w:id="50" w:name="_Toc10508"/>
      <w:bookmarkStart w:id="51" w:name="_Toc277082539"/>
      <w:bookmarkStart w:id="52" w:name="_Toc430530419"/>
      <w:bookmarkStart w:id="53" w:name="_Toc13751"/>
      <w:bookmarkStart w:id="54" w:name="_Toc224103302"/>
      <w:bookmarkStart w:id="55" w:name="_Toc200359430"/>
      <w:bookmarkStart w:id="56" w:name="_Toc287620670"/>
      <w:bookmarkStart w:id="57" w:name="_Toc287607731"/>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14:paraId="32109CA6">
      <w:pPr>
        <w:widowControl/>
        <w:spacing w:line="360" w:lineRule="auto"/>
        <w:ind w:firstLine="420" w:firstLineChars="200"/>
        <w:rPr>
          <w:rFonts w:cs="宋体" w:asciiTheme="minorEastAsia" w:hAnsiTheme="minorEastAsia" w:eastAsiaTheme="minorEastAsia"/>
          <w:kern w:val="0"/>
          <w:sz w:val="21"/>
          <w:szCs w:val="21"/>
        </w:rPr>
      </w:pPr>
      <w:bookmarkStart w:id="58" w:name="_Toc277082540"/>
      <w:bookmarkStart w:id="59" w:name="_Toc509218696"/>
      <w:bookmarkStart w:id="60" w:name="_Toc430530420"/>
      <w:bookmarkStart w:id="61" w:name="_Toc287607732"/>
      <w:bookmarkStart w:id="62" w:name="_Toc287620671"/>
      <w:bookmarkStart w:id="63" w:name="_Toc224103303"/>
      <w:bookmarkStart w:id="64" w:name="_Toc28449"/>
      <w:bookmarkStart w:id="65" w:name="_Toc200359431"/>
      <w:bookmarkStart w:id="66" w:name="_Toc200359242"/>
      <w:bookmarkStart w:id="67" w:name="_Toc3893"/>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14:paraId="56ABB100">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14:paraId="1A255F6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7</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19</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E29195A">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14:paraId="18277E40">
      <w:pPr>
        <w:pStyle w:val="4"/>
        <w:spacing w:before="100" w:after="100" w:line="460" w:lineRule="exact"/>
        <w:rPr>
          <w:rFonts w:ascii="宋体" w:hAnsi="宋体"/>
          <w:snapToGrid w:val="0"/>
          <w:sz w:val="28"/>
          <w:szCs w:val="28"/>
          <w:highlight w:val="none"/>
        </w:rPr>
      </w:pPr>
      <w:bookmarkStart w:id="68" w:name="_Toc277082541"/>
      <w:bookmarkStart w:id="69" w:name="_Toc430530421"/>
      <w:bookmarkStart w:id="70" w:name="_Toc200359432"/>
      <w:bookmarkStart w:id="71" w:name="_Toc509218697"/>
      <w:bookmarkStart w:id="72" w:name="_Toc287607733"/>
      <w:bookmarkStart w:id="73" w:name="_Toc287620672"/>
      <w:bookmarkStart w:id="74" w:name="_Toc224103304"/>
      <w:bookmarkStart w:id="75" w:name="_Toc200359243"/>
      <w:bookmarkStart w:id="76" w:name="_Toc19071"/>
      <w:bookmarkStart w:id="77" w:name="_Toc8166"/>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14:paraId="1BE974C6">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14:paraId="37252C6A">
      <w:pPr>
        <w:pStyle w:val="4"/>
        <w:spacing w:before="100" w:after="100" w:line="460" w:lineRule="exact"/>
        <w:rPr>
          <w:rFonts w:ascii="宋体" w:hAnsi="宋体"/>
          <w:snapToGrid w:val="0"/>
          <w:sz w:val="28"/>
          <w:szCs w:val="28"/>
          <w:highlight w:val="none"/>
        </w:rPr>
      </w:pPr>
      <w:bookmarkStart w:id="78" w:name="_Toc31352"/>
      <w:bookmarkStart w:id="79" w:name="_Toc14240"/>
      <w:bookmarkStart w:id="80" w:name="_Toc277082542"/>
      <w:bookmarkStart w:id="81" w:name="_Toc509218698"/>
      <w:bookmarkStart w:id="82" w:name="_Toc287607734"/>
      <w:bookmarkStart w:id="83" w:name="_Toc287620673"/>
      <w:bookmarkStart w:id="84" w:name="_Toc224103305"/>
      <w:bookmarkStart w:id="85" w:name="_Toc430530422"/>
      <w:bookmarkStart w:id="86" w:name="_Toc769"/>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14:paraId="14521253">
      <w:pPr>
        <w:spacing w:line="360" w:lineRule="auto"/>
        <w:ind w:firstLine="420" w:firstLineChars="200"/>
        <w:rPr>
          <w:rFonts w:cs="宋体" w:asciiTheme="minorEastAsia" w:hAnsiTheme="minorEastAsia" w:eastAsiaTheme="minorEastAsia"/>
          <w:kern w:val="0"/>
          <w:sz w:val="21"/>
          <w:szCs w:val="21"/>
        </w:rPr>
      </w:pPr>
      <w:bookmarkStart w:id="88" w:name="_Toc430530432"/>
      <w:bookmarkStart w:id="89" w:name="_Toc287607744"/>
      <w:bookmarkStart w:id="90" w:name="_Toc224103315"/>
      <w:bookmarkStart w:id="91" w:name="_Toc287620683"/>
      <w:bookmarkStart w:id="92" w:name="_Toc32148"/>
      <w:r>
        <w:rPr>
          <w:rFonts w:hint="eastAsia" w:cs="宋体" w:asciiTheme="minorEastAsia" w:hAnsiTheme="minorEastAsia" w:eastAsiaTheme="minorEastAsia"/>
          <w:kern w:val="0"/>
          <w:sz w:val="21"/>
          <w:szCs w:val="21"/>
        </w:rPr>
        <w:t>比选人：重庆新汇商实业有限公司</w:t>
      </w:r>
    </w:p>
    <w:p w14:paraId="00080F28">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14:paraId="6E2B0120">
      <w:pPr>
        <w:spacing w:line="360" w:lineRule="auto"/>
        <w:ind w:firstLine="420" w:firstLineChars="200"/>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电  话：</w:t>
      </w:r>
      <w:r>
        <w:rPr>
          <w:rFonts w:hint="eastAsia" w:ascii="宋体" w:hAnsi="宋体" w:cs="宋体" w:eastAsiaTheme="minorEastAsia"/>
          <w:kern w:val="0"/>
          <w:sz w:val="21"/>
          <w:szCs w:val="21"/>
          <w:lang w:val="en-US" w:eastAsia="zh-CN"/>
        </w:rPr>
        <w:t>62513184</w:t>
      </w:r>
    </w:p>
    <w:p w14:paraId="0C8F83E0">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14:paraId="0761D496">
      <w:pPr>
        <w:pStyle w:val="2"/>
        <w:rPr>
          <w:rFonts w:ascii="宋体" w:hAnsi="宋体"/>
          <w:snapToGrid w:val="0"/>
          <w:color w:val="auto"/>
          <w:kern w:val="0"/>
          <w:szCs w:val="21"/>
          <w:highlight w:val="none"/>
          <w:u w:val="single"/>
        </w:rPr>
      </w:pPr>
      <w:r>
        <w:rPr>
          <w:rFonts w:hint="eastAsia"/>
          <w:lang w:val="en-US" w:eastAsia="zh-CN"/>
        </w:rPr>
        <w:t xml:space="preserve">    邮  箱：50417679@qq.com</w:t>
      </w:r>
    </w:p>
    <w:p w14:paraId="1D68B8B4">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6CF44141">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11</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688D123">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221C7AE5">
      <w:pPr>
        <w:pStyle w:val="3"/>
        <w:spacing w:line="360" w:lineRule="auto"/>
        <w:jc w:val="center"/>
        <w:rPr>
          <w:rFonts w:ascii="宋体" w:hAnsi="宋体"/>
          <w:bCs w:val="0"/>
          <w:snapToGrid w:val="0"/>
          <w:kern w:val="0"/>
          <w:highlight w:val="none"/>
        </w:rPr>
      </w:pPr>
      <w:bookmarkStart w:id="93" w:name="_Toc5447"/>
      <w:bookmarkStart w:id="94" w:name="_Toc22622"/>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24103316"/>
      <w:bookmarkStart w:id="96" w:name="_Toc277082551"/>
      <w:bookmarkStart w:id="97" w:name="_Toc287620684"/>
      <w:bookmarkStart w:id="98" w:name="_Toc430530433"/>
      <w:bookmarkStart w:id="99" w:name="_Toc287607745"/>
    </w:p>
    <w:p w14:paraId="48304895">
      <w:pPr>
        <w:pStyle w:val="4"/>
        <w:spacing w:before="100" w:after="100" w:line="360" w:lineRule="auto"/>
        <w:rPr>
          <w:rFonts w:ascii="宋体" w:hAnsi="宋体"/>
          <w:highlight w:val="none"/>
        </w:rPr>
      </w:pPr>
      <w:bookmarkStart w:id="100" w:name="_Toc8005"/>
      <w:bookmarkStart w:id="101" w:name="_Toc31303"/>
      <w:bookmarkStart w:id="102" w:name="_Toc509218708"/>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14:paraId="47FAC853">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F353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0D8750E">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6781F8BB">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20314AB8">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4C109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05240C">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41DFAC52">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14:paraId="740DE1C4">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ascii="宋体" w:hAnsi="宋体"/>
                <w:color w:val="auto"/>
                <w:kern w:val="0"/>
                <w:szCs w:val="21"/>
                <w:highlight w:val="none"/>
                <w:u w:val="none"/>
                <w:lang w:eastAsia="zh-CN"/>
              </w:rPr>
              <w:t>重庆新汇商实业有限公司</w:t>
            </w:r>
          </w:p>
          <w:p w14:paraId="690E874D">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14:paraId="2468200A">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14:paraId="10C0E05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14:paraId="26D7C5B6">
            <w:pPr>
              <w:pStyle w:val="2"/>
            </w:pPr>
            <w:r>
              <w:rPr>
                <w:rFonts w:hint="eastAsia"/>
                <w:lang w:val="en-US" w:eastAsia="zh-CN"/>
              </w:rPr>
              <w:t xml:space="preserve">  邮  箱：50417679@qq.com</w:t>
            </w:r>
          </w:p>
        </w:tc>
      </w:tr>
      <w:tr w14:paraId="61135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B1CFB7">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796EB674">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5972A610">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经开.博睿庭（人才公寓）项目正式用电工程（外线）施工</w:t>
            </w:r>
          </w:p>
        </w:tc>
      </w:tr>
      <w:tr w14:paraId="46B57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9B013F">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25989C0F">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14:paraId="0B71FE1C">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lang w:val="en-US" w:eastAsia="zh-CN"/>
              </w:rPr>
              <w:t>经开区</w:t>
            </w:r>
            <w:r>
              <w:rPr>
                <w:rFonts w:hint="default" w:ascii="宋体" w:hAnsi="宋体" w:eastAsia="宋体"/>
                <w:color w:val="auto"/>
                <w:szCs w:val="21"/>
                <w:highlight w:val="none"/>
                <w:lang w:val="en-US" w:eastAsia="zh-CN"/>
              </w:rPr>
              <w:t>迎龙</w:t>
            </w:r>
            <w:r>
              <w:rPr>
                <w:rFonts w:hint="eastAsia" w:ascii="宋体" w:hAnsi="宋体"/>
                <w:color w:val="auto"/>
                <w:szCs w:val="21"/>
                <w:highlight w:val="none"/>
                <w:lang w:val="en-US" w:eastAsia="zh-CN"/>
              </w:rPr>
              <w:t>医药城</w:t>
            </w:r>
          </w:p>
        </w:tc>
      </w:tr>
      <w:tr w14:paraId="6CF79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7C3C83">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4B026ADB">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14:paraId="74922B25">
            <w:pPr>
              <w:tabs>
                <w:tab w:val="left" w:pos="3840"/>
                <w:tab w:val="left" w:pos="5300"/>
              </w:tabs>
              <w:autoSpaceDE w:val="0"/>
              <w:autoSpaceDN w:val="0"/>
              <w:adjustRightInd w:val="0"/>
              <w:snapToGrid w:val="0"/>
              <w:spacing w:line="460" w:lineRule="exact"/>
              <w:ind w:firstLine="420" w:firstLineChars="200"/>
              <w:jc w:val="left"/>
              <w:rPr>
                <w:rFonts w:hint="default" w:ascii="宋体" w:hAnsi="宋体"/>
                <w:i/>
                <w:snapToGrid w:val="0"/>
                <w:color w:val="auto"/>
                <w:kern w:val="0"/>
                <w:szCs w:val="21"/>
                <w:highlight w:val="none"/>
                <w:lang w:val="en-US"/>
              </w:rPr>
            </w:pPr>
            <w:r>
              <w:rPr>
                <w:rFonts w:hint="eastAsia" w:ascii="宋体" w:hAnsi="宋体"/>
                <w:snapToGrid w:val="0"/>
                <w:color w:val="auto"/>
                <w:kern w:val="0"/>
                <w:szCs w:val="21"/>
                <w:highlight w:val="none"/>
                <w:u w:val="single"/>
                <w:lang w:val="en-US" w:eastAsia="zh-CN"/>
              </w:rPr>
              <w:t>峡药一回#969间隔出线电缆及峡药二回#987间隔出线电缆现有电力线路、设施设备改造升级，达到国网重庆市电力公司南岸供电分公司专用产权转公用产权的验收、交付及使用，并需配合完成将峡药一回#969间隔出线电缆及峡药二回#987间隔出线电缆申请为经开·博睿庭项目一期公用供电电源。</w:t>
            </w:r>
          </w:p>
        </w:tc>
      </w:tr>
      <w:tr w14:paraId="1BB35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E3F701">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13B4F9F1">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2DD1258E">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14:paraId="651B1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FBDCED">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5369DED0">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295EDF16">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14:paraId="386BB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E439C7">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07C0BC3A">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5A1374EA">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71B3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85AE80">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1F5C2A63">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14:paraId="3CAE89CA">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峡药一回#969间隔出线电缆及峡药二回#987间隔出线电缆现有电力线路、设施设备改造升级，主要内容包括二进四出环网柜2台、新建3*4+2孔排管20米、4*6孔排管20米，新建6×1.3×1.8m三通井2个、6×1.9×1.8m三通井1个，扩建6×1.3×1.8mm三通井1个、新建环网柜基础2个、环网柜至开闭所电力电缆ZA-YJV22-8.7/15kV-3×400mm²  2129m、配网自动化以及相应的调试、峡药一、二回缺陷整治及办理资产移交等。</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14:paraId="7BADB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5FF511">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77437E79">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14:paraId="41E15AB2">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14:paraId="2BF42EC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single"/>
                <w:lang w:val="en-US" w:eastAsia="zh-CN"/>
              </w:rPr>
              <w:t>30日历天（从中标通知书发出之日起算）。</w:t>
            </w:r>
          </w:p>
          <w:p w14:paraId="6DF28876">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lang w:val="en-US" w:eastAsia="zh-CN"/>
              </w:rPr>
              <w:t xml:space="preserve">2年 </w:t>
            </w:r>
          </w:p>
        </w:tc>
      </w:tr>
      <w:tr w14:paraId="5E60A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E75C29">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25CE2B05">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072D8027">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14:paraId="5DD0A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14:paraId="0059300D">
            <w:pPr>
              <w:snapToGrid w:val="0"/>
              <w:spacing w:line="400" w:lineRule="exact"/>
              <w:jc w:val="center"/>
              <w:rPr>
                <w:rFonts w:ascii="宋体" w:hAnsi="宋体"/>
                <w:kern w:val="0"/>
                <w:szCs w:val="21"/>
                <w:highlight w:val="none"/>
              </w:rPr>
            </w:pPr>
          </w:p>
          <w:p w14:paraId="7D8FC72C">
            <w:pPr>
              <w:snapToGrid w:val="0"/>
              <w:spacing w:line="400" w:lineRule="exact"/>
              <w:jc w:val="center"/>
              <w:rPr>
                <w:rFonts w:ascii="宋体" w:hAnsi="宋体"/>
                <w:kern w:val="0"/>
                <w:szCs w:val="21"/>
                <w:highlight w:val="none"/>
              </w:rPr>
            </w:pPr>
          </w:p>
          <w:p w14:paraId="2FB0140E">
            <w:pPr>
              <w:snapToGrid w:val="0"/>
              <w:spacing w:line="400" w:lineRule="exact"/>
              <w:jc w:val="center"/>
              <w:rPr>
                <w:rFonts w:ascii="宋体" w:hAnsi="宋体"/>
                <w:kern w:val="0"/>
                <w:szCs w:val="21"/>
                <w:highlight w:val="none"/>
              </w:rPr>
            </w:pPr>
          </w:p>
          <w:p w14:paraId="643B136B">
            <w:pPr>
              <w:snapToGrid w:val="0"/>
              <w:spacing w:line="400" w:lineRule="exact"/>
              <w:jc w:val="center"/>
              <w:rPr>
                <w:rFonts w:ascii="宋体" w:hAnsi="宋体"/>
                <w:kern w:val="0"/>
                <w:szCs w:val="21"/>
                <w:highlight w:val="none"/>
              </w:rPr>
            </w:pPr>
          </w:p>
          <w:p w14:paraId="0E813C03">
            <w:pPr>
              <w:snapToGrid w:val="0"/>
              <w:spacing w:line="400" w:lineRule="exact"/>
              <w:jc w:val="center"/>
              <w:rPr>
                <w:rFonts w:ascii="宋体" w:hAnsi="宋体"/>
                <w:kern w:val="0"/>
                <w:szCs w:val="21"/>
                <w:highlight w:val="none"/>
              </w:rPr>
            </w:pPr>
          </w:p>
          <w:p w14:paraId="1AD7A2B3">
            <w:pPr>
              <w:snapToGrid w:val="0"/>
              <w:spacing w:line="400" w:lineRule="exact"/>
              <w:jc w:val="center"/>
              <w:rPr>
                <w:rFonts w:ascii="宋体" w:hAnsi="宋体"/>
                <w:kern w:val="0"/>
                <w:szCs w:val="21"/>
                <w:highlight w:val="none"/>
              </w:rPr>
            </w:pPr>
          </w:p>
          <w:p w14:paraId="5198EAF5">
            <w:pPr>
              <w:snapToGrid w:val="0"/>
              <w:spacing w:line="400" w:lineRule="exact"/>
              <w:jc w:val="center"/>
              <w:rPr>
                <w:rFonts w:ascii="宋体" w:hAnsi="宋体"/>
                <w:kern w:val="0"/>
                <w:szCs w:val="21"/>
                <w:highlight w:val="none"/>
              </w:rPr>
            </w:pPr>
          </w:p>
          <w:p w14:paraId="7E0C9CCA">
            <w:pPr>
              <w:snapToGrid w:val="0"/>
              <w:spacing w:line="400" w:lineRule="exact"/>
              <w:jc w:val="center"/>
              <w:rPr>
                <w:rFonts w:ascii="宋体" w:hAnsi="宋体"/>
                <w:kern w:val="0"/>
                <w:szCs w:val="21"/>
                <w:highlight w:val="none"/>
              </w:rPr>
            </w:pPr>
          </w:p>
          <w:p w14:paraId="341652F9">
            <w:pPr>
              <w:snapToGrid w:val="0"/>
              <w:spacing w:line="400" w:lineRule="exact"/>
              <w:jc w:val="center"/>
              <w:rPr>
                <w:rFonts w:ascii="宋体" w:hAnsi="宋体"/>
                <w:kern w:val="0"/>
                <w:szCs w:val="21"/>
                <w:highlight w:val="none"/>
              </w:rPr>
            </w:pPr>
          </w:p>
          <w:p w14:paraId="52FB7FF2">
            <w:pPr>
              <w:snapToGrid w:val="0"/>
              <w:spacing w:line="400" w:lineRule="exact"/>
              <w:jc w:val="center"/>
              <w:rPr>
                <w:rFonts w:ascii="宋体" w:hAnsi="宋体"/>
                <w:kern w:val="0"/>
                <w:szCs w:val="21"/>
                <w:highlight w:val="none"/>
              </w:rPr>
            </w:pPr>
          </w:p>
          <w:p w14:paraId="5FC27A48">
            <w:pPr>
              <w:snapToGrid w:val="0"/>
              <w:spacing w:line="400" w:lineRule="exact"/>
              <w:jc w:val="center"/>
              <w:rPr>
                <w:rFonts w:ascii="宋体" w:hAnsi="宋体"/>
                <w:kern w:val="0"/>
                <w:szCs w:val="21"/>
                <w:highlight w:val="none"/>
              </w:rPr>
            </w:pPr>
          </w:p>
          <w:p w14:paraId="17AC0299">
            <w:pPr>
              <w:snapToGrid w:val="0"/>
              <w:spacing w:line="400" w:lineRule="exact"/>
              <w:jc w:val="center"/>
              <w:rPr>
                <w:rFonts w:ascii="宋体" w:hAnsi="宋体"/>
                <w:kern w:val="0"/>
                <w:szCs w:val="21"/>
                <w:highlight w:val="none"/>
              </w:rPr>
            </w:pPr>
          </w:p>
          <w:p w14:paraId="7C5ABEA5">
            <w:pPr>
              <w:snapToGrid w:val="0"/>
              <w:spacing w:line="400" w:lineRule="exact"/>
              <w:jc w:val="center"/>
              <w:rPr>
                <w:rFonts w:ascii="宋体" w:hAnsi="宋体"/>
                <w:kern w:val="0"/>
                <w:szCs w:val="21"/>
                <w:highlight w:val="none"/>
              </w:rPr>
            </w:pPr>
          </w:p>
          <w:p w14:paraId="0819EF83">
            <w:pPr>
              <w:snapToGrid w:val="0"/>
              <w:spacing w:line="400" w:lineRule="exact"/>
              <w:jc w:val="center"/>
              <w:rPr>
                <w:rFonts w:ascii="宋体" w:hAnsi="宋体"/>
                <w:kern w:val="0"/>
                <w:szCs w:val="21"/>
                <w:highlight w:val="none"/>
              </w:rPr>
            </w:pPr>
          </w:p>
          <w:p w14:paraId="7F3C8024">
            <w:pPr>
              <w:snapToGrid w:val="0"/>
              <w:spacing w:line="400" w:lineRule="exact"/>
              <w:jc w:val="center"/>
              <w:rPr>
                <w:rFonts w:ascii="宋体" w:hAnsi="宋体"/>
                <w:kern w:val="0"/>
                <w:szCs w:val="21"/>
                <w:highlight w:val="none"/>
              </w:rPr>
            </w:pPr>
          </w:p>
          <w:p w14:paraId="5DF76967">
            <w:pPr>
              <w:snapToGrid w:val="0"/>
              <w:spacing w:line="400" w:lineRule="exact"/>
              <w:jc w:val="center"/>
              <w:rPr>
                <w:rFonts w:ascii="宋体" w:hAnsi="宋体"/>
                <w:kern w:val="0"/>
                <w:szCs w:val="21"/>
                <w:highlight w:val="none"/>
              </w:rPr>
            </w:pPr>
          </w:p>
          <w:p w14:paraId="72A57DFD">
            <w:pPr>
              <w:snapToGrid w:val="0"/>
              <w:spacing w:line="400" w:lineRule="exact"/>
              <w:jc w:val="center"/>
              <w:rPr>
                <w:rFonts w:ascii="宋体" w:hAnsi="宋体"/>
                <w:kern w:val="0"/>
                <w:szCs w:val="21"/>
                <w:highlight w:val="none"/>
              </w:rPr>
            </w:pPr>
          </w:p>
          <w:p w14:paraId="28096C83">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0E43E4DB">
            <w:pPr>
              <w:snapToGrid w:val="0"/>
              <w:spacing w:line="400" w:lineRule="exact"/>
              <w:jc w:val="center"/>
              <w:rPr>
                <w:rFonts w:ascii="宋体" w:hAnsi="宋体"/>
                <w:kern w:val="0"/>
                <w:szCs w:val="21"/>
                <w:highlight w:val="none"/>
              </w:rPr>
            </w:pPr>
          </w:p>
          <w:p w14:paraId="0DFB5DE6">
            <w:pPr>
              <w:snapToGrid w:val="0"/>
              <w:spacing w:line="400" w:lineRule="exact"/>
              <w:jc w:val="center"/>
              <w:rPr>
                <w:rFonts w:ascii="宋体" w:hAnsi="宋体"/>
                <w:kern w:val="0"/>
                <w:szCs w:val="21"/>
                <w:highlight w:val="none"/>
              </w:rPr>
            </w:pPr>
          </w:p>
          <w:p w14:paraId="48993495">
            <w:pPr>
              <w:snapToGrid w:val="0"/>
              <w:spacing w:line="400" w:lineRule="exact"/>
              <w:jc w:val="center"/>
              <w:rPr>
                <w:rFonts w:ascii="宋体" w:hAnsi="宋体"/>
                <w:kern w:val="0"/>
                <w:szCs w:val="21"/>
                <w:highlight w:val="none"/>
              </w:rPr>
            </w:pPr>
          </w:p>
          <w:p w14:paraId="2443500D">
            <w:pPr>
              <w:snapToGrid w:val="0"/>
              <w:spacing w:line="400" w:lineRule="exact"/>
              <w:jc w:val="center"/>
              <w:rPr>
                <w:rFonts w:ascii="宋体" w:hAnsi="宋体"/>
                <w:kern w:val="0"/>
                <w:szCs w:val="21"/>
                <w:highlight w:val="none"/>
              </w:rPr>
            </w:pPr>
          </w:p>
          <w:p w14:paraId="0EC1F0B4">
            <w:pPr>
              <w:snapToGrid w:val="0"/>
              <w:spacing w:line="400" w:lineRule="exact"/>
              <w:jc w:val="center"/>
              <w:rPr>
                <w:rFonts w:ascii="宋体" w:hAnsi="宋体"/>
                <w:kern w:val="0"/>
                <w:szCs w:val="21"/>
                <w:highlight w:val="none"/>
              </w:rPr>
            </w:pPr>
          </w:p>
          <w:p w14:paraId="3A691577">
            <w:pPr>
              <w:snapToGrid w:val="0"/>
              <w:spacing w:line="400" w:lineRule="exact"/>
              <w:jc w:val="center"/>
              <w:rPr>
                <w:rFonts w:ascii="宋体" w:hAnsi="宋体"/>
                <w:kern w:val="0"/>
                <w:szCs w:val="21"/>
                <w:highlight w:val="none"/>
              </w:rPr>
            </w:pPr>
          </w:p>
          <w:p w14:paraId="1EE7BE30">
            <w:pPr>
              <w:snapToGrid w:val="0"/>
              <w:spacing w:line="400" w:lineRule="exact"/>
              <w:jc w:val="center"/>
              <w:rPr>
                <w:rFonts w:ascii="宋体" w:hAnsi="宋体"/>
                <w:kern w:val="0"/>
                <w:szCs w:val="21"/>
                <w:highlight w:val="none"/>
              </w:rPr>
            </w:pPr>
          </w:p>
          <w:p w14:paraId="5A216A57">
            <w:pPr>
              <w:snapToGrid w:val="0"/>
              <w:spacing w:line="400" w:lineRule="exact"/>
              <w:jc w:val="center"/>
              <w:rPr>
                <w:rFonts w:ascii="宋体" w:hAnsi="宋体"/>
                <w:kern w:val="0"/>
                <w:szCs w:val="21"/>
                <w:highlight w:val="none"/>
              </w:rPr>
            </w:pPr>
          </w:p>
          <w:p w14:paraId="43027DB0">
            <w:pPr>
              <w:snapToGrid w:val="0"/>
              <w:spacing w:line="400" w:lineRule="exact"/>
              <w:jc w:val="center"/>
              <w:rPr>
                <w:rFonts w:ascii="宋体" w:hAnsi="宋体"/>
                <w:kern w:val="0"/>
                <w:szCs w:val="21"/>
                <w:highlight w:val="none"/>
              </w:rPr>
            </w:pPr>
          </w:p>
          <w:p w14:paraId="15955BA0">
            <w:pPr>
              <w:snapToGrid w:val="0"/>
              <w:spacing w:line="400" w:lineRule="exact"/>
              <w:jc w:val="center"/>
              <w:rPr>
                <w:rFonts w:ascii="宋体" w:hAnsi="宋体"/>
                <w:kern w:val="0"/>
                <w:szCs w:val="21"/>
                <w:highlight w:val="none"/>
              </w:rPr>
            </w:pPr>
          </w:p>
          <w:p w14:paraId="1109FE29">
            <w:pPr>
              <w:snapToGrid w:val="0"/>
              <w:spacing w:line="400" w:lineRule="exact"/>
              <w:jc w:val="center"/>
              <w:rPr>
                <w:rFonts w:ascii="宋体" w:hAnsi="宋体"/>
                <w:kern w:val="0"/>
                <w:szCs w:val="21"/>
                <w:highlight w:val="none"/>
              </w:rPr>
            </w:pPr>
          </w:p>
          <w:p w14:paraId="435BA3F0">
            <w:pPr>
              <w:snapToGrid w:val="0"/>
              <w:spacing w:line="400" w:lineRule="exact"/>
              <w:jc w:val="center"/>
              <w:rPr>
                <w:rFonts w:ascii="宋体" w:hAnsi="宋体"/>
                <w:kern w:val="0"/>
                <w:szCs w:val="21"/>
                <w:highlight w:val="none"/>
              </w:rPr>
            </w:pPr>
          </w:p>
          <w:p w14:paraId="039C733E">
            <w:pPr>
              <w:snapToGrid w:val="0"/>
              <w:spacing w:line="400" w:lineRule="exact"/>
              <w:jc w:val="center"/>
              <w:rPr>
                <w:rFonts w:ascii="宋体" w:hAnsi="宋体"/>
                <w:kern w:val="0"/>
                <w:szCs w:val="21"/>
                <w:highlight w:val="none"/>
              </w:rPr>
            </w:pPr>
          </w:p>
          <w:p w14:paraId="1FC68F15">
            <w:pPr>
              <w:snapToGrid w:val="0"/>
              <w:spacing w:line="400" w:lineRule="exact"/>
              <w:jc w:val="center"/>
              <w:rPr>
                <w:rFonts w:ascii="宋体" w:hAnsi="宋体"/>
                <w:kern w:val="0"/>
                <w:szCs w:val="21"/>
                <w:highlight w:val="none"/>
              </w:rPr>
            </w:pPr>
          </w:p>
          <w:p w14:paraId="5E96AEA6">
            <w:pPr>
              <w:snapToGrid w:val="0"/>
              <w:spacing w:line="400" w:lineRule="exact"/>
              <w:jc w:val="center"/>
              <w:rPr>
                <w:rFonts w:ascii="宋体" w:hAnsi="宋体"/>
                <w:kern w:val="0"/>
                <w:szCs w:val="21"/>
                <w:highlight w:val="none"/>
              </w:rPr>
            </w:pPr>
          </w:p>
          <w:p w14:paraId="35D4AC0A">
            <w:pPr>
              <w:snapToGrid w:val="0"/>
              <w:spacing w:line="400" w:lineRule="exact"/>
              <w:jc w:val="center"/>
              <w:rPr>
                <w:rFonts w:ascii="宋体" w:hAnsi="宋体"/>
                <w:kern w:val="0"/>
                <w:szCs w:val="21"/>
                <w:highlight w:val="none"/>
              </w:rPr>
            </w:pPr>
          </w:p>
          <w:p w14:paraId="1710022E">
            <w:pPr>
              <w:snapToGrid w:val="0"/>
              <w:spacing w:line="400" w:lineRule="exact"/>
              <w:jc w:val="center"/>
              <w:rPr>
                <w:rFonts w:ascii="宋体" w:hAnsi="宋体"/>
                <w:kern w:val="0"/>
                <w:szCs w:val="21"/>
                <w:highlight w:val="none"/>
              </w:rPr>
            </w:pPr>
          </w:p>
          <w:p w14:paraId="69D1B316">
            <w:pPr>
              <w:snapToGrid w:val="0"/>
              <w:spacing w:line="400" w:lineRule="exact"/>
              <w:jc w:val="center"/>
              <w:rPr>
                <w:rFonts w:ascii="宋体" w:hAnsi="宋体"/>
                <w:kern w:val="0"/>
                <w:szCs w:val="21"/>
                <w:highlight w:val="none"/>
              </w:rPr>
            </w:pPr>
          </w:p>
          <w:p w14:paraId="52B7D501">
            <w:pPr>
              <w:snapToGrid w:val="0"/>
              <w:spacing w:line="400" w:lineRule="exact"/>
              <w:jc w:val="center"/>
              <w:rPr>
                <w:rFonts w:ascii="宋体" w:hAnsi="宋体"/>
                <w:kern w:val="0"/>
                <w:szCs w:val="21"/>
                <w:highlight w:val="none"/>
              </w:rPr>
            </w:pPr>
          </w:p>
          <w:p w14:paraId="1B7ADEEB">
            <w:pPr>
              <w:snapToGrid w:val="0"/>
              <w:spacing w:line="400" w:lineRule="exact"/>
              <w:jc w:val="center"/>
              <w:rPr>
                <w:rFonts w:ascii="宋体" w:hAnsi="宋体"/>
                <w:kern w:val="0"/>
                <w:szCs w:val="21"/>
                <w:highlight w:val="none"/>
              </w:rPr>
            </w:pPr>
          </w:p>
          <w:p w14:paraId="71E155DD">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6481603F">
            <w:pPr>
              <w:snapToGrid w:val="0"/>
              <w:spacing w:line="400" w:lineRule="exact"/>
              <w:jc w:val="center"/>
              <w:rPr>
                <w:rFonts w:ascii="宋体" w:hAnsi="宋体"/>
                <w:kern w:val="0"/>
                <w:szCs w:val="21"/>
                <w:highlight w:val="none"/>
              </w:rPr>
            </w:pPr>
          </w:p>
          <w:p w14:paraId="27A56081">
            <w:pPr>
              <w:snapToGrid w:val="0"/>
              <w:spacing w:line="400" w:lineRule="exact"/>
              <w:jc w:val="center"/>
              <w:rPr>
                <w:rFonts w:ascii="宋体" w:hAnsi="宋体"/>
                <w:kern w:val="0"/>
                <w:szCs w:val="21"/>
                <w:highlight w:val="none"/>
              </w:rPr>
            </w:pPr>
          </w:p>
          <w:p w14:paraId="73A5D948">
            <w:pPr>
              <w:snapToGrid w:val="0"/>
              <w:spacing w:line="400" w:lineRule="exact"/>
              <w:jc w:val="center"/>
              <w:rPr>
                <w:rFonts w:ascii="宋体" w:hAnsi="宋体"/>
                <w:kern w:val="0"/>
                <w:szCs w:val="21"/>
                <w:highlight w:val="none"/>
              </w:rPr>
            </w:pPr>
          </w:p>
          <w:p w14:paraId="26A74E87">
            <w:pPr>
              <w:snapToGrid w:val="0"/>
              <w:spacing w:line="400" w:lineRule="exact"/>
              <w:jc w:val="center"/>
              <w:rPr>
                <w:rFonts w:ascii="宋体" w:hAnsi="宋体"/>
                <w:kern w:val="0"/>
                <w:szCs w:val="21"/>
                <w:highlight w:val="none"/>
              </w:rPr>
            </w:pPr>
          </w:p>
          <w:p w14:paraId="6A610C65">
            <w:pPr>
              <w:snapToGrid w:val="0"/>
              <w:spacing w:line="400" w:lineRule="exact"/>
              <w:jc w:val="center"/>
              <w:rPr>
                <w:rFonts w:ascii="宋体" w:hAnsi="宋体"/>
                <w:kern w:val="0"/>
                <w:szCs w:val="21"/>
                <w:highlight w:val="none"/>
              </w:rPr>
            </w:pPr>
          </w:p>
          <w:p w14:paraId="0D5894E1">
            <w:pPr>
              <w:snapToGrid w:val="0"/>
              <w:spacing w:line="400" w:lineRule="exact"/>
              <w:jc w:val="center"/>
              <w:rPr>
                <w:rFonts w:ascii="宋体" w:hAnsi="宋体"/>
                <w:kern w:val="0"/>
                <w:szCs w:val="21"/>
                <w:highlight w:val="none"/>
              </w:rPr>
            </w:pPr>
          </w:p>
          <w:p w14:paraId="75CE3951">
            <w:pPr>
              <w:snapToGrid w:val="0"/>
              <w:spacing w:line="400" w:lineRule="exact"/>
              <w:jc w:val="center"/>
              <w:rPr>
                <w:rFonts w:ascii="宋体" w:hAnsi="宋体"/>
                <w:kern w:val="0"/>
                <w:szCs w:val="21"/>
                <w:highlight w:val="none"/>
              </w:rPr>
            </w:pPr>
          </w:p>
          <w:p w14:paraId="0D7ADD46">
            <w:pPr>
              <w:snapToGrid w:val="0"/>
              <w:spacing w:line="400" w:lineRule="exact"/>
              <w:jc w:val="center"/>
              <w:rPr>
                <w:rFonts w:ascii="宋体" w:hAnsi="宋体"/>
                <w:kern w:val="0"/>
                <w:szCs w:val="21"/>
                <w:highlight w:val="none"/>
              </w:rPr>
            </w:pPr>
          </w:p>
          <w:p w14:paraId="3BAB7F2F">
            <w:pPr>
              <w:snapToGrid w:val="0"/>
              <w:spacing w:line="400" w:lineRule="exact"/>
              <w:jc w:val="center"/>
              <w:rPr>
                <w:rFonts w:ascii="宋体" w:hAnsi="宋体"/>
                <w:kern w:val="0"/>
                <w:szCs w:val="21"/>
                <w:highlight w:val="none"/>
              </w:rPr>
            </w:pPr>
          </w:p>
          <w:p w14:paraId="570013F8">
            <w:pPr>
              <w:snapToGrid w:val="0"/>
              <w:spacing w:line="400" w:lineRule="exact"/>
              <w:jc w:val="both"/>
              <w:rPr>
                <w:rFonts w:ascii="宋体" w:hAnsi="宋体"/>
                <w:kern w:val="0"/>
                <w:szCs w:val="21"/>
                <w:highlight w:val="none"/>
              </w:rPr>
            </w:pPr>
          </w:p>
        </w:tc>
        <w:tc>
          <w:tcPr>
            <w:tcW w:w="1644" w:type="dxa"/>
            <w:vAlign w:val="center"/>
          </w:tcPr>
          <w:p w14:paraId="0803F8FC">
            <w:pPr>
              <w:snapToGrid w:val="0"/>
              <w:spacing w:line="400" w:lineRule="exact"/>
              <w:jc w:val="center"/>
              <w:rPr>
                <w:rFonts w:ascii="宋体" w:hAnsi="宋体"/>
                <w:kern w:val="0"/>
                <w:szCs w:val="21"/>
                <w:highlight w:val="none"/>
              </w:rPr>
            </w:pPr>
          </w:p>
          <w:p w14:paraId="6E62824C">
            <w:pPr>
              <w:snapToGrid w:val="0"/>
              <w:spacing w:line="400" w:lineRule="exact"/>
              <w:jc w:val="center"/>
              <w:rPr>
                <w:rFonts w:ascii="宋体" w:hAnsi="宋体"/>
                <w:kern w:val="0"/>
                <w:szCs w:val="21"/>
                <w:highlight w:val="none"/>
              </w:rPr>
            </w:pPr>
          </w:p>
          <w:p w14:paraId="0E68B3E4">
            <w:pPr>
              <w:snapToGrid w:val="0"/>
              <w:spacing w:line="400" w:lineRule="exact"/>
              <w:jc w:val="center"/>
              <w:rPr>
                <w:rFonts w:ascii="宋体" w:hAnsi="宋体"/>
                <w:kern w:val="0"/>
                <w:szCs w:val="21"/>
                <w:highlight w:val="none"/>
              </w:rPr>
            </w:pPr>
          </w:p>
          <w:p w14:paraId="2EE731B8">
            <w:pPr>
              <w:snapToGrid w:val="0"/>
              <w:spacing w:line="400" w:lineRule="exact"/>
              <w:jc w:val="center"/>
              <w:rPr>
                <w:rFonts w:ascii="宋体" w:hAnsi="宋体"/>
                <w:kern w:val="0"/>
                <w:szCs w:val="21"/>
                <w:highlight w:val="none"/>
              </w:rPr>
            </w:pPr>
          </w:p>
          <w:p w14:paraId="7EE927D5">
            <w:pPr>
              <w:snapToGrid w:val="0"/>
              <w:spacing w:line="400" w:lineRule="exact"/>
              <w:jc w:val="center"/>
              <w:rPr>
                <w:rFonts w:ascii="宋体" w:hAnsi="宋体"/>
                <w:kern w:val="0"/>
                <w:szCs w:val="21"/>
                <w:highlight w:val="none"/>
              </w:rPr>
            </w:pPr>
          </w:p>
          <w:p w14:paraId="38356442">
            <w:pPr>
              <w:snapToGrid w:val="0"/>
              <w:spacing w:line="400" w:lineRule="exact"/>
              <w:jc w:val="center"/>
              <w:rPr>
                <w:rFonts w:ascii="宋体" w:hAnsi="宋体"/>
                <w:kern w:val="0"/>
                <w:szCs w:val="21"/>
                <w:highlight w:val="none"/>
              </w:rPr>
            </w:pPr>
          </w:p>
          <w:p w14:paraId="5702DD39">
            <w:pPr>
              <w:snapToGrid w:val="0"/>
              <w:spacing w:line="400" w:lineRule="exact"/>
              <w:jc w:val="center"/>
              <w:rPr>
                <w:rFonts w:ascii="宋体" w:hAnsi="宋体"/>
                <w:kern w:val="0"/>
                <w:szCs w:val="21"/>
                <w:highlight w:val="none"/>
              </w:rPr>
            </w:pPr>
          </w:p>
          <w:p w14:paraId="1B79BF90">
            <w:pPr>
              <w:snapToGrid w:val="0"/>
              <w:spacing w:line="400" w:lineRule="exact"/>
              <w:jc w:val="center"/>
              <w:rPr>
                <w:rFonts w:ascii="宋体" w:hAnsi="宋体"/>
                <w:kern w:val="0"/>
                <w:szCs w:val="21"/>
                <w:highlight w:val="none"/>
              </w:rPr>
            </w:pPr>
          </w:p>
          <w:p w14:paraId="1C8FB816">
            <w:pPr>
              <w:snapToGrid w:val="0"/>
              <w:spacing w:line="400" w:lineRule="exact"/>
              <w:jc w:val="center"/>
              <w:rPr>
                <w:rFonts w:ascii="宋体" w:hAnsi="宋体"/>
                <w:kern w:val="0"/>
                <w:szCs w:val="21"/>
                <w:highlight w:val="none"/>
              </w:rPr>
            </w:pPr>
          </w:p>
          <w:p w14:paraId="2ECF078C">
            <w:pPr>
              <w:snapToGrid w:val="0"/>
              <w:spacing w:line="400" w:lineRule="exact"/>
              <w:jc w:val="center"/>
              <w:rPr>
                <w:rFonts w:ascii="宋体" w:hAnsi="宋体"/>
                <w:kern w:val="0"/>
                <w:szCs w:val="21"/>
                <w:highlight w:val="none"/>
              </w:rPr>
            </w:pPr>
          </w:p>
          <w:p w14:paraId="73C060BE">
            <w:pPr>
              <w:snapToGrid w:val="0"/>
              <w:spacing w:line="400" w:lineRule="exact"/>
              <w:jc w:val="center"/>
              <w:rPr>
                <w:rFonts w:ascii="宋体" w:hAnsi="宋体"/>
                <w:kern w:val="0"/>
                <w:szCs w:val="21"/>
                <w:highlight w:val="none"/>
              </w:rPr>
            </w:pPr>
          </w:p>
          <w:p w14:paraId="5BE0FAA8">
            <w:pPr>
              <w:snapToGrid w:val="0"/>
              <w:spacing w:line="400" w:lineRule="exact"/>
              <w:jc w:val="center"/>
              <w:rPr>
                <w:rFonts w:ascii="宋体" w:hAnsi="宋体"/>
                <w:kern w:val="0"/>
                <w:szCs w:val="21"/>
                <w:highlight w:val="none"/>
              </w:rPr>
            </w:pPr>
          </w:p>
          <w:p w14:paraId="769CBCD3">
            <w:pPr>
              <w:snapToGrid w:val="0"/>
              <w:spacing w:line="400" w:lineRule="exact"/>
              <w:jc w:val="center"/>
              <w:rPr>
                <w:rFonts w:ascii="宋体" w:hAnsi="宋体"/>
                <w:kern w:val="0"/>
                <w:szCs w:val="21"/>
                <w:highlight w:val="none"/>
              </w:rPr>
            </w:pPr>
          </w:p>
          <w:p w14:paraId="6AFCE4E9">
            <w:pPr>
              <w:snapToGrid w:val="0"/>
              <w:spacing w:line="400" w:lineRule="exact"/>
              <w:jc w:val="center"/>
              <w:rPr>
                <w:rFonts w:ascii="宋体" w:hAnsi="宋体"/>
                <w:kern w:val="0"/>
                <w:szCs w:val="21"/>
                <w:highlight w:val="none"/>
              </w:rPr>
            </w:pPr>
          </w:p>
          <w:p w14:paraId="5AFB0F4C">
            <w:pPr>
              <w:snapToGrid w:val="0"/>
              <w:spacing w:line="400" w:lineRule="exact"/>
              <w:jc w:val="center"/>
              <w:rPr>
                <w:rFonts w:ascii="宋体" w:hAnsi="宋体"/>
                <w:kern w:val="0"/>
                <w:szCs w:val="21"/>
                <w:highlight w:val="none"/>
              </w:rPr>
            </w:pPr>
          </w:p>
          <w:p w14:paraId="2FD286BA">
            <w:pPr>
              <w:snapToGrid w:val="0"/>
              <w:spacing w:line="400" w:lineRule="exact"/>
              <w:jc w:val="center"/>
              <w:rPr>
                <w:rFonts w:ascii="宋体" w:hAnsi="宋体"/>
                <w:kern w:val="0"/>
                <w:szCs w:val="21"/>
                <w:highlight w:val="none"/>
              </w:rPr>
            </w:pPr>
          </w:p>
          <w:p w14:paraId="3AA1D779">
            <w:pPr>
              <w:snapToGrid w:val="0"/>
              <w:spacing w:line="400" w:lineRule="exact"/>
              <w:jc w:val="center"/>
              <w:rPr>
                <w:rFonts w:ascii="宋体" w:hAnsi="宋体"/>
                <w:kern w:val="0"/>
                <w:szCs w:val="21"/>
                <w:highlight w:val="none"/>
              </w:rPr>
            </w:pPr>
          </w:p>
          <w:p w14:paraId="14F9240C">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70CA1A18">
            <w:pPr>
              <w:snapToGrid w:val="0"/>
              <w:spacing w:line="400" w:lineRule="exact"/>
              <w:jc w:val="center"/>
              <w:rPr>
                <w:rFonts w:ascii="宋体" w:hAnsi="宋体"/>
                <w:kern w:val="0"/>
                <w:szCs w:val="21"/>
                <w:highlight w:val="none"/>
              </w:rPr>
            </w:pPr>
          </w:p>
          <w:p w14:paraId="500D1103">
            <w:pPr>
              <w:snapToGrid w:val="0"/>
              <w:spacing w:line="400" w:lineRule="exact"/>
              <w:jc w:val="center"/>
              <w:rPr>
                <w:rFonts w:ascii="宋体" w:hAnsi="宋体"/>
                <w:kern w:val="0"/>
                <w:szCs w:val="21"/>
                <w:highlight w:val="none"/>
              </w:rPr>
            </w:pPr>
          </w:p>
          <w:p w14:paraId="59B92F97">
            <w:pPr>
              <w:snapToGrid w:val="0"/>
              <w:spacing w:line="400" w:lineRule="exact"/>
              <w:jc w:val="center"/>
              <w:rPr>
                <w:rFonts w:ascii="宋体" w:hAnsi="宋体"/>
                <w:kern w:val="0"/>
                <w:szCs w:val="21"/>
                <w:highlight w:val="none"/>
              </w:rPr>
            </w:pPr>
          </w:p>
          <w:p w14:paraId="5470FAEE">
            <w:pPr>
              <w:snapToGrid w:val="0"/>
              <w:spacing w:line="400" w:lineRule="exact"/>
              <w:jc w:val="center"/>
              <w:rPr>
                <w:rFonts w:ascii="宋体" w:hAnsi="宋体"/>
                <w:kern w:val="0"/>
                <w:szCs w:val="21"/>
                <w:highlight w:val="none"/>
              </w:rPr>
            </w:pPr>
          </w:p>
          <w:p w14:paraId="2C747E93">
            <w:pPr>
              <w:snapToGrid w:val="0"/>
              <w:spacing w:line="400" w:lineRule="exact"/>
              <w:jc w:val="center"/>
              <w:rPr>
                <w:rFonts w:ascii="宋体" w:hAnsi="宋体"/>
                <w:kern w:val="0"/>
                <w:szCs w:val="21"/>
                <w:highlight w:val="none"/>
              </w:rPr>
            </w:pPr>
          </w:p>
          <w:p w14:paraId="5B3E595D">
            <w:pPr>
              <w:snapToGrid w:val="0"/>
              <w:spacing w:line="400" w:lineRule="exact"/>
              <w:jc w:val="center"/>
              <w:rPr>
                <w:rFonts w:ascii="宋体" w:hAnsi="宋体"/>
                <w:kern w:val="0"/>
                <w:szCs w:val="21"/>
                <w:highlight w:val="none"/>
              </w:rPr>
            </w:pPr>
          </w:p>
          <w:p w14:paraId="43C6BD20">
            <w:pPr>
              <w:snapToGrid w:val="0"/>
              <w:spacing w:line="400" w:lineRule="exact"/>
              <w:jc w:val="center"/>
              <w:rPr>
                <w:rFonts w:ascii="宋体" w:hAnsi="宋体"/>
                <w:kern w:val="0"/>
                <w:szCs w:val="21"/>
                <w:highlight w:val="none"/>
              </w:rPr>
            </w:pPr>
          </w:p>
          <w:p w14:paraId="213F6D28">
            <w:pPr>
              <w:snapToGrid w:val="0"/>
              <w:spacing w:line="400" w:lineRule="exact"/>
              <w:jc w:val="center"/>
              <w:rPr>
                <w:rFonts w:ascii="宋体" w:hAnsi="宋体"/>
                <w:kern w:val="0"/>
                <w:szCs w:val="21"/>
                <w:highlight w:val="none"/>
              </w:rPr>
            </w:pPr>
          </w:p>
          <w:p w14:paraId="25433190">
            <w:pPr>
              <w:snapToGrid w:val="0"/>
              <w:spacing w:line="400" w:lineRule="exact"/>
              <w:jc w:val="center"/>
              <w:rPr>
                <w:rFonts w:ascii="宋体" w:hAnsi="宋体"/>
                <w:kern w:val="0"/>
                <w:szCs w:val="21"/>
                <w:highlight w:val="none"/>
              </w:rPr>
            </w:pPr>
          </w:p>
          <w:p w14:paraId="4D15C2CF">
            <w:pPr>
              <w:snapToGrid w:val="0"/>
              <w:spacing w:line="400" w:lineRule="exact"/>
              <w:jc w:val="center"/>
              <w:rPr>
                <w:rFonts w:ascii="宋体" w:hAnsi="宋体"/>
                <w:kern w:val="0"/>
                <w:szCs w:val="21"/>
                <w:highlight w:val="none"/>
              </w:rPr>
            </w:pPr>
          </w:p>
          <w:p w14:paraId="23BC1BA5">
            <w:pPr>
              <w:snapToGrid w:val="0"/>
              <w:spacing w:line="400" w:lineRule="exact"/>
              <w:jc w:val="center"/>
              <w:rPr>
                <w:rFonts w:ascii="宋体" w:hAnsi="宋体"/>
                <w:kern w:val="0"/>
                <w:szCs w:val="21"/>
                <w:highlight w:val="none"/>
              </w:rPr>
            </w:pPr>
          </w:p>
          <w:p w14:paraId="0727DBFD">
            <w:pPr>
              <w:snapToGrid w:val="0"/>
              <w:spacing w:line="400" w:lineRule="exact"/>
              <w:jc w:val="center"/>
              <w:rPr>
                <w:rFonts w:ascii="宋体" w:hAnsi="宋体"/>
                <w:kern w:val="0"/>
                <w:szCs w:val="21"/>
                <w:highlight w:val="none"/>
              </w:rPr>
            </w:pPr>
          </w:p>
          <w:p w14:paraId="384E5FE9">
            <w:pPr>
              <w:snapToGrid w:val="0"/>
              <w:spacing w:line="400" w:lineRule="exact"/>
              <w:jc w:val="center"/>
              <w:rPr>
                <w:rFonts w:ascii="宋体" w:hAnsi="宋体"/>
                <w:kern w:val="0"/>
                <w:szCs w:val="21"/>
                <w:highlight w:val="none"/>
              </w:rPr>
            </w:pPr>
          </w:p>
          <w:p w14:paraId="3374B0AA">
            <w:pPr>
              <w:snapToGrid w:val="0"/>
              <w:spacing w:line="400" w:lineRule="exact"/>
              <w:jc w:val="center"/>
              <w:rPr>
                <w:rFonts w:ascii="宋体" w:hAnsi="宋体"/>
                <w:kern w:val="0"/>
                <w:szCs w:val="21"/>
                <w:highlight w:val="none"/>
              </w:rPr>
            </w:pPr>
          </w:p>
          <w:p w14:paraId="7D4475E3">
            <w:pPr>
              <w:snapToGrid w:val="0"/>
              <w:spacing w:line="400" w:lineRule="exact"/>
              <w:jc w:val="center"/>
              <w:rPr>
                <w:rFonts w:ascii="宋体" w:hAnsi="宋体"/>
                <w:kern w:val="0"/>
                <w:szCs w:val="21"/>
                <w:highlight w:val="none"/>
              </w:rPr>
            </w:pPr>
          </w:p>
          <w:p w14:paraId="09799A10">
            <w:pPr>
              <w:snapToGrid w:val="0"/>
              <w:spacing w:line="400" w:lineRule="exact"/>
              <w:jc w:val="center"/>
              <w:rPr>
                <w:rFonts w:ascii="宋体" w:hAnsi="宋体"/>
                <w:kern w:val="0"/>
                <w:szCs w:val="21"/>
                <w:highlight w:val="none"/>
              </w:rPr>
            </w:pPr>
          </w:p>
          <w:p w14:paraId="5330153D">
            <w:pPr>
              <w:snapToGrid w:val="0"/>
              <w:spacing w:line="400" w:lineRule="exact"/>
              <w:jc w:val="center"/>
              <w:rPr>
                <w:rFonts w:ascii="宋体" w:hAnsi="宋体"/>
                <w:kern w:val="0"/>
                <w:szCs w:val="21"/>
                <w:highlight w:val="none"/>
              </w:rPr>
            </w:pPr>
          </w:p>
          <w:p w14:paraId="7028FD25">
            <w:pPr>
              <w:snapToGrid w:val="0"/>
              <w:spacing w:line="400" w:lineRule="exact"/>
              <w:jc w:val="center"/>
              <w:rPr>
                <w:rFonts w:ascii="宋体" w:hAnsi="宋体"/>
                <w:kern w:val="0"/>
                <w:szCs w:val="21"/>
                <w:highlight w:val="none"/>
              </w:rPr>
            </w:pPr>
          </w:p>
          <w:p w14:paraId="649961F9">
            <w:pPr>
              <w:snapToGrid w:val="0"/>
              <w:spacing w:line="400" w:lineRule="exact"/>
              <w:jc w:val="center"/>
              <w:rPr>
                <w:rFonts w:ascii="宋体" w:hAnsi="宋体"/>
                <w:kern w:val="0"/>
                <w:szCs w:val="21"/>
                <w:highlight w:val="none"/>
              </w:rPr>
            </w:pPr>
          </w:p>
          <w:p w14:paraId="6ED564B8">
            <w:pPr>
              <w:snapToGrid w:val="0"/>
              <w:spacing w:line="400" w:lineRule="exact"/>
              <w:jc w:val="center"/>
              <w:rPr>
                <w:rFonts w:ascii="宋体" w:hAnsi="宋体"/>
                <w:kern w:val="0"/>
                <w:szCs w:val="21"/>
                <w:highlight w:val="none"/>
              </w:rPr>
            </w:pPr>
          </w:p>
          <w:p w14:paraId="01CBA546">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1E8221AA">
            <w:pPr>
              <w:snapToGrid w:val="0"/>
              <w:spacing w:line="400" w:lineRule="exact"/>
              <w:jc w:val="center"/>
              <w:rPr>
                <w:rFonts w:ascii="宋体" w:hAnsi="宋体"/>
                <w:kern w:val="0"/>
                <w:szCs w:val="21"/>
                <w:highlight w:val="none"/>
              </w:rPr>
            </w:pPr>
          </w:p>
          <w:p w14:paraId="75D24498">
            <w:pPr>
              <w:snapToGrid w:val="0"/>
              <w:spacing w:line="400" w:lineRule="exact"/>
              <w:jc w:val="both"/>
              <w:rPr>
                <w:rFonts w:ascii="宋体" w:hAnsi="宋体"/>
                <w:kern w:val="0"/>
                <w:szCs w:val="21"/>
                <w:highlight w:val="none"/>
              </w:rPr>
            </w:pPr>
          </w:p>
        </w:tc>
        <w:tc>
          <w:tcPr>
            <w:tcW w:w="6490" w:type="dxa"/>
            <w:vAlign w:val="center"/>
          </w:tcPr>
          <w:p w14:paraId="4BB81E56">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14:paraId="5E865E07">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14:paraId="2D7C661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具备建设行政主管部门颁发的电力工程施工总承包三级及以上资质或者输变电工程专业承包三级及以上资质，并同时具备承装类、承试类、承修类四级以上资质。</w:t>
            </w:r>
          </w:p>
          <w:p w14:paraId="691897C9">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14:paraId="04C61402">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14:paraId="61584DF7">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14:paraId="16336250">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14:paraId="6EF925E3">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14:paraId="3F0A93EA">
            <w:pPr>
              <w:spacing w:line="360" w:lineRule="auto"/>
              <w:ind w:firstLine="316" w:firstLineChars="15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2.类似业绩</w:t>
            </w:r>
          </w:p>
          <w:p w14:paraId="01893495">
            <w:pPr>
              <w:autoSpaceDE w:val="0"/>
              <w:autoSpaceDN w:val="0"/>
              <w:adjustRightInd w:val="0"/>
              <w:snapToGrid w:val="0"/>
              <w:spacing w:line="400" w:lineRule="exact"/>
              <w:ind w:firstLine="420" w:firstLineChars="200"/>
              <w:rPr>
                <w:rFonts w:ascii="宋体" w:hAnsi="宋体"/>
                <w:strike w:val="0"/>
                <w:dstrike w:val="0"/>
                <w:color w:val="auto"/>
                <w:kern w:val="0"/>
                <w:szCs w:val="21"/>
                <w:highlight w:val="none"/>
              </w:rPr>
            </w:pPr>
            <w:r>
              <w:rPr>
                <w:rFonts w:hint="eastAsia" w:ascii="宋体" w:hAnsi="宋体"/>
                <w:strike w:val="0"/>
                <w:dstrike w:val="0"/>
                <w:color w:val="auto"/>
                <w:kern w:val="0"/>
                <w:szCs w:val="21"/>
                <w:highlight w:val="none"/>
                <w:lang w:val="en-US" w:eastAsia="zh-CN"/>
              </w:rPr>
              <w:t>2.1</w:t>
            </w:r>
            <w:r>
              <w:rPr>
                <w:rFonts w:hint="eastAsia" w:ascii="宋体" w:hAnsi="宋体"/>
                <w:strike w:val="0"/>
                <w:dstrike w:val="0"/>
                <w:color w:val="auto"/>
                <w:kern w:val="0"/>
                <w:szCs w:val="21"/>
                <w:highlight w:val="none"/>
              </w:rPr>
              <w:t>业绩时间要求：</w:t>
            </w:r>
          </w:p>
          <w:p w14:paraId="65801660">
            <w:pPr>
              <w:spacing w:line="360" w:lineRule="auto"/>
              <w:ind w:firstLine="315" w:firstLineChars="150"/>
              <w:rPr>
                <w:rFonts w:hint="eastAsia" w:ascii="宋体" w:hAnsi="宋体"/>
                <w:strike w:val="0"/>
                <w:dstrike w:val="0"/>
                <w:color w:val="auto"/>
                <w:szCs w:val="21"/>
                <w:highlight w:val="none"/>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年1月1日至</w:t>
            </w:r>
            <w:r>
              <w:rPr>
                <w:rFonts w:hint="eastAsia" w:ascii="宋体" w:hAnsi="宋体"/>
                <w:strike w:val="0"/>
                <w:dstrike w:val="0"/>
                <w:color w:val="auto"/>
                <w:szCs w:val="21"/>
                <w:highlight w:val="none"/>
              </w:rPr>
              <w:t>投标截止日止（以竣工时间为准）</w:t>
            </w:r>
            <w:r>
              <w:rPr>
                <w:rFonts w:hint="eastAsia" w:ascii="宋体" w:hAnsi="宋体"/>
                <w:strike w:val="0"/>
                <w:dstrike w:val="0"/>
                <w:color w:val="auto"/>
                <w:szCs w:val="21"/>
                <w:highlight w:val="none"/>
                <w:lang w:val="en-US" w:eastAsia="zh-CN"/>
              </w:rPr>
              <w:t>完成</w:t>
            </w:r>
            <w:r>
              <w:rPr>
                <w:rFonts w:hint="eastAsia" w:ascii="宋体" w:hAnsi="宋体"/>
                <w:strike w:val="0"/>
                <w:dstrike w:val="0"/>
                <w:color w:val="auto"/>
                <w:szCs w:val="21"/>
                <w:highlight w:val="none"/>
              </w:rPr>
              <w:t>的</w:t>
            </w:r>
            <w:r>
              <w:rPr>
                <w:rFonts w:hint="eastAsia" w:ascii="宋体" w:hAnsi="宋体"/>
                <w:strike w:val="0"/>
                <w:dstrike w:val="0"/>
                <w:color w:val="auto"/>
                <w:szCs w:val="21"/>
                <w:highlight w:val="none"/>
                <w:lang w:val="en-US" w:eastAsia="zh-CN"/>
              </w:rPr>
              <w:t>1</w:t>
            </w:r>
            <w:r>
              <w:rPr>
                <w:rFonts w:hint="eastAsia" w:ascii="宋体" w:hAnsi="宋体"/>
                <w:strike w:val="0"/>
                <w:dstrike w:val="0"/>
                <w:color w:val="auto"/>
                <w:szCs w:val="21"/>
                <w:highlight w:val="none"/>
              </w:rPr>
              <w:t>个类似项目业绩。</w:t>
            </w:r>
          </w:p>
          <w:p w14:paraId="2F888D05">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2</w:t>
            </w:r>
            <w:r>
              <w:rPr>
                <w:rFonts w:hint="eastAsia" w:ascii="宋体" w:hAnsi="宋体"/>
                <w:strike w:val="0"/>
                <w:dstrike w:val="0"/>
                <w:color w:val="auto"/>
                <w:szCs w:val="21"/>
                <w:highlight w:val="none"/>
              </w:rPr>
              <w:t>.2业绩规模要求：</w:t>
            </w:r>
          </w:p>
          <w:p w14:paraId="578D22B2">
            <w:pPr>
              <w:autoSpaceDE w:val="0"/>
              <w:autoSpaceDN w:val="0"/>
              <w:adjustRightInd w:val="0"/>
              <w:snapToGrid w:val="0"/>
              <w:spacing w:line="400" w:lineRule="exact"/>
              <w:ind w:firstLine="420" w:firstLineChars="200"/>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工程类别：</w:t>
            </w:r>
            <w:r>
              <w:rPr>
                <w:rFonts w:hint="eastAsia" w:ascii="宋体" w:hAnsi="宋体"/>
                <w:strike w:val="0"/>
                <w:dstrike w:val="0"/>
                <w:color w:val="auto"/>
                <w:szCs w:val="21"/>
                <w:highlight w:val="none"/>
                <w:u w:val="single"/>
                <w:lang w:val="en-US" w:eastAsia="zh-CN"/>
              </w:rPr>
              <w:t>电力施工</w:t>
            </w:r>
            <w:r>
              <w:rPr>
                <w:rFonts w:hint="eastAsia" w:ascii="宋体" w:hAnsi="宋体"/>
                <w:strike w:val="0"/>
                <w:dstrike w:val="0"/>
                <w:color w:val="auto"/>
                <w:szCs w:val="21"/>
                <w:highlight w:val="none"/>
                <w:u w:val="single"/>
              </w:rPr>
              <w:t xml:space="preserve"> </w:t>
            </w:r>
          </w:p>
          <w:p w14:paraId="339F3C90">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rPr>
              <w:t>若同时设置了工程造价和工程规模要求，则只须满足其中之一:</w:t>
            </w:r>
          </w:p>
          <w:p w14:paraId="12FBFCCD">
            <w:pPr>
              <w:autoSpaceDE w:val="0"/>
              <w:autoSpaceDN w:val="0"/>
              <w:adjustRightInd w:val="0"/>
              <w:snapToGrid w:val="0"/>
              <w:spacing w:line="400" w:lineRule="exact"/>
              <w:ind w:firstLine="420" w:firstLineChars="200"/>
              <w:rPr>
                <w:rFonts w:hint="eastAsia"/>
              </w:rPr>
            </w:pP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工程造价：</w:t>
            </w:r>
            <w:r>
              <w:rPr>
                <w:rFonts w:hint="eastAsia" w:ascii="宋体" w:hAnsi="宋体"/>
                <w:strike w:val="0"/>
                <w:dstrike w:val="0"/>
                <w:color w:val="auto"/>
                <w:szCs w:val="21"/>
                <w:highlight w:val="none"/>
                <w:u w:val="single"/>
              </w:rPr>
              <w:t xml:space="preserve"> 合同金额</w:t>
            </w:r>
            <w:r>
              <w:rPr>
                <w:rFonts w:hint="eastAsia" w:ascii="宋体" w:hAnsi="宋体"/>
                <w:strike w:val="0"/>
                <w:dstrike w:val="0"/>
                <w:color w:val="auto"/>
                <w:szCs w:val="21"/>
                <w:highlight w:val="none"/>
                <w:u w:val="single"/>
                <w:lang w:val="en-US" w:eastAsia="zh-CN"/>
              </w:rPr>
              <w:t>250</w:t>
            </w:r>
            <w:r>
              <w:rPr>
                <w:rFonts w:hint="eastAsia" w:ascii="宋体" w:hAnsi="宋体"/>
                <w:strike w:val="0"/>
                <w:dstrike w:val="0"/>
                <w:color w:val="auto"/>
                <w:szCs w:val="21"/>
                <w:highlight w:val="none"/>
                <w:u w:val="single"/>
              </w:rPr>
              <w:t xml:space="preserve">万元及以上 </w:t>
            </w:r>
          </w:p>
          <w:p w14:paraId="427433D7">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投标人须在投标文件资格审查部分提供业绩合同</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竣工验收意见书/完工证明</w:t>
            </w:r>
            <w:r>
              <w:rPr>
                <w:rFonts w:hint="eastAsia" w:asciiTheme="minorEastAsia" w:hAnsiTheme="minorEastAsia" w:eastAsiaTheme="minorEastAsia" w:cstheme="minorEastAsia"/>
                <w:b/>
                <w:bCs/>
                <w:sz w:val="21"/>
                <w:szCs w:val="21"/>
              </w:rPr>
              <w:t>复印件</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若上述资料无法体现工程规模的，还须提供业主证明。</w:t>
            </w:r>
            <w:r>
              <w:rPr>
                <w:rFonts w:hint="eastAsia" w:asciiTheme="minorEastAsia" w:hAnsiTheme="minorEastAsia" w:eastAsiaTheme="minorEastAsia" w:cstheme="minorEastAsia"/>
                <w:sz w:val="21"/>
                <w:szCs w:val="21"/>
              </w:rPr>
              <w:t>）。</w:t>
            </w:r>
          </w:p>
          <w:p w14:paraId="6F381F5B">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14:paraId="1409210D">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14:paraId="47F386F0">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14:paraId="28BD5724">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14:paraId="19AE1233">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14:paraId="7414F9ED">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14:paraId="30C2B4BF">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14:paraId="6D8CEBB9">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.项目经理资格要求</w:t>
            </w:r>
          </w:p>
          <w:p w14:paraId="3B8514EA">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eastAsiaTheme="minorEastAsia"/>
                <w:color w:val="auto"/>
                <w:szCs w:val="21"/>
                <w:highlight w:val="none"/>
                <w:u w:val="single"/>
                <w:lang w:val="en-US" w:eastAsia="zh-CN"/>
              </w:rPr>
              <w:t>机电</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14:paraId="3DE83181">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14:paraId="6950193B">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14:paraId="62F68EBA">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.其他人员要求</w:t>
            </w:r>
          </w:p>
          <w:p w14:paraId="507D0A60">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40229DD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lang w:val="en-US" w:eastAsia="zh-CN"/>
              </w:rPr>
              <w:t>工程</w:t>
            </w:r>
            <w:r>
              <w:rPr>
                <w:rFonts w:hint="eastAsia" w:ascii="宋体" w:hAnsi="宋体"/>
                <w:color w:val="auto"/>
                <w:szCs w:val="21"/>
                <w:highlight w:val="none"/>
                <w:u w:val="single"/>
              </w:rPr>
              <w:t>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13092F18">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bCs/>
                <w:sz w:val="21"/>
                <w:szCs w:val="21"/>
              </w:rPr>
            </w:pPr>
            <w:r>
              <w:rPr>
                <w:rFonts w:hint="eastAsia" w:ascii="宋体" w:hAnsi="宋体"/>
                <w:b/>
                <w:bCs/>
                <w:color w:val="auto"/>
                <w:kern w:val="0"/>
                <w:szCs w:val="21"/>
                <w:highlight w:val="none"/>
              </w:rPr>
              <w:t>投标人须在投标文件资格审查部分提供拟派技术负责人身份证、职称证及投标人本单位为其缴纳的养老保险证明材料。</w:t>
            </w:r>
          </w:p>
          <w:p w14:paraId="0C8A644A">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）主要管理人员：</w:t>
            </w:r>
          </w:p>
          <w:p w14:paraId="2FC59E05">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14:paraId="41E23AF2">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）委托代理人：</w:t>
            </w:r>
          </w:p>
          <w:p w14:paraId="3E821596">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14:paraId="570404F5">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14:paraId="1FE78B8C">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14:paraId="0F47D132">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14:paraId="6B4B99AA">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14:paraId="2D42C3D7">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14:paraId="19FF5764">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月的连续养老保险。</w:t>
            </w:r>
          </w:p>
          <w:p w14:paraId="6BC23F8E">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14:paraId="28491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5BAAF8">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4452F643">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0190117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14:paraId="17EF48DA">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14:paraId="24A9C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783EC2">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12695A00">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39624DBC">
            <w:pPr>
              <w:snapToGrid w:val="0"/>
              <w:spacing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eastAsia="zh-CN"/>
              </w:rPr>
              <w:t>☑</w:t>
            </w:r>
            <w:r>
              <w:rPr>
                <w:rFonts w:ascii="宋体" w:hAnsi="宋体"/>
                <w:kern w:val="0"/>
                <w:szCs w:val="21"/>
                <w:highlight w:val="none"/>
              </w:rPr>
              <w:t>不组织</w:t>
            </w:r>
            <w:r>
              <w:rPr>
                <w:rFonts w:hint="eastAsia" w:ascii="宋体" w:hAnsi="宋体"/>
                <w:kern w:val="0"/>
                <w:szCs w:val="21"/>
                <w:highlight w:val="none"/>
                <w:lang w:eastAsia="zh-CN"/>
              </w:rPr>
              <w:t>（</w:t>
            </w:r>
            <w:r>
              <w:rPr>
                <w:rFonts w:hint="eastAsia" w:ascii="宋体" w:hAnsi="宋体"/>
                <w:kern w:val="0"/>
                <w:szCs w:val="21"/>
                <w:highlight w:val="none"/>
                <w:lang w:val="en-US" w:eastAsia="zh-CN"/>
              </w:rPr>
              <w:t>自行踏勘</w:t>
            </w:r>
            <w:r>
              <w:rPr>
                <w:rFonts w:hint="eastAsia" w:ascii="宋体" w:hAnsi="宋体"/>
                <w:kern w:val="0"/>
                <w:szCs w:val="21"/>
                <w:highlight w:val="none"/>
                <w:lang w:eastAsia="zh-CN"/>
              </w:rPr>
              <w:t>）</w:t>
            </w:r>
          </w:p>
          <w:p w14:paraId="6F11F66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14:paraId="25590E1E">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14:paraId="57126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9ED8E8">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4DF06DB8">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22280EC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14:paraId="2CE2EF0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14:paraId="3991E863">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14:paraId="3D680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E9D4D">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5DA708FD">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038D453F">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14:paraId="0262B02E">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14:paraId="71BB6F1B">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14:paraId="6C676CB0">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14:paraId="3850D4CF">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14:paraId="4F9DA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0E66CD">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71BC9174">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1EC3D2A4">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6CA2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9FD0B5">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391D95D0">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2CD48FCC">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7</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17</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14:paraId="37E60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26CA5B83">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211FFC29">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14:paraId="4C2DABF5">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14:paraId="79671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AB94A35">
            <w:pPr>
              <w:snapToGrid w:val="0"/>
              <w:spacing w:line="400" w:lineRule="exact"/>
              <w:jc w:val="center"/>
              <w:rPr>
                <w:rFonts w:ascii="宋体" w:hAnsi="宋体"/>
                <w:kern w:val="0"/>
                <w:szCs w:val="21"/>
                <w:highlight w:val="none"/>
              </w:rPr>
            </w:pPr>
          </w:p>
        </w:tc>
        <w:tc>
          <w:tcPr>
            <w:tcW w:w="1644" w:type="dxa"/>
            <w:vAlign w:val="center"/>
          </w:tcPr>
          <w:p w14:paraId="44CD0A45">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70A8B7F4">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14:paraId="24E0E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D53A6">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53A68890">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70D64F5A">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14:paraId="5D029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A36C19">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4AF828EF">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14:paraId="5969DEBF">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14:paraId="510BD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7FF2E7">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14:paraId="7D43E15B">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5B0C83DB">
            <w:pPr>
              <w:spacing w:line="360" w:lineRule="auto"/>
              <w:ind w:firstLine="420" w:firstLineChars="200"/>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1.使用国有资金投资的建设工程发承包，必须采用工程量清单计价。工程量清单应采用综合单价计价。</w:t>
            </w:r>
            <w:r>
              <w:rPr>
                <w:rFonts w:hint="eastAsia" w:asciiTheme="minorEastAsia" w:hAnsiTheme="minorEastAsia" w:eastAsiaTheme="minorEastAsia" w:cstheme="minorEastAsia"/>
                <w:b/>
                <w:bCs/>
                <w:snapToGrid w:val="0"/>
                <w:kern w:val="0"/>
                <w:sz w:val="21"/>
                <w:szCs w:val="21"/>
                <w:lang w:val="en-US" w:eastAsia="zh-CN"/>
              </w:rPr>
              <w:t>工程量清单中列明全费用综合单价的清单项按全费用综合单价计价，全费用综合单价包含措施费、规费、利润、税金等其他费用。</w:t>
            </w:r>
          </w:p>
          <w:p w14:paraId="35AB3BCF">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Theme="minorEastAsia" w:hAnsiTheme="minorEastAsia" w:eastAsiaTheme="minorEastAsia" w:cstheme="minorEastAsia"/>
                <w:snapToGrid w:val="0"/>
                <w:kern w:val="0"/>
                <w:sz w:val="21"/>
                <w:szCs w:val="21"/>
              </w:rPr>
              <w:footnoteReference w:id="0"/>
            </w:r>
            <w:r>
              <w:rPr>
                <w:rFonts w:hint="eastAsia" w:asciiTheme="minorEastAsia" w:hAnsiTheme="minorEastAsia" w:eastAsiaTheme="minorEastAsia" w:cstheme="minorEastAsia"/>
                <w:snapToGrid w:val="0"/>
                <w:kern w:val="0"/>
                <w:sz w:val="21"/>
                <w:szCs w:val="21"/>
              </w:rPr>
              <w:t>为依据。</w:t>
            </w:r>
          </w:p>
          <w:p w14:paraId="69526538">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AAAF9C1">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4.投标函中的总报价必须与已标价工程量清单总报价一致。</w:t>
            </w:r>
          </w:p>
          <w:p w14:paraId="1004AAB9">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F43F385">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（2）增值税计税方法由比选人依据国家税法规定选择：一般计税法</w:t>
            </w:r>
          </w:p>
          <w:p w14:paraId="08B2D4B7">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6.如发现工程量清单中的数量与图纸中数量不一致，应于本须知2.2.1项中规定的时间前书面通知比选人核查，除非比选人以补遗书的形式予以更正，否则，应以工程量清单中列出的数量为准。</w:t>
            </w:r>
          </w:p>
          <w:p w14:paraId="574A6936">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7.比选人在工程量清单中所列出的价格（包括</w:t>
            </w:r>
            <w:r>
              <w:rPr>
                <w:rFonts w:hint="eastAsia" w:asciiTheme="minorEastAsia" w:hAnsiTheme="minorEastAsia" w:eastAsiaTheme="minorEastAsia" w:cstheme="minorEastAsia"/>
                <w:snapToGrid w:val="0"/>
                <w:kern w:val="0"/>
                <w:sz w:val="21"/>
                <w:szCs w:val="21"/>
                <w:lang w:val="en-US" w:eastAsia="zh-CN"/>
              </w:rPr>
              <w:t>安全文明施工费、</w:t>
            </w:r>
            <w:r>
              <w:rPr>
                <w:rFonts w:hint="eastAsia" w:asciiTheme="minorEastAsia" w:hAnsiTheme="minorEastAsia" w:eastAsiaTheme="minorEastAsia" w:cstheme="minorEastAsia"/>
                <w:snapToGrid w:val="0"/>
                <w:kern w:val="0"/>
                <w:sz w:val="21"/>
                <w:szCs w:val="21"/>
              </w:rPr>
              <w:t>暂列金额、暂估价等），投标人不得修改。</w:t>
            </w:r>
          </w:p>
          <w:p w14:paraId="4AE31A88">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w:t>
            </w:r>
            <w:r>
              <w:rPr>
                <w:rFonts w:hint="eastAsia" w:ascii="宋体" w:hAnsi="宋体"/>
                <w:b/>
                <w:bCs/>
                <w:color w:val="auto"/>
                <w:szCs w:val="21"/>
                <w:highlight w:val="none"/>
              </w:rPr>
              <w:t>最高限价为</w:t>
            </w:r>
            <w:r>
              <w:rPr>
                <w:rFonts w:hint="eastAsia" w:ascii="宋体" w:hAnsi="宋体"/>
                <w:b/>
                <w:bCs/>
                <w:color w:val="auto"/>
                <w:szCs w:val="21"/>
                <w:highlight w:val="none"/>
                <w:lang w:val="en-US" w:eastAsia="zh-CN"/>
              </w:rPr>
              <w:t>3559402.29</w:t>
            </w:r>
            <w:r>
              <w:rPr>
                <w:rFonts w:hint="eastAsia" w:ascii="宋体" w:hAnsi="宋体"/>
                <w:b/>
                <w:bCs/>
                <w:color w:val="auto"/>
                <w:szCs w:val="21"/>
                <w:highlight w:val="none"/>
              </w:rPr>
              <w:t>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大写：叁佰伍拾伍万玖仟肆佰零贰元贰角玖分</w:t>
            </w:r>
            <w:r>
              <w:rPr>
                <w:rFonts w:hint="eastAsia" w:ascii="宋体" w:hAnsi="宋体"/>
                <w:b/>
                <w:bCs/>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14:paraId="386E4BFE">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14:paraId="4F5815BD">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highlight w:val="none"/>
                <w:lang w:eastAsia="zh-CN"/>
              </w:rPr>
              <w:t>比选人</w:t>
            </w:r>
            <w:r>
              <w:rPr>
                <w:rFonts w:hint="eastAsia" w:ascii="宋体" w:hAnsi="宋体" w:cs="宋体"/>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szCs w:val="21"/>
                <w:highlight w:val="none"/>
                <w:lang w:eastAsia="zh-CN"/>
              </w:rPr>
              <w:t>竞选人</w:t>
            </w:r>
            <w:r>
              <w:rPr>
                <w:rFonts w:hint="eastAsia" w:ascii="宋体" w:hAnsi="宋体" w:cs="宋体"/>
                <w:szCs w:val="21"/>
                <w:highlight w:val="none"/>
              </w:rPr>
              <w:t>须在</w:t>
            </w:r>
            <w:r>
              <w:rPr>
                <w:rFonts w:hint="eastAsia" w:ascii="宋体" w:hAnsi="宋体" w:cs="宋体"/>
                <w:szCs w:val="21"/>
                <w:highlight w:val="none"/>
                <w:lang w:eastAsia="zh-CN"/>
              </w:rPr>
              <w:t>竞选文件</w:t>
            </w:r>
            <w:r>
              <w:rPr>
                <w:rFonts w:hint="eastAsia" w:ascii="宋体" w:hAnsi="宋体" w:cs="宋体"/>
                <w:szCs w:val="21"/>
                <w:highlight w:val="none"/>
              </w:rPr>
              <w:t>资格审查部分提供承诺函，承诺函包括以下内容：</w:t>
            </w:r>
          </w:p>
          <w:p w14:paraId="5E173782">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14:paraId="78C8D177">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14:paraId="77B2AE3A">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14:paraId="63FB4830">
            <w:pPr>
              <w:spacing w:after="0" w:line="400" w:lineRule="exact"/>
              <w:ind w:firstLine="420" w:firstLineChars="200"/>
              <w:rPr>
                <w:color w:val="auto"/>
                <w:highlight w:val="none"/>
              </w:rPr>
            </w:pPr>
            <w:r>
              <w:rPr>
                <w:color w:val="auto"/>
                <w:highlight w:val="none"/>
              </w:rPr>
              <w:t>9.安全文明施工费：</w:t>
            </w:r>
          </w:p>
          <w:p w14:paraId="277DFFF8">
            <w:pPr>
              <w:snapToGrid w:val="0"/>
              <w:spacing w:after="0" w:line="400" w:lineRule="exact"/>
              <w:ind w:firstLine="420" w:firstLineChars="200"/>
              <w:rPr>
                <w:color w:val="auto"/>
                <w:highlight w:val="none"/>
              </w:rPr>
            </w:pPr>
            <w:r>
              <w:rPr>
                <w:color w:val="auto"/>
                <w:highlight w:val="none"/>
              </w:rPr>
              <w:t>9.1</w:t>
            </w:r>
            <w:r>
              <w:rPr>
                <w:rFonts w:hint="eastAsia"/>
                <w:color w:val="auto"/>
                <w:highlight w:val="none"/>
              </w:rPr>
              <w:t>根据《重庆城乡建设委员会关于印发</w:t>
            </w:r>
            <w:r>
              <w:rPr>
                <w:color w:val="auto"/>
                <w:highlight w:val="none"/>
              </w:rPr>
              <w:t>&lt;</w:t>
            </w:r>
            <w:r>
              <w:rPr>
                <w:rFonts w:hint="eastAsia"/>
                <w:color w:val="auto"/>
                <w:highlight w:val="none"/>
              </w:rPr>
              <w:t>重庆市建设工程安全文明施工费计取及使用管理规定</w:t>
            </w:r>
            <w:r>
              <w:rPr>
                <w:color w:val="auto"/>
                <w:highlight w:val="none"/>
              </w:rPr>
              <w:t>&gt;</w:t>
            </w:r>
            <w:r>
              <w:rPr>
                <w:rFonts w:hint="eastAsia"/>
                <w:color w:val="auto"/>
                <w:highlight w:val="none"/>
              </w:rPr>
              <w:t>的通知》（渝建发〔2014〕25号）规定，安全文明施工费由安全施工费、文明施工费、环境保护费及临时设施费组成。</w:t>
            </w:r>
          </w:p>
          <w:p w14:paraId="5E018938">
            <w:pPr>
              <w:spacing w:line="400" w:lineRule="exact"/>
              <w:ind w:firstLineChars="200"/>
              <w:rPr>
                <w:rFonts w:hint="eastAsia" w:asciiTheme="minorEastAsia" w:hAnsiTheme="minorEastAsia" w:eastAsiaTheme="minorEastAsia" w:cstheme="minorEastAsia"/>
                <w:snapToGrid w:val="0"/>
                <w:kern w:val="0"/>
                <w:sz w:val="21"/>
                <w:szCs w:val="21"/>
              </w:rPr>
            </w:pPr>
            <w:r>
              <w:rPr>
                <w:color w:val="auto"/>
                <w:highlight w:val="none"/>
              </w:rPr>
              <w:t>9.2本工程安全文明施工费由</w:t>
            </w:r>
            <w:r>
              <w:rPr>
                <w:rFonts w:hint="eastAsia"/>
                <w:color w:val="auto"/>
                <w:highlight w:val="none"/>
                <w:lang w:eastAsia="zh-CN"/>
              </w:rPr>
              <w:t>比选人</w:t>
            </w:r>
            <w:r>
              <w:rPr>
                <w:color w:val="auto"/>
                <w:highlight w:val="none"/>
              </w:rPr>
              <w:t>根据《建设工程工程量清单计价规范》（GB50500-2013）、《重庆市建设工程工程量清单计价规则》（CQJJGZ-2013）、《</w:t>
            </w:r>
            <w:r>
              <w:rPr>
                <w:rFonts w:hint="eastAsia"/>
                <w:color w:val="auto"/>
                <w:highlight w:val="none"/>
              </w:rPr>
              <w:t>重庆市城乡建设委员会</w:t>
            </w:r>
            <w:r>
              <w:rPr>
                <w:color w:val="auto"/>
                <w:highlight w:val="none"/>
              </w:rPr>
              <w:t>关于印发&lt;重庆市建设工程安全文明施工费计取及使用管理规定&gt;的通知》（渝建发</w:t>
            </w:r>
            <w:r>
              <w:rPr>
                <w:rFonts w:hint="eastAsia"/>
                <w:color w:val="auto"/>
                <w:highlight w:val="none"/>
              </w:rPr>
              <w:t>〔</w:t>
            </w:r>
            <w:r>
              <w:rPr>
                <w:color w:val="auto"/>
                <w:highlight w:val="none"/>
              </w:rPr>
              <w:t>2014</w:t>
            </w:r>
            <w:r>
              <w:rPr>
                <w:rFonts w:hint="eastAsia"/>
                <w:color w:val="auto"/>
                <w:highlight w:val="none"/>
              </w:rPr>
              <w:t>〕</w:t>
            </w:r>
            <w:r>
              <w:rPr>
                <w:color w:val="auto"/>
                <w:highlight w:val="none"/>
              </w:rPr>
              <w:t>25号）</w:t>
            </w:r>
            <w:r>
              <w:rPr>
                <w:rFonts w:hint="eastAsia"/>
                <w:color w:val="auto"/>
                <w:highlight w:val="none"/>
              </w:rPr>
              <w:t>、《重庆市住房和城乡建设委员会关于调整建设施工现场形象品质提升安全文明施工费计取的通知》（渝建管〔2020〕97号）</w:t>
            </w:r>
            <w:r>
              <w:rPr>
                <w:color w:val="auto"/>
                <w:highlight w:val="none"/>
              </w:rPr>
              <w:t>、</w:t>
            </w:r>
            <w:r>
              <w:rPr>
                <w:rFonts w:hint="eastAsia"/>
                <w:color w:val="auto"/>
                <w:highlight w:val="none"/>
              </w:rPr>
              <w:t>《重庆市建设工程费用定额》（CQFYDE-2018）、《重庆市住房和城乡建设委员会关于适用增值税新税率调整建设工程计价依据的通知》（渝建〔2019〕143号）</w:t>
            </w:r>
            <w:r>
              <w:rPr>
                <w:color w:val="auto"/>
                <w:highlight w:val="none"/>
              </w:rPr>
              <w:t>的相关规定和费用标准单列计算，</w:t>
            </w:r>
            <w:r>
              <w:rPr>
                <w:b/>
                <w:bCs/>
                <w:color w:val="auto"/>
                <w:highlight w:val="none"/>
              </w:rPr>
              <w:t>安全文明施工费暂定金额</w:t>
            </w:r>
            <w:r>
              <w:rPr>
                <w:rFonts w:hint="eastAsia"/>
                <w:b/>
                <w:bCs/>
                <w:color w:val="auto"/>
                <w:highlight w:val="none"/>
                <w:lang w:val="en-US" w:eastAsia="zh-CN"/>
              </w:rPr>
              <w:t>为27673.01元</w:t>
            </w:r>
            <w:r>
              <w:rPr>
                <w:color w:val="auto"/>
                <w:highlight w:val="none"/>
              </w:rPr>
              <w:t>，与最高限价一起公布。《投标函》中的安全文明施工费</w:t>
            </w:r>
            <w:r>
              <w:rPr>
                <w:rFonts w:hint="eastAsia"/>
                <w:color w:val="auto"/>
                <w:highlight w:val="none"/>
                <w:lang w:val="en-US" w:eastAsia="zh-CN"/>
              </w:rPr>
              <w:t>金额或工程量清单中安全文明施工费的汇总金额未</w:t>
            </w:r>
            <w:r>
              <w:rPr>
                <w:color w:val="auto"/>
                <w:highlight w:val="none"/>
              </w:rPr>
              <w:t>按照</w:t>
            </w:r>
            <w:r>
              <w:rPr>
                <w:rFonts w:hint="eastAsia"/>
                <w:color w:val="auto"/>
                <w:highlight w:val="none"/>
                <w:lang w:eastAsia="zh-CN"/>
              </w:rPr>
              <w:t>比选人</w:t>
            </w:r>
            <w:r>
              <w:rPr>
                <w:color w:val="auto"/>
                <w:highlight w:val="none"/>
              </w:rPr>
              <w:t>给出的暂定金额填报</w:t>
            </w:r>
            <w:r>
              <w:rPr>
                <w:rFonts w:hint="eastAsia"/>
                <w:color w:val="auto"/>
                <w:highlight w:val="none"/>
                <w:lang w:val="en-US" w:eastAsia="zh-CN"/>
              </w:rPr>
              <w:t>的</w:t>
            </w:r>
            <w:r>
              <w:rPr>
                <w:color w:val="auto"/>
                <w:highlight w:val="none"/>
              </w:rPr>
              <w:t>，视为对招标文件不作实质性响应，其投标文件</w:t>
            </w:r>
            <w:r>
              <w:rPr>
                <w:rFonts w:hint="eastAsia"/>
                <w:color w:val="auto"/>
                <w:highlight w:val="none"/>
              </w:rPr>
              <w:t>由评标委员会</w:t>
            </w:r>
            <w:r>
              <w:rPr>
                <w:color w:val="auto"/>
                <w:highlight w:val="none"/>
              </w:rPr>
              <w:t>作否决投标处理。</w:t>
            </w:r>
            <w:r>
              <w:rPr>
                <w:rFonts w:hint="eastAsia"/>
                <w:color w:val="auto"/>
                <w:highlight w:val="none"/>
              </w:rPr>
              <w:t>注：采用全费用清单计价的项目，安全文明施工费仅针对《投标函》中的安全文明施工费进行评审。</w:t>
            </w:r>
          </w:p>
          <w:p w14:paraId="49D2248E">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04FCBBA4">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14:paraId="2835322D">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12.本项目所采用技术、工艺和产品等必须执行重庆市住房和城乡建设委员会关于发布《重庆市建设领域禁止、限制使用落后技术通告（2019年版）（渝建发〔2019〕25号）的规定。</w:t>
            </w:r>
          </w:p>
          <w:p w14:paraId="0ADC2FF4">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13.本工程主体结构若需混凝土，则必须使用商品混凝土，不得自建搅拌站。</w:t>
            </w:r>
          </w:p>
          <w:p w14:paraId="12B520BD">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14:paraId="35F0E0C4">
            <w:r>
              <w:rPr>
                <w:rFonts w:hint="eastAsia" w:asciiTheme="minorEastAsia" w:hAnsiTheme="minorEastAsia" w:eastAsiaTheme="minorEastAsia" w:cstheme="minorEastAsia"/>
                <w:snapToGrid w:val="0"/>
                <w:kern w:val="0"/>
                <w:sz w:val="21"/>
                <w:szCs w:val="21"/>
              </w:rPr>
              <w:t>15、</w:t>
            </w:r>
            <w:r>
              <w:rPr>
                <w:rFonts w:hint="eastAsia" w:asciiTheme="minorEastAsia" w:hAnsiTheme="minorEastAsia" w:eastAsiaTheme="minorEastAsia" w:cstheme="minorEastAsia"/>
                <w:b/>
                <w:bCs/>
                <w:snapToGrid w:val="0"/>
                <w:kern w:val="0"/>
                <w:sz w:val="21"/>
                <w:szCs w:val="21"/>
              </w:rPr>
              <w:t>本项目无论因设计变更或施工工艺变化等任何因素而引起实际施工技术措施费的变化，均按投标时施工技术措施项目费的报价作为结算价。</w:t>
            </w:r>
          </w:p>
        </w:tc>
      </w:tr>
      <w:tr w14:paraId="630A7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5B7C28">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326386F1">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420AF882">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14:paraId="121CD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4AFB60">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14:paraId="22524DC7">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14:paraId="7B879FF9">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2B3A8D32">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78EE06DD">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7CA09845">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5</w:t>
            </w:r>
            <w:r>
              <w:rPr>
                <w:rFonts w:hint="eastAsia"/>
                <w:color w:val="auto"/>
                <w:highlight w:val="none"/>
              </w:rPr>
              <w:t>万元整（人民币）。</w:t>
            </w:r>
          </w:p>
          <w:p w14:paraId="38871AF8">
            <w:pPr>
              <w:ind w:firstLine="420" w:firstLineChars="200"/>
              <w:rPr>
                <w:rFonts w:hint="eastAsia"/>
                <w:color w:val="auto"/>
                <w:highlight w:val="none"/>
              </w:rPr>
            </w:pPr>
            <w:r>
              <w:rPr>
                <w:rFonts w:hint="eastAsia"/>
                <w:color w:val="auto"/>
                <w:highlight w:val="none"/>
              </w:rPr>
              <w:t>3、投标保证金账户及账号</w:t>
            </w:r>
            <w:bookmarkStart w:id="509" w:name="_GoBack"/>
            <w:bookmarkEnd w:id="509"/>
            <w:r>
              <w:rPr>
                <w:rFonts w:hint="eastAsia"/>
                <w:color w:val="auto"/>
                <w:highlight w:val="none"/>
              </w:rPr>
              <w:t>：</w:t>
            </w:r>
          </w:p>
          <w:p w14:paraId="13379919">
            <w:pPr>
              <w:ind w:firstLine="420" w:firstLineChars="200"/>
              <w:rPr>
                <w:rFonts w:hint="eastAsia"/>
                <w:color w:val="auto"/>
                <w:highlight w:val="none"/>
                <w:lang w:val="en-US" w:eastAsia="zh-CN"/>
              </w:rPr>
            </w:pPr>
            <w:r>
              <w:rPr>
                <w:rFonts w:hint="eastAsia"/>
                <w:color w:val="auto"/>
                <w:highlight w:val="none"/>
                <w:lang w:val="en-US" w:eastAsia="zh-CN"/>
              </w:rPr>
              <w:t>户名：重庆新汇商实业有限公司</w:t>
            </w:r>
          </w:p>
          <w:p w14:paraId="4A5BAA90">
            <w:pPr>
              <w:ind w:firstLine="420" w:firstLineChars="200"/>
              <w:rPr>
                <w:rFonts w:hint="eastAsia"/>
                <w:color w:val="auto"/>
                <w:highlight w:val="none"/>
                <w:lang w:val="en-US" w:eastAsia="zh-CN"/>
              </w:rPr>
            </w:pPr>
            <w:r>
              <w:rPr>
                <w:rFonts w:hint="eastAsia"/>
                <w:color w:val="auto"/>
                <w:highlight w:val="none"/>
                <w:lang w:val="en-US" w:eastAsia="zh-CN"/>
              </w:rPr>
              <w:t>开户银行：中信银行重庆北城天街支行</w:t>
            </w:r>
          </w:p>
          <w:p w14:paraId="5B02A97F">
            <w:pPr>
              <w:ind w:firstLine="420" w:firstLineChars="200"/>
              <w:rPr>
                <w:rFonts w:hint="eastAsia"/>
                <w:color w:val="auto"/>
                <w:highlight w:val="none"/>
                <w:lang w:val="en-US" w:eastAsia="zh-CN"/>
              </w:rPr>
            </w:pPr>
            <w:r>
              <w:rPr>
                <w:rFonts w:hint="eastAsia"/>
                <w:color w:val="auto"/>
                <w:highlight w:val="none"/>
                <w:lang w:val="en-US" w:eastAsia="zh-CN"/>
              </w:rPr>
              <w:t>账号：7422510182600029318</w:t>
            </w:r>
          </w:p>
          <w:p w14:paraId="3A3C650D">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14:paraId="30BF63A7">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14:paraId="30E3655E">
            <w:pPr>
              <w:ind w:firstLine="420" w:firstLineChars="200"/>
              <w:rPr>
                <w:rFonts w:hint="eastAsia"/>
                <w:color w:val="auto"/>
                <w:highlight w:val="none"/>
              </w:rPr>
            </w:pPr>
            <w:r>
              <w:rPr>
                <w:rFonts w:hint="eastAsia"/>
                <w:color w:val="auto"/>
                <w:highlight w:val="none"/>
              </w:rPr>
              <w:t>5、投标保证金有效期与投标有效期一致。</w:t>
            </w:r>
          </w:p>
          <w:p w14:paraId="14DAC4C3">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323E8B98">
            <w:pPr>
              <w:ind w:firstLine="420" w:firstLineChars="200"/>
              <w:rPr>
                <w:rFonts w:hint="eastAsia"/>
                <w:color w:val="auto"/>
                <w:highlight w:val="none"/>
              </w:rPr>
            </w:pPr>
            <w:r>
              <w:rPr>
                <w:rFonts w:hint="eastAsia"/>
                <w:color w:val="auto"/>
                <w:highlight w:val="none"/>
              </w:rPr>
              <w:t>二、投标保证金的退还</w:t>
            </w:r>
          </w:p>
          <w:p w14:paraId="07A35094">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5E96E3CC">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18E4947">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14:paraId="35A6998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14:paraId="397431B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7E5E134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62D32749">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5F0EC3E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14:paraId="2000D3C9">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276D6DEC">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6055DB5A">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14:paraId="4774B0E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14:paraId="47FF2C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14:paraId="0DB54AB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0153A1A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14:paraId="340E0AD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4ED10A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362A067A">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5A43E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F4A573">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4E650AA8">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62C569EC">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2A6F391F">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163F8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32ABD">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110D1372">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14:paraId="3004DC14">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14:paraId="64E91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8FC85D">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075173F4">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3BA3B63A">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14:paraId="300688C2">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14:paraId="376DA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B0FDCD">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4D70B435">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14:paraId="160AAD90">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14:paraId="3DAB8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1F44DD">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6CD6054B">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14:paraId="62F9CFE4">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szCs w:val="21"/>
                <w:highlight w:val="none"/>
              </w:rPr>
              <w:t>经济</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14:paraId="4E816E4F">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14:paraId="52850A2B">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14:paraId="2CF06A9C">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14:paraId="32A740D4">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14:paraId="77EAD71E">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hint="eastAsia" w:ascii="宋体" w:hAnsi="宋体"/>
                <w:szCs w:val="21"/>
                <w:highlight w:val="none"/>
              </w:rPr>
              <w:t>，标注页码。</w:t>
            </w:r>
          </w:p>
          <w:p w14:paraId="726FB4DB">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7EA54BC7">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p w14:paraId="4D31355D">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kern w:val="0"/>
                <w:szCs w:val="21"/>
                <w:highlight w:val="none"/>
                <w:lang w:val="en-US" w:eastAsia="zh-CN"/>
              </w:rPr>
              <w:t>技术</w:t>
            </w:r>
            <w:r>
              <w:rPr>
                <w:rFonts w:hint="eastAsia" w:ascii="宋体" w:hAnsi="宋体"/>
                <w:kern w:val="0"/>
                <w:szCs w:val="21"/>
                <w:highlight w:val="none"/>
              </w:rPr>
              <w:t>部分</w:t>
            </w:r>
            <w:r>
              <w:rPr>
                <w:rFonts w:ascii="宋体" w:hAnsi="宋体"/>
                <w:kern w:val="0"/>
                <w:szCs w:val="21"/>
                <w:highlight w:val="none"/>
              </w:rPr>
              <w:t>的装订要求</w:t>
            </w:r>
          </w:p>
          <w:p w14:paraId="5DCCE336">
            <w:pPr>
              <w:adjustRightInd w:val="0"/>
              <w:snapToGrid w:val="0"/>
              <w:spacing w:line="400" w:lineRule="exact"/>
              <w:ind w:firstLine="420" w:firstLineChars="200"/>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lang w:eastAsia="zh-CN"/>
              </w:rPr>
              <w:t>，</w:t>
            </w:r>
            <w:r>
              <w:rPr>
                <w:rFonts w:hint="eastAsia" w:ascii="宋体" w:hAnsi="宋体"/>
                <w:b/>
                <w:bCs/>
                <w:szCs w:val="21"/>
                <w:highlight w:val="none"/>
                <w:lang w:val="en-US" w:eastAsia="zh-CN"/>
              </w:rPr>
              <w:t>页数不超过50页</w:t>
            </w:r>
            <w:r>
              <w:rPr>
                <w:rFonts w:hint="eastAsia" w:ascii="宋体" w:hAnsi="宋体"/>
                <w:b/>
                <w:bCs/>
                <w:szCs w:val="21"/>
                <w:highlight w:val="none"/>
              </w:rPr>
              <w:t>。</w:t>
            </w:r>
          </w:p>
        </w:tc>
      </w:tr>
      <w:tr w14:paraId="5A6C0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703F3D">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1603D301">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14:paraId="13EB6A65">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14:paraId="0674A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6318C8">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26E41341">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6D41296E">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14:paraId="4DF46D1A">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14:paraId="1C5838B9">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14:paraId="50585009">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14:paraId="494C0B3C">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14:paraId="6EB42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03A3CA">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5501E2E2">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14:paraId="7C8D92CB">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33D2B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6BFB37">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31930141">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14:paraId="3E5E2F1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14:paraId="5E4D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F32A17">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2331F820">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0446DE64">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520C5D89">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2024年7月12日10时00分</w:t>
            </w:r>
          </w:p>
          <w:p w14:paraId="4C601C22">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38E20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721B38">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14:paraId="673953E5">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14:paraId="7328691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55AD39DF">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05F052DD">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14:paraId="1964FDAC">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14:paraId="418F15D4">
            <w:pPr>
              <w:snapToGrid w:val="0"/>
              <w:spacing w:line="400" w:lineRule="exact"/>
              <w:ind w:firstLine="420" w:firstLineChars="200"/>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p>
          <w:p w14:paraId="7CB77503">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14:paraId="7C85FAD4">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14:paraId="3F720513">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14:paraId="3FE2EE11">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4103D2E0">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14:paraId="51160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2F13F5">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5EFBD9B3">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3C2F8BC3">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14:paraId="6DACF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CA5D04">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2200C452">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14:paraId="132E7A6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14:paraId="0E86FFC5">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14:paraId="1FFD8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2A864">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14:paraId="4BF1D26C">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14:paraId="611113D9">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5EA7A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20BCA8">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14:paraId="5261DF81">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14:paraId="03BCDAFF">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14:paraId="77905309">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14:paraId="629BB4A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14:paraId="7FC1E908">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中标金额5%</w:t>
            </w:r>
            <w:r>
              <w:rPr>
                <w:rFonts w:hint="eastAsia" w:ascii="宋体" w:hAnsi="宋体"/>
                <w:kern w:val="0"/>
                <w:szCs w:val="21"/>
                <w:highlight w:val="none"/>
                <w:u w:val="single"/>
              </w:rPr>
              <w:t xml:space="preserve"> </w:t>
            </w:r>
            <w:r>
              <w:rPr>
                <w:rFonts w:hint="eastAsia" w:ascii="宋体" w:hAnsi="宋体"/>
                <w:kern w:val="0"/>
                <w:szCs w:val="21"/>
                <w:highlight w:val="none"/>
              </w:rPr>
              <w:t>；</w:t>
            </w:r>
          </w:p>
          <w:p w14:paraId="2FD3417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14:paraId="0F64CB4F">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14:paraId="02BB2F42">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14:paraId="68E1A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7E21D5">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14:paraId="18EFE001">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14:paraId="08368C1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14:paraId="6ECC2A0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14:paraId="6136C8B0">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14:paraId="2BCEE47D">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14:paraId="134D4E29">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14:paraId="3F60CAB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14:paraId="0D681DA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14:paraId="6C7D937D">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14:paraId="361492A6">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3D05191A">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14:paraId="19282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84D775">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55878CC5">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3F75E52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14:paraId="412A2517">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14:paraId="58EF7ADB">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14:paraId="41FFD307">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14:paraId="58C8B833">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27451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1E78CA">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4CF7669E">
            <w:pPr>
              <w:snapToGrid w:val="0"/>
              <w:spacing w:line="400" w:lineRule="exact"/>
              <w:jc w:val="center"/>
              <w:rPr>
                <w:highlight w:val="none"/>
              </w:rPr>
            </w:pPr>
            <w:bookmarkStart w:id="105" w:name="_Toc13210670"/>
            <w:bookmarkStart w:id="106" w:name="_Toc16930431"/>
            <w:bookmarkStart w:id="107" w:name="_Toc509218709"/>
            <w:bookmarkStart w:id="108" w:name="_Toc430530434"/>
            <w:bookmarkStart w:id="109" w:name="_Toc536628250"/>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14:paraId="7B2C02D3">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66748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38CDE0">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67D35659">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5FAA6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F0983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14:paraId="3D3434AF">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14:paraId="21F841CF">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6526DAE3">
            <w:pPr>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14:paraId="1FA50DCF">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全费用清单综合单价中的安全文明施工费、规费、税金投标时均视为已按照本市相关部门的规定计取。结算时中标全费用清单综合单价一律不做调整。</w:t>
            </w:r>
          </w:p>
          <w:p w14:paraId="79220512">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4578CCD">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4337208">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28F21701">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14:paraId="05347D62">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据实结算后不得超过限价，超过限价部分不予结算。</w:t>
            </w:r>
          </w:p>
          <w:p w14:paraId="679707BE">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审计费：</w:t>
            </w:r>
          </w:p>
          <w:p w14:paraId="1D71B46E">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14:paraId="17389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13637C">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14:paraId="275F262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14:paraId="4F59E628">
            <w:pPr>
              <w:spacing w:line="360" w:lineRule="auto"/>
              <w:ind w:firstLine="420" w:firstLineChars="200"/>
              <w:rPr>
                <w:rFonts w:hint="eastAsia"/>
              </w:rPr>
            </w:pPr>
            <w:r>
              <w:rPr>
                <w:rFonts w:hint="eastAsia"/>
              </w:rPr>
              <w:t>1.安全文明施工费：合同生效后，</w:t>
            </w:r>
            <w:r>
              <w:rPr>
                <w:rFonts w:hint="eastAsia"/>
                <w:lang w:val="en-US" w:eastAsia="zh-CN"/>
              </w:rPr>
              <w:t>比选</w:t>
            </w:r>
            <w:r>
              <w:rPr>
                <w:rFonts w:hint="eastAsia"/>
              </w:rPr>
              <w:t>人在开工前按签约合同价中安全文明施工费的50％支付承包人，用于现场安全文明施工建设，余下安全文明施工费按施工进度支付。</w:t>
            </w:r>
          </w:p>
          <w:p w14:paraId="1367FAC3">
            <w:pPr>
              <w:spacing w:line="360" w:lineRule="auto"/>
              <w:ind w:firstLine="420" w:firstLineChars="200"/>
              <w:rPr>
                <w:rFonts w:hint="eastAsia"/>
              </w:rPr>
            </w:pPr>
            <w:r>
              <w:rPr>
                <w:rFonts w:hint="eastAsia"/>
              </w:rPr>
              <w:t>2.工程完工后，</w:t>
            </w:r>
            <w:r>
              <w:rPr>
                <w:rFonts w:hint="eastAsia"/>
                <w:lang w:val="en-US" w:eastAsia="zh-CN"/>
              </w:rPr>
              <w:t>中选</w:t>
            </w:r>
            <w:r>
              <w:rPr>
                <w:rFonts w:hint="eastAsia"/>
              </w:rPr>
              <w:t>人需完成国网重庆市电力公司南岸供电分公司对该项目专用产权转公用产权的验收、交付，并取得移交函件。</w:t>
            </w:r>
            <w:r>
              <w:rPr>
                <w:rFonts w:hint="eastAsia"/>
                <w:lang w:val="en-US" w:eastAsia="zh-CN"/>
              </w:rPr>
              <w:t>中选</w:t>
            </w:r>
            <w:r>
              <w:rPr>
                <w:rFonts w:hint="eastAsia"/>
              </w:rPr>
              <w:t>人完成上述交付并取得函件后，</w:t>
            </w:r>
            <w:r>
              <w:rPr>
                <w:rFonts w:hint="eastAsia"/>
                <w:lang w:val="en-US" w:eastAsia="zh-CN"/>
              </w:rPr>
              <w:t>比选</w:t>
            </w:r>
            <w:r>
              <w:rPr>
                <w:rFonts w:hint="eastAsia"/>
              </w:rPr>
              <w:t>人向</w:t>
            </w:r>
            <w:r>
              <w:rPr>
                <w:rFonts w:hint="eastAsia"/>
                <w:lang w:val="en-US" w:eastAsia="zh-CN"/>
              </w:rPr>
              <w:t>中选</w:t>
            </w:r>
            <w:r>
              <w:rPr>
                <w:rFonts w:hint="eastAsia"/>
              </w:rPr>
              <w:t>人支付至合同总价款的70%。</w:t>
            </w:r>
          </w:p>
          <w:p w14:paraId="3D22B03A">
            <w:pPr>
              <w:spacing w:line="360" w:lineRule="auto"/>
              <w:ind w:firstLine="420" w:firstLineChars="200"/>
              <w:rPr>
                <w:rFonts w:hint="eastAsia"/>
              </w:rPr>
            </w:pPr>
            <w:r>
              <w:rPr>
                <w:rFonts w:hint="eastAsia"/>
              </w:rPr>
              <w:t>3.</w:t>
            </w:r>
            <w:r>
              <w:rPr>
                <w:rFonts w:hint="eastAsia"/>
                <w:lang w:val="en-US" w:eastAsia="zh-CN"/>
              </w:rPr>
              <w:t>中选</w:t>
            </w:r>
            <w:r>
              <w:rPr>
                <w:rFonts w:hint="eastAsia"/>
              </w:rPr>
              <w:t>人配合</w:t>
            </w:r>
            <w:r>
              <w:rPr>
                <w:rFonts w:hint="eastAsia"/>
                <w:lang w:val="en-US" w:eastAsia="zh-CN"/>
              </w:rPr>
              <w:t>比选</w:t>
            </w:r>
            <w:r>
              <w:rPr>
                <w:rFonts w:hint="eastAsia"/>
              </w:rPr>
              <w:t>人完成将峡药一回#969间隔出线电缆及峡药二回#987间隔出线电缆申请为经开·博睿庭项目一期公用供电电源后办理结算，</w:t>
            </w:r>
            <w:r>
              <w:rPr>
                <w:rFonts w:hint="eastAsia"/>
                <w:lang w:val="en-US" w:eastAsia="zh-CN"/>
              </w:rPr>
              <w:t>比选</w:t>
            </w:r>
            <w:r>
              <w:rPr>
                <w:rFonts w:hint="eastAsia"/>
              </w:rPr>
              <w:t>人委托的全过程造价咨询单位结算审核完成后支付至审核金额的85%。</w:t>
            </w:r>
          </w:p>
          <w:p w14:paraId="713257EB">
            <w:pPr>
              <w:spacing w:line="360" w:lineRule="auto"/>
              <w:ind w:firstLine="420" w:firstLineChars="200"/>
              <w:rPr>
                <w:rFonts w:hint="eastAsia"/>
              </w:rPr>
            </w:pPr>
            <w:r>
              <w:rPr>
                <w:rFonts w:hint="eastAsia"/>
              </w:rPr>
              <w:t>4.</w:t>
            </w:r>
            <w:r>
              <w:rPr>
                <w:rFonts w:hint="eastAsia"/>
                <w:lang w:val="en-US" w:eastAsia="zh-CN"/>
              </w:rPr>
              <w:t>比选</w:t>
            </w:r>
            <w:r>
              <w:rPr>
                <w:rFonts w:hint="eastAsia"/>
              </w:rPr>
              <w:t>人或集团审核完毕后支付至审定金额的100%（不计利息）。</w:t>
            </w:r>
          </w:p>
        </w:tc>
      </w:tr>
      <w:tr w14:paraId="2BEBC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25D40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14:paraId="55BF30FA">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14:paraId="315D77D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14:paraId="75319BCA">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竞选</w:t>
            </w:r>
            <w:r>
              <w:rPr>
                <w:rFonts w:hint="eastAsia" w:ascii="宋体" w:hAnsi="宋体" w:eastAsia="宋体" w:cs="宋体"/>
                <w:color w:val="auto"/>
                <w:kern w:val="0"/>
                <w:sz w:val="21"/>
                <w:szCs w:val="21"/>
                <w:highlight w:val="none"/>
              </w:rPr>
              <w:t>人中标后，在与</w:t>
            </w:r>
            <w:r>
              <w:rPr>
                <w:rFonts w:hint="eastAsia" w:ascii="宋体" w:hAnsi="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13C3E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837BCB">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14:paraId="3EF95599">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0A729E0B">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160F60A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2EC01EE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14:paraId="2161A260">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14:paraId="2270D6F6">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64907B1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7CC870E2">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1DE82C3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AAF46F7">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14:paraId="4E0BB715">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7D9B55DE">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14:paraId="6FA2DA3A">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14:paraId="71EA2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CF2BE7">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14:paraId="3EDE033D">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14:paraId="77A9760E">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6DEC9290">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14:paraId="269EE4C4">
      <w:pPr>
        <w:pStyle w:val="4"/>
        <w:spacing w:before="0" w:after="0" w:line="200" w:lineRule="exact"/>
        <w:outlineLvl w:val="9"/>
        <w:rPr>
          <w:rFonts w:ascii="宋体" w:hAnsi="宋体"/>
          <w:b w:val="0"/>
          <w:snapToGrid w:val="0"/>
          <w:highlight w:val="none"/>
        </w:rPr>
      </w:pPr>
      <w:bookmarkStart w:id="110" w:name="_Toc200513126"/>
      <w:bookmarkStart w:id="111" w:name="_Toc224103317"/>
      <w:bookmarkStart w:id="112" w:name="_Toc287620685"/>
      <w:bookmarkStart w:id="113" w:name="_Toc287607746"/>
      <w:bookmarkStart w:id="114" w:name="_Toc430530435"/>
      <w:bookmarkStart w:id="115" w:name="_Toc277082552"/>
    </w:p>
    <w:bookmarkEnd w:id="110"/>
    <w:bookmarkEnd w:id="111"/>
    <w:bookmarkEnd w:id="112"/>
    <w:bookmarkEnd w:id="113"/>
    <w:bookmarkEnd w:id="114"/>
    <w:bookmarkEnd w:id="115"/>
    <w:p w14:paraId="406B7D7B">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14:paraId="7DB9C34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14:paraId="58D993E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293756837"/>
      <w:bookmarkStart w:id="118" w:name="_Toc9752"/>
      <w:bookmarkStart w:id="119" w:name="_Toc293756840"/>
      <w:r>
        <w:rPr>
          <w:rFonts w:hint="eastAsia" w:ascii="宋体" w:hAnsi="宋体" w:eastAsia="宋体" w:cs="宋体"/>
          <w:color w:val="auto"/>
          <w:sz w:val="21"/>
          <w:szCs w:val="21"/>
          <w:highlight w:val="none"/>
        </w:rPr>
        <w:t>1.1 项目概况</w:t>
      </w:r>
      <w:bookmarkEnd w:id="117"/>
      <w:bookmarkEnd w:id="118"/>
    </w:p>
    <w:p w14:paraId="4698B01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37B832E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F0B0BC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6076259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6E9B62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14:paraId="0EDCFCC4">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5FF41733">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8"/>
      <w:bookmarkStart w:id="121" w:name="_Toc5437"/>
      <w:r>
        <w:rPr>
          <w:rFonts w:hint="eastAsia" w:ascii="宋体" w:hAnsi="宋体" w:eastAsia="宋体" w:cs="宋体"/>
          <w:color w:val="auto"/>
          <w:sz w:val="21"/>
          <w:szCs w:val="21"/>
          <w:highlight w:val="none"/>
        </w:rPr>
        <w:t>1.2 资金来源和落实情况</w:t>
      </w:r>
      <w:bookmarkEnd w:id="120"/>
      <w:bookmarkEnd w:id="121"/>
    </w:p>
    <w:p w14:paraId="48C98BC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14:paraId="0E6B2F7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03E5A13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6FE406F6">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14:paraId="1DFE69D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7965DB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14:paraId="2EB78C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77709D7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14:paraId="3100103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FB2CA8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B44494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901E4A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BAF60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58E967D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C58795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14:paraId="6CD6FE8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3663C2A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618DB1E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3FB2FFA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5AA004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0A53C1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1DC4DD8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2379055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73288E9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3766CBE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6B188D8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419B75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643F01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04AF987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0986A32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4874"/>
      <w:bookmarkStart w:id="126" w:name="_Toc293756841"/>
      <w:r>
        <w:rPr>
          <w:rFonts w:hint="eastAsia" w:ascii="宋体" w:hAnsi="宋体" w:eastAsia="宋体" w:cs="宋体"/>
          <w:color w:val="auto"/>
          <w:sz w:val="21"/>
          <w:szCs w:val="21"/>
          <w:highlight w:val="none"/>
        </w:rPr>
        <w:t>1.5 费用承担</w:t>
      </w:r>
      <w:bookmarkEnd w:id="125"/>
      <w:bookmarkEnd w:id="126"/>
    </w:p>
    <w:p w14:paraId="4BBB521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2E4F693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11009"/>
      <w:bookmarkStart w:id="128" w:name="_Toc293756842"/>
      <w:r>
        <w:rPr>
          <w:rFonts w:hint="eastAsia" w:ascii="宋体" w:hAnsi="宋体" w:eastAsia="宋体" w:cs="宋体"/>
          <w:color w:val="auto"/>
          <w:sz w:val="21"/>
          <w:szCs w:val="21"/>
          <w:highlight w:val="none"/>
        </w:rPr>
        <w:t>1.6 保密</w:t>
      </w:r>
      <w:bookmarkEnd w:id="127"/>
      <w:bookmarkEnd w:id="128"/>
    </w:p>
    <w:p w14:paraId="7376331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0DD0053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18963"/>
      <w:bookmarkStart w:id="130" w:name="_Toc293756843"/>
      <w:r>
        <w:rPr>
          <w:rFonts w:hint="eastAsia" w:ascii="宋体" w:hAnsi="宋体" w:eastAsia="宋体" w:cs="宋体"/>
          <w:color w:val="auto"/>
          <w:sz w:val="21"/>
          <w:szCs w:val="21"/>
          <w:highlight w:val="none"/>
        </w:rPr>
        <w:t>1.7 语言文字</w:t>
      </w:r>
      <w:bookmarkEnd w:id="129"/>
      <w:bookmarkEnd w:id="130"/>
    </w:p>
    <w:p w14:paraId="4AE1EE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2AE08465">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104"/>
      <w:bookmarkStart w:id="132" w:name="_Toc293756844"/>
      <w:r>
        <w:rPr>
          <w:rFonts w:hint="eastAsia" w:ascii="宋体" w:hAnsi="宋体" w:eastAsia="宋体" w:cs="宋体"/>
          <w:color w:val="auto"/>
          <w:sz w:val="21"/>
          <w:szCs w:val="21"/>
          <w:highlight w:val="none"/>
        </w:rPr>
        <w:t>1.8 计量单位</w:t>
      </w:r>
      <w:bookmarkEnd w:id="131"/>
      <w:bookmarkEnd w:id="132"/>
    </w:p>
    <w:p w14:paraId="3A55D0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6282CB6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427"/>
      <w:bookmarkStart w:id="134" w:name="_Toc293756845"/>
      <w:r>
        <w:rPr>
          <w:rFonts w:hint="eastAsia" w:ascii="宋体" w:hAnsi="宋体" w:eastAsia="宋体" w:cs="宋体"/>
          <w:color w:val="auto"/>
          <w:sz w:val="21"/>
          <w:szCs w:val="21"/>
          <w:highlight w:val="none"/>
        </w:rPr>
        <w:t>1.9 踏勘现场</w:t>
      </w:r>
      <w:bookmarkEnd w:id="133"/>
      <w:bookmarkEnd w:id="134"/>
    </w:p>
    <w:p w14:paraId="090CD6B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31EABD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582AB25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0284D89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6B37246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30203"/>
      <w:bookmarkStart w:id="136" w:name="_Toc293756846"/>
      <w:r>
        <w:rPr>
          <w:rFonts w:hint="eastAsia" w:ascii="宋体" w:hAnsi="宋体" w:eastAsia="宋体" w:cs="宋体"/>
          <w:color w:val="auto"/>
          <w:sz w:val="21"/>
          <w:szCs w:val="21"/>
          <w:highlight w:val="none"/>
        </w:rPr>
        <w:t>1.10 比选预备会</w:t>
      </w:r>
      <w:bookmarkEnd w:id="135"/>
      <w:bookmarkEnd w:id="136"/>
    </w:p>
    <w:p w14:paraId="4EFE920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59E8E6D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29748F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2678A24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293756847"/>
      <w:bookmarkStart w:id="138" w:name="_Toc13696"/>
      <w:r>
        <w:rPr>
          <w:rFonts w:hint="eastAsia" w:ascii="宋体" w:hAnsi="宋体" w:eastAsia="宋体" w:cs="宋体"/>
          <w:color w:val="auto"/>
          <w:sz w:val="21"/>
          <w:szCs w:val="21"/>
          <w:highlight w:val="none"/>
        </w:rPr>
        <w:t>1.11 分包</w:t>
      </w:r>
      <w:bookmarkEnd w:id="137"/>
      <w:bookmarkEnd w:id="138"/>
    </w:p>
    <w:p w14:paraId="408597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14:paraId="51481035">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1FC7ED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3F3E055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14:paraId="2F6DD35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93756848"/>
      <w:bookmarkStart w:id="141" w:name="_Toc25177"/>
      <w:r>
        <w:rPr>
          <w:rFonts w:hint="eastAsia" w:ascii="宋体" w:hAnsi="宋体" w:eastAsia="宋体" w:cs="宋体"/>
          <w:color w:val="auto"/>
          <w:sz w:val="21"/>
          <w:szCs w:val="21"/>
          <w:highlight w:val="none"/>
        </w:rPr>
        <w:t>2.1比选文件的组成</w:t>
      </w:r>
      <w:bookmarkEnd w:id="140"/>
      <w:bookmarkEnd w:id="141"/>
    </w:p>
    <w:p w14:paraId="6F922E1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2085E2E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1A8A868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598E65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48D642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43FAF1B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14:paraId="00582C3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1E3474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14:paraId="0CCEDDB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14:paraId="7B6CBF3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14:paraId="0D55A83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68D3AE4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17073"/>
      <w:bookmarkStart w:id="143" w:name="_Toc293756849"/>
      <w:r>
        <w:rPr>
          <w:rFonts w:hint="eastAsia" w:ascii="宋体" w:hAnsi="宋体" w:eastAsia="宋体" w:cs="宋体"/>
          <w:color w:val="auto"/>
          <w:sz w:val="21"/>
          <w:szCs w:val="21"/>
          <w:highlight w:val="none"/>
        </w:rPr>
        <w:t>2.2比选文件的澄清</w:t>
      </w:r>
      <w:bookmarkEnd w:id="142"/>
      <w:bookmarkEnd w:id="143"/>
    </w:p>
    <w:p w14:paraId="48AE94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595D508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14:paraId="0469317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14:paraId="1C610CB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781"/>
      <w:bookmarkStart w:id="145" w:name="_Toc293756850"/>
      <w:r>
        <w:rPr>
          <w:rFonts w:hint="eastAsia" w:ascii="宋体" w:hAnsi="宋体" w:eastAsia="宋体" w:cs="宋体"/>
          <w:color w:val="auto"/>
          <w:sz w:val="21"/>
          <w:szCs w:val="21"/>
          <w:highlight w:val="none"/>
        </w:rPr>
        <w:t>2.3比选文件的修改</w:t>
      </w:r>
      <w:bookmarkEnd w:id="144"/>
      <w:bookmarkEnd w:id="145"/>
    </w:p>
    <w:p w14:paraId="5FBF784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175F036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3298"/>
      <w:bookmarkStart w:id="147" w:name="_Toc29375685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14:paraId="5E323182">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7406"/>
      <w:bookmarkStart w:id="149"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14:paraId="5943C4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1F1C8E8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14:paraId="09AE1CE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14:paraId="6C376C0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14:paraId="67C7225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2F5677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14:paraId="0BF3B2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14:paraId="7696AF4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14:paraId="75D4109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14:paraId="041A134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53367E44">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14:paraId="6E14E7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14:paraId="042797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14:paraId="4CAECA7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14:paraId="52359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7904C5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A33EE2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2" w:name="_Toc8270"/>
      <w:bookmarkStart w:id="153" w:name="_Toc293756853"/>
      <w:r>
        <w:rPr>
          <w:rFonts w:hint="eastAsia" w:ascii="宋体" w:hAnsi="宋体" w:eastAsia="宋体" w:cs="宋体"/>
          <w:color w:val="auto"/>
          <w:sz w:val="21"/>
          <w:szCs w:val="21"/>
          <w:highlight w:val="none"/>
        </w:rPr>
        <w:t>3.4 比选保证金</w:t>
      </w:r>
      <w:bookmarkEnd w:id="152"/>
      <w:bookmarkEnd w:id="153"/>
    </w:p>
    <w:p w14:paraId="09E3794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047EF7B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2F7F95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7179105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133D421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1A47C3D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0B51DEA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07D2970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2AEB0F4D">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532B468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50"/>
      <w:bookmarkStart w:id="155" w:name="_Toc293756854"/>
      <w:r>
        <w:rPr>
          <w:rFonts w:hint="eastAsia" w:ascii="宋体" w:hAnsi="宋体" w:eastAsia="宋体" w:cs="宋体"/>
          <w:color w:val="auto"/>
          <w:sz w:val="21"/>
          <w:szCs w:val="21"/>
          <w:highlight w:val="none"/>
        </w:rPr>
        <w:t>3.5 资格审查资料</w:t>
      </w:r>
      <w:bookmarkEnd w:id="154"/>
      <w:bookmarkEnd w:id="155"/>
    </w:p>
    <w:p w14:paraId="0B1BC14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3257477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3044CA97">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0F3519C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5F7CE6F3">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1B2A6B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7C2A363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1615D01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1096FF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6ABE4D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5131FC9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14:paraId="0B3EA617">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93756856"/>
      <w:bookmarkStart w:id="159"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14:paraId="441C2C0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2FD18F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568F187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E58DB58">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93756857"/>
      <w:bookmarkStart w:id="161" w:name="_Toc2798"/>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14:paraId="0C7730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1CCE6A3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0E444F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06552A6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6CA60FDF">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88"/>
      <w:bookmarkStart w:id="163"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14:paraId="5637378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7C804C5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623AF65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0774C783">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14:paraId="6E201D59">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60"/>
      <w:bookmarkStart w:id="167" w:name="_Toc6939"/>
      <w:r>
        <w:rPr>
          <w:rFonts w:hint="eastAsia" w:ascii="宋体" w:hAnsi="宋体" w:eastAsia="宋体" w:cs="宋体"/>
          <w:color w:val="auto"/>
          <w:sz w:val="21"/>
          <w:szCs w:val="21"/>
          <w:highlight w:val="none"/>
        </w:rPr>
        <w:t>5.1 比选时间和地点</w:t>
      </w:r>
      <w:bookmarkEnd w:id="166"/>
      <w:bookmarkEnd w:id="167"/>
    </w:p>
    <w:p w14:paraId="46E06E2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6C18ED28">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716"/>
      <w:bookmarkStart w:id="169" w:name="_Toc293756861"/>
      <w:r>
        <w:rPr>
          <w:rFonts w:hint="eastAsia" w:ascii="宋体" w:hAnsi="宋体" w:eastAsia="宋体" w:cs="宋体"/>
          <w:color w:val="auto"/>
          <w:sz w:val="21"/>
          <w:szCs w:val="21"/>
          <w:highlight w:val="none"/>
        </w:rPr>
        <w:t>5.2 比选程序</w:t>
      </w:r>
      <w:bookmarkEnd w:id="168"/>
      <w:bookmarkEnd w:id="169"/>
    </w:p>
    <w:p w14:paraId="47C9EA5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4390616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14:paraId="7A243796">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224103352"/>
      <w:bookmarkStart w:id="173" w:name="_Toc7646"/>
      <w:bookmarkStart w:id="174" w:name="_Toc509218745"/>
      <w:bookmarkStart w:id="175" w:name="_Toc287620720"/>
      <w:bookmarkStart w:id="176" w:name="_Toc430530470"/>
      <w:bookmarkStart w:id="177" w:name="_Toc200513161"/>
      <w:bookmarkStart w:id="178" w:name="_Toc277082587"/>
      <w:bookmarkStart w:id="179" w:name="_Toc287607781"/>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14:paraId="78E5958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3CBBC57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2FEEB8F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287607782"/>
      <w:bookmarkStart w:id="183" w:name="_Toc277082588"/>
      <w:bookmarkStart w:id="184" w:name="_Toc224103353"/>
      <w:bookmarkStart w:id="185" w:name="_Toc509218746"/>
      <w:bookmarkStart w:id="186" w:name="_Toc287620721"/>
      <w:bookmarkStart w:id="187" w:name="_Toc430530471"/>
      <w:bookmarkStart w:id="188" w:name="_Toc200513162"/>
      <w:r>
        <w:rPr>
          <w:rFonts w:hint="eastAsia" w:ascii="宋体" w:hAnsi="宋体" w:eastAsia="宋体" w:cs="宋体"/>
          <w:snapToGrid w:val="0"/>
          <w:color w:val="auto"/>
          <w:kern w:val="0"/>
          <w:sz w:val="21"/>
          <w:szCs w:val="21"/>
          <w:highlight w:val="none"/>
        </w:rPr>
        <w:t>（1）投标人或投标人的主要负责人的近亲属；</w:t>
      </w:r>
      <w:bookmarkEnd w:id="181"/>
    </w:p>
    <w:p w14:paraId="5AA7C240">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14:paraId="3928F6E2">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14:paraId="24396A74">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14:paraId="64F34024">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14:paraId="2A59F89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D3B0F39">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14:paraId="4B1C878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2E98F2C2">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277082589"/>
      <w:bookmarkStart w:id="195" w:name="_Toc287607783"/>
      <w:bookmarkStart w:id="196" w:name="_Toc3231"/>
      <w:bookmarkStart w:id="197" w:name="_Toc430530472"/>
      <w:bookmarkStart w:id="198" w:name="_Toc224103354"/>
      <w:bookmarkStart w:id="199" w:name="_Toc287620722"/>
      <w:bookmarkStart w:id="200" w:name="_Toc200513163"/>
      <w:bookmarkStart w:id="201" w:name="_Toc509218747"/>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14:paraId="140F735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136BB75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14:paraId="537C3F7A">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293756867"/>
      <w:bookmarkStart w:id="204" w:name="_Toc13886"/>
      <w:r>
        <w:rPr>
          <w:rFonts w:hint="eastAsia" w:ascii="宋体" w:hAnsi="宋体" w:eastAsia="宋体" w:cs="宋体"/>
          <w:color w:val="auto"/>
          <w:sz w:val="21"/>
          <w:szCs w:val="21"/>
          <w:highlight w:val="none"/>
        </w:rPr>
        <w:t>7.1 定选方式</w:t>
      </w:r>
      <w:bookmarkEnd w:id="203"/>
      <w:bookmarkEnd w:id="204"/>
    </w:p>
    <w:p w14:paraId="6E7459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2CEFB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39778C51">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293756868"/>
      <w:bookmarkStart w:id="206" w:name="_Toc17919"/>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14:paraId="00170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14:paraId="10C4E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6CCC74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14:paraId="4A5B1B8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7821C8E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591C6B8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5235"/>
      <w:bookmarkStart w:id="209" w:name="_Toc293756870"/>
      <w:r>
        <w:rPr>
          <w:rFonts w:hint="eastAsia" w:ascii="宋体" w:hAnsi="宋体" w:eastAsia="宋体" w:cs="宋体"/>
          <w:color w:val="auto"/>
          <w:sz w:val="21"/>
          <w:szCs w:val="21"/>
          <w:highlight w:val="none"/>
        </w:rPr>
        <w:t>7.4 签订合同</w:t>
      </w:r>
      <w:bookmarkEnd w:id="208"/>
      <w:bookmarkEnd w:id="209"/>
    </w:p>
    <w:p w14:paraId="64479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2A0C6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78A10E8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93756871"/>
      <w:bookmarkStart w:id="211" w:name="_Toc21469"/>
      <w:r>
        <w:rPr>
          <w:rFonts w:hint="eastAsia" w:ascii="宋体" w:hAnsi="宋体" w:eastAsia="宋体" w:cs="宋体"/>
          <w:color w:val="auto"/>
          <w:sz w:val="21"/>
          <w:szCs w:val="21"/>
          <w:highlight w:val="none"/>
        </w:rPr>
        <w:t>8. 重新比选和不再比选</w:t>
      </w:r>
      <w:bookmarkEnd w:id="210"/>
      <w:bookmarkEnd w:id="211"/>
    </w:p>
    <w:p w14:paraId="55E1C27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87607790"/>
      <w:bookmarkStart w:id="213" w:name="_Toc277082596"/>
      <w:bookmarkStart w:id="214" w:name="_Toc287620729"/>
      <w:bookmarkStart w:id="215" w:name="_Toc509218754"/>
      <w:bookmarkStart w:id="216" w:name="_Toc224103361"/>
      <w:bookmarkStart w:id="217" w:name="_Toc200513170"/>
      <w:bookmarkStart w:id="218" w:name="_Toc430530479"/>
      <w:bookmarkStart w:id="219" w:name="_Toc27002"/>
      <w:bookmarkStart w:id="220" w:name="_Toc293756873"/>
      <w:bookmarkStart w:id="22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14:paraId="78AE7D4B">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469668E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6EB9C4E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657E57EA">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62D9952D">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302EBE2D">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14:paraId="4FE8F66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93756874"/>
      <w:bookmarkStart w:id="224" w:name="_Toc284159224"/>
      <w:bookmarkStart w:id="225" w:name="_Toc284159360"/>
      <w:bookmarkStart w:id="226" w:name="_Toc284231395"/>
      <w:bookmarkStart w:id="227" w:name="_Toc288046894"/>
      <w:bookmarkStart w:id="228" w:name="_Toc284158456"/>
      <w:bookmarkStart w:id="229" w:name="_Toc288052291"/>
      <w:bookmarkStart w:id="230" w:name="_Toc284158539"/>
      <w:bookmarkStart w:id="231" w:name="_Toc288046541"/>
      <w:bookmarkStart w:id="232" w:name="_Toc288045280"/>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14:paraId="77EB2F5F">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287620731"/>
      <w:bookmarkStart w:id="234" w:name="_Toc277082598"/>
      <w:bookmarkStart w:id="235" w:name="_Toc287607792"/>
      <w:bookmarkStart w:id="236" w:name="_Toc31090"/>
      <w:bookmarkStart w:id="237" w:name="_Toc224103363"/>
      <w:bookmarkStart w:id="238" w:name="_Toc36043737"/>
      <w:bookmarkStart w:id="239" w:name="_Toc200513172"/>
      <w:bookmarkStart w:id="240" w:name="_Toc509218756"/>
      <w:bookmarkStart w:id="241" w:name="_Toc430530481"/>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14:paraId="49D28AB4">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25463"/>
      <w:bookmarkStart w:id="243" w:name="_Toc277082599"/>
      <w:bookmarkStart w:id="244" w:name="_Toc287607793"/>
      <w:bookmarkStart w:id="245" w:name="_Toc430530482"/>
      <w:bookmarkStart w:id="246" w:name="_Toc509218757"/>
      <w:bookmarkStart w:id="247" w:name="_Toc287620732"/>
      <w:bookmarkStart w:id="248" w:name="_Toc200513173"/>
      <w:bookmarkStart w:id="249" w:name="_Toc224103364"/>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14:paraId="325BBB4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2C14A2F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3CBAF23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5EF0AD4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61426CF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598FD8F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6F8DFCA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5810FD2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25107B32">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277082600"/>
      <w:bookmarkStart w:id="251" w:name="_Toc287607794"/>
      <w:bookmarkStart w:id="252" w:name="_Toc224103365"/>
      <w:bookmarkStart w:id="253" w:name="_Toc287620733"/>
      <w:bookmarkStart w:id="254" w:name="_Toc14890"/>
      <w:bookmarkStart w:id="255" w:name="_Toc200513174"/>
      <w:bookmarkStart w:id="256" w:name="_Toc509218758"/>
      <w:bookmarkStart w:id="257" w:name="_Toc43053048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14:paraId="7D90DF1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32A2DD8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599105D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6D86A0B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2598C51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3F813BF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4D460A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6D0B7F1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579EDA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11DAE44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5BCA9E5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FAD330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5E3880F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1B81DB1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29F50D0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46F87A9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38979E2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06444A1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6505699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1C3F0B4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4B0F46C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20024"/>
      <w:bookmarkStart w:id="259" w:name="_Toc224103366"/>
      <w:bookmarkStart w:id="260" w:name="_Toc277082601"/>
      <w:bookmarkStart w:id="261" w:name="_Toc287607795"/>
      <w:bookmarkStart w:id="262" w:name="_Toc509218759"/>
      <w:bookmarkStart w:id="263" w:name="_Toc287620734"/>
      <w:bookmarkStart w:id="264" w:name="_Toc430530484"/>
      <w:bookmarkStart w:id="265" w:name="_Toc200513175"/>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14:paraId="5219D5F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F9EB8F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200513176"/>
      <w:bookmarkStart w:id="267" w:name="_Toc430530485"/>
      <w:bookmarkStart w:id="268" w:name="_Toc287620735"/>
      <w:bookmarkStart w:id="269" w:name="_Toc277082602"/>
      <w:bookmarkStart w:id="270" w:name="_Toc509218760"/>
      <w:bookmarkStart w:id="271" w:name="_Toc224103367"/>
      <w:bookmarkStart w:id="272" w:name="_Toc287607796"/>
      <w:bookmarkStart w:id="273" w:name="_Toc1608"/>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14:paraId="31C37C5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5B829FD8">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287607797"/>
      <w:bookmarkStart w:id="275" w:name="_Toc509218761"/>
      <w:bookmarkStart w:id="276" w:name="_Toc200513177"/>
      <w:bookmarkStart w:id="277" w:name="_Toc430530486"/>
      <w:bookmarkStart w:id="278" w:name="_Toc277082603"/>
      <w:bookmarkStart w:id="279" w:name="_Toc2907"/>
      <w:bookmarkStart w:id="280" w:name="_Toc287620736"/>
      <w:bookmarkStart w:id="281" w:name="_Toc224103368"/>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14:paraId="7F35DB5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51E08053">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430530487"/>
      <w:bookmarkStart w:id="283" w:name="_Toc224103369"/>
      <w:bookmarkStart w:id="284" w:name="_Toc509218762"/>
      <w:bookmarkStart w:id="285" w:name="_Toc287620737"/>
      <w:bookmarkStart w:id="286" w:name="_Toc287607798"/>
      <w:bookmarkStart w:id="287" w:name="_Toc277082604"/>
      <w:bookmarkStart w:id="288" w:name="_Toc36043738"/>
      <w:bookmarkStart w:id="289" w:name="_Toc20051317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14:paraId="25B005F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754889A9">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14:paraId="40CB0E1F">
      <w:pPr>
        <w:pStyle w:val="3"/>
        <w:spacing w:line="360" w:lineRule="auto"/>
        <w:ind w:firstLine="883" w:firstLineChars="200"/>
        <w:jc w:val="center"/>
        <w:rPr>
          <w:rFonts w:ascii="宋体" w:hAnsi="宋体"/>
          <w:highlight w:val="none"/>
        </w:rPr>
      </w:pPr>
      <w:bookmarkStart w:id="290" w:name="_Toc509218774"/>
      <w:bookmarkStart w:id="291" w:name="_Toc6128"/>
      <w:bookmarkStart w:id="292" w:name="_Toc5770"/>
      <w:bookmarkStart w:id="293" w:name="_Toc4335"/>
      <w:bookmarkStart w:id="294" w:name="_Toc287607812"/>
      <w:bookmarkStart w:id="295" w:name="_Toc287620751"/>
      <w:bookmarkStart w:id="296" w:name="_Toc430530500"/>
      <w:bookmarkStart w:id="297" w:name="_Toc224103384"/>
      <w:bookmarkStart w:id="298" w:name="_Toc277082618"/>
      <w:bookmarkStart w:id="299" w:name="_Toc200513198"/>
      <w:bookmarkStart w:id="300" w:name="_Toc430530509"/>
      <w:bookmarkStart w:id="301" w:name="_Toc8427"/>
      <w:bookmarkStart w:id="302" w:name="_Toc12421"/>
      <w:bookmarkStart w:id="303" w:name="_Toc10597"/>
      <w:bookmarkStart w:id="304" w:name="_Toc509218785"/>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bookmarkEnd w:id="290"/>
      <w:bookmarkEnd w:id="291"/>
      <w:bookmarkEnd w:id="292"/>
      <w:bookmarkEnd w:id="293"/>
      <w:bookmarkStart w:id="305" w:name="_Toc287607811"/>
      <w:bookmarkStart w:id="306" w:name="_Toc287620750"/>
      <w:bookmarkStart w:id="307" w:name="_Toc224103383"/>
      <w:bookmarkStart w:id="308" w:name="_Toc277082617"/>
      <w:bookmarkStart w:id="309" w:name="_Toc430530499"/>
    </w:p>
    <w:p w14:paraId="0427D1B8">
      <w:pPr>
        <w:pStyle w:val="4"/>
        <w:spacing w:before="100" w:after="100" w:line="360" w:lineRule="auto"/>
        <w:rPr>
          <w:rFonts w:ascii="宋体" w:hAnsi="宋体"/>
          <w:highlight w:val="none"/>
        </w:rPr>
      </w:pPr>
      <w:bookmarkStart w:id="310" w:name="_Toc509218775"/>
      <w:bookmarkStart w:id="311" w:name="_Toc14663"/>
      <w:bookmarkStart w:id="312" w:name="_Toc32566"/>
      <w:r>
        <w:rPr>
          <w:rFonts w:hint="eastAsia" w:ascii="宋体" w:hAnsi="宋体"/>
          <w:highlight w:val="none"/>
        </w:rPr>
        <w:t>评标办法前附表</w:t>
      </w:r>
      <w:bookmarkEnd w:id="310"/>
      <w:bookmarkEnd w:id="311"/>
      <w:bookmarkEnd w:id="312"/>
    </w:p>
    <w:p w14:paraId="533EFA42">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5"/>
    <w:bookmarkEnd w:id="306"/>
    <w:bookmarkEnd w:id="307"/>
    <w:bookmarkEnd w:id="308"/>
    <w:bookmarkEnd w:id="309"/>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6250B1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313AECC">
            <w:pPr>
              <w:spacing w:line="400" w:lineRule="exact"/>
              <w:jc w:val="center"/>
              <w:rPr>
                <w:rFonts w:ascii="宋体" w:hAnsi="宋体"/>
                <w:b/>
                <w:kern w:val="0"/>
                <w:highlight w:val="none"/>
              </w:rPr>
            </w:pPr>
            <w:bookmarkStart w:id="313" w:name="_Toc509218776"/>
            <w:r>
              <w:rPr>
                <w:rFonts w:ascii="宋体" w:hAnsi="宋体"/>
                <w:b/>
                <w:kern w:val="0"/>
                <w:highlight w:val="none"/>
              </w:rPr>
              <w:t>条款号</w:t>
            </w:r>
          </w:p>
        </w:tc>
        <w:tc>
          <w:tcPr>
            <w:tcW w:w="2559" w:type="dxa"/>
            <w:gridSpan w:val="3"/>
            <w:vAlign w:val="center"/>
          </w:tcPr>
          <w:p w14:paraId="2B6C4B5F">
            <w:pPr>
              <w:spacing w:line="400" w:lineRule="exact"/>
              <w:jc w:val="center"/>
              <w:rPr>
                <w:rFonts w:ascii="宋体" w:hAnsi="宋体"/>
                <w:b/>
                <w:kern w:val="0"/>
                <w:highlight w:val="none"/>
              </w:rPr>
            </w:pPr>
            <w:r>
              <w:rPr>
                <w:rFonts w:ascii="宋体" w:hAnsi="宋体"/>
                <w:b/>
                <w:kern w:val="0"/>
                <w:highlight w:val="none"/>
              </w:rPr>
              <w:t>评审因素</w:t>
            </w:r>
          </w:p>
        </w:tc>
        <w:tc>
          <w:tcPr>
            <w:tcW w:w="5493" w:type="dxa"/>
            <w:vAlign w:val="center"/>
          </w:tcPr>
          <w:p w14:paraId="7306A4E8">
            <w:pPr>
              <w:spacing w:line="400" w:lineRule="exact"/>
              <w:jc w:val="center"/>
              <w:rPr>
                <w:rFonts w:ascii="宋体" w:hAnsi="宋体"/>
                <w:b/>
                <w:kern w:val="0"/>
                <w:highlight w:val="none"/>
              </w:rPr>
            </w:pPr>
            <w:r>
              <w:rPr>
                <w:rFonts w:ascii="宋体" w:hAnsi="宋体"/>
                <w:b/>
                <w:kern w:val="0"/>
                <w:highlight w:val="none"/>
              </w:rPr>
              <w:t>评审标准</w:t>
            </w:r>
          </w:p>
        </w:tc>
      </w:tr>
      <w:tr w14:paraId="3C218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183171D">
            <w:pPr>
              <w:spacing w:line="400" w:lineRule="exact"/>
              <w:jc w:val="center"/>
              <w:rPr>
                <w:rFonts w:ascii="宋体" w:hAnsi="宋体"/>
                <w:kern w:val="0"/>
                <w:highlight w:val="none"/>
              </w:rPr>
            </w:pPr>
            <w:r>
              <w:rPr>
                <w:rFonts w:hint="eastAsia" w:ascii="宋体" w:hAnsi="宋体"/>
                <w:kern w:val="0"/>
                <w:highlight w:val="none"/>
              </w:rPr>
              <w:t>1</w:t>
            </w:r>
          </w:p>
        </w:tc>
        <w:tc>
          <w:tcPr>
            <w:tcW w:w="2559" w:type="dxa"/>
            <w:gridSpan w:val="3"/>
            <w:vAlign w:val="center"/>
          </w:tcPr>
          <w:p w14:paraId="45E1C5DC">
            <w:pPr>
              <w:spacing w:line="400" w:lineRule="exact"/>
              <w:jc w:val="center"/>
              <w:rPr>
                <w:rFonts w:ascii="宋体" w:hAnsi="宋体"/>
                <w:kern w:val="0"/>
                <w:highlight w:val="none"/>
              </w:rPr>
            </w:pPr>
            <w:r>
              <w:rPr>
                <w:rFonts w:ascii="宋体" w:hAnsi="宋体"/>
                <w:kern w:val="0"/>
                <w:highlight w:val="none"/>
              </w:rPr>
              <w:t>评标办法</w:t>
            </w:r>
          </w:p>
        </w:tc>
        <w:tc>
          <w:tcPr>
            <w:tcW w:w="5493" w:type="dxa"/>
            <w:vAlign w:val="center"/>
          </w:tcPr>
          <w:p w14:paraId="5ED60E52">
            <w:pPr>
              <w:spacing w:line="400" w:lineRule="exact"/>
              <w:ind w:firstLine="420" w:firstLineChars="200"/>
              <w:jc w:val="left"/>
              <w:rPr>
                <w:rFonts w:ascii="宋体" w:hAnsi="宋体"/>
                <w:kern w:val="0"/>
                <w:highlight w:val="none"/>
              </w:rPr>
            </w:pPr>
            <w:r>
              <w:rPr>
                <w:rFonts w:hint="eastAsia" w:ascii="宋体" w:hAnsi="宋体"/>
                <w:kern w:val="0"/>
              </w:rPr>
              <w:t>本次评标采用综合评估法。评标委员会按照本章第 2.2 款规定的评分标准进行打分，按得分由高到低顺序推荐中标候选人。综合评分相等时，以投标报价低的优先；投标报价相等的，以“投标人在红名单中优先”的原则排序</w:t>
            </w:r>
            <w:r>
              <w:rPr>
                <w:rFonts w:hint="eastAsia" w:ascii="宋体" w:hAnsi="宋体"/>
                <w:spacing w:val="4"/>
                <w:kern w:val="0"/>
                <w:szCs w:val="21"/>
              </w:rPr>
              <w:t>（联合体投标的，须联合体牵头人在红名单中），投标人是否属于红名单，以开标环节信用状况查询结果为准</w:t>
            </w:r>
            <w:r>
              <w:rPr>
                <w:rFonts w:hint="eastAsia" w:ascii="宋体" w:hAnsi="宋体"/>
                <w:kern w:val="0"/>
              </w:rPr>
              <w:t>；投标人均在红名单中或均不在红名单中的，由评标委员会按照</w:t>
            </w:r>
            <w:r>
              <w:rPr>
                <w:rFonts w:hint="eastAsia" w:ascii="宋体" w:hAnsi="宋体"/>
                <w:kern w:val="0"/>
                <w:u w:val="single"/>
              </w:rPr>
              <w:t xml:space="preserve">  </w:t>
            </w:r>
            <w:r>
              <w:rPr>
                <w:rFonts w:hint="eastAsia" w:ascii="宋体" w:hAnsi="宋体" w:cs="宋体"/>
                <w:kern w:val="0"/>
                <w:sz w:val="21"/>
                <w:szCs w:val="21"/>
                <w:u w:val="single"/>
              </w:rPr>
              <w:t>技术部分得分高的优先</w:t>
            </w:r>
            <w:r>
              <w:rPr>
                <w:rFonts w:hint="eastAsia" w:ascii="宋体" w:hAnsi="宋体"/>
                <w:kern w:val="0"/>
                <w:u w:val="single"/>
              </w:rPr>
              <w:t xml:space="preserve">  </w:t>
            </w:r>
            <w:r>
              <w:rPr>
                <w:rFonts w:hint="eastAsia" w:ascii="宋体" w:hAnsi="宋体"/>
                <w:kern w:val="0"/>
              </w:rPr>
              <w:t>原则排序。</w:t>
            </w:r>
          </w:p>
        </w:tc>
      </w:tr>
      <w:tr w14:paraId="206354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7DB8EBF3">
            <w:pPr>
              <w:spacing w:line="400" w:lineRule="exact"/>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567" w:type="dxa"/>
            <w:vMerge w:val="restart"/>
            <w:vAlign w:val="center"/>
          </w:tcPr>
          <w:p w14:paraId="5E44BB2B">
            <w:pPr>
              <w:spacing w:line="400" w:lineRule="exact"/>
              <w:jc w:val="center"/>
              <w:rPr>
                <w:rFonts w:ascii="宋体" w:hAnsi="宋体"/>
                <w:kern w:val="0"/>
                <w:highlight w:val="none"/>
              </w:rPr>
            </w:pPr>
            <w:r>
              <w:rPr>
                <w:rFonts w:ascii="宋体" w:hAnsi="宋体"/>
                <w:kern w:val="0"/>
                <w:highlight w:val="none"/>
              </w:rPr>
              <w:t>资格评审标准</w:t>
            </w:r>
          </w:p>
        </w:tc>
        <w:tc>
          <w:tcPr>
            <w:tcW w:w="2559" w:type="dxa"/>
            <w:gridSpan w:val="3"/>
            <w:tcBorders>
              <w:bottom w:val="single" w:color="auto" w:sz="4" w:space="0"/>
            </w:tcBorders>
            <w:vAlign w:val="center"/>
          </w:tcPr>
          <w:p w14:paraId="5AE4714F">
            <w:pPr>
              <w:spacing w:line="400" w:lineRule="exact"/>
              <w:jc w:val="left"/>
              <w:rPr>
                <w:rFonts w:ascii="宋体" w:hAnsi="宋体"/>
                <w:kern w:val="0"/>
                <w:highlight w:val="none"/>
              </w:rPr>
            </w:pPr>
            <w:r>
              <w:rPr>
                <w:rFonts w:hint="eastAsia" w:ascii="宋体" w:hAnsi="宋体"/>
                <w:kern w:val="0"/>
                <w:highlight w:val="none"/>
              </w:rPr>
              <w:t>资质条件</w:t>
            </w:r>
          </w:p>
        </w:tc>
        <w:tc>
          <w:tcPr>
            <w:tcW w:w="5493" w:type="dxa"/>
            <w:vAlign w:val="center"/>
          </w:tcPr>
          <w:p w14:paraId="59B8D3BA">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6457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DD1FDC4">
            <w:pPr>
              <w:spacing w:line="400" w:lineRule="exact"/>
              <w:rPr>
                <w:rFonts w:ascii="宋体" w:hAnsi="宋体"/>
                <w:highlight w:val="none"/>
              </w:rPr>
            </w:pPr>
          </w:p>
        </w:tc>
        <w:tc>
          <w:tcPr>
            <w:tcW w:w="567" w:type="dxa"/>
            <w:vMerge w:val="continue"/>
          </w:tcPr>
          <w:p w14:paraId="4CCAA859">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20365DF1">
            <w:pPr>
              <w:spacing w:line="400" w:lineRule="exact"/>
              <w:jc w:val="left"/>
              <w:rPr>
                <w:rFonts w:ascii="宋体" w:hAnsi="宋体"/>
                <w:kern w:val="0"/>
                <w:highlight w:val="none"/>
              </w:rPr>
            </w:pPr>
            <w:r>
              <w:rPr>
                <w:rFonts w:hint="eastAsia" w:ascii="宋体" w:hAnsi="宋体"/>
                <w:kern w:val="0"/>
                <w:highlight w:val="none"/>
              </w:rPr>
              <w:t>营业执照</w:t>
            </w:r>
          </w:p>
        </w:tc>
        <w:tc>
          <w:tcPr>
            <w:tcW w:w="5493" w:type="dxa"/>
            <w:vAlign w:val="center"/>
          </w:tcPr>
          <w:p w14:paraId="0F6AC6EC">
            <w:pPr>
              <w:autoSpaceDE w:val="0"/>
              <w:autoSpaceDN w:val="0"/>
              <w:adjustRightInd w:val="0"/>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06DB6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663C3649">
            <w:pPr>
              <w:spacing w:line="400" w:lineRule="exact"/>
              <w:rPr>
                <w:rFonts w:ascii="宋体" w:hAnsi="宋体"/>
                <w:highlight w:val="none"/>
              </w:rPr>
            </w:pPr>
          </w:p>
        </w:tc>
        <w:tc>
          <w:tcPr>
            <w:tcW w:w="567" w:type="dxa"/>
            <w:vMerge w:val="continue"/>
          </w:tcPr>
          <w:p w14:paraId="1EAF6807">
            <w:pPr>
              <w:spacing w:line="400" w:lineRule="exact"/>
              <w:rPr>
                <w:rFonts w:ascii="宋体" w:hAnsi="宋体"/>
                <w:highlight w:val="none"/>
              </w:rPr>
            </w:pPr>
          </w:p>
        </w:tc>
        <w:tc>
          <w:tcPr>
            <w:tcW w:w="2559" w:type="dxa"/>
            <w:gridSpan w:val="3"/>
            <w:tcBorders>
              <w:top w:val="single" w:color="auto" w:sz="4" w:space="0"/>
            </w:tcBorders>
          </w:tcPr>
          <w:p w14:paraId="43151923">
            <w:pPr>
              <w:spacing w:line="400" w:lineRule="exact"/>
              <w:jc w:val="left"/>
              <w:rPr>
                <w:rFonts w:ascii="宋体" w:hAnsi="宋体"/>
                <w:kern w:val="0"/>
                <w:highlight w:val="none"/>
              </w:rPr>
            </w:pPr>
            <w:r>
              <w:rPr>
                <w:rFonts w:hint="eastAsia" w:ascii="宋体" w:hAnsi="宋体"/>
                <w:kern w:val="0"/>
                <w:highlight w:val="none"/>
              </w:rPr>
              <w:t>安全生产条件</w:t>
            </w:r>
          </w:p>
        </w:tc>
        <w:tc>
          <w:tcPr>
            <w:tcW w:w="5493" w:type="dxa"/>
            <w:vAlign w:val="center"/>
          </w:tcPr>
          <w:p w14:paraId="552081DB">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076EE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2BE224">
            <w:pPr>
              <w:spacing w:line="400" w:lineRule="exact"/>
              <w:rPr>
                <w:rFonts w:ascii="宋体" w:hAnsi="宋体"/>
                <w:highlight w:val="none"/>
              </w:rPr>
            </w:pPr>
          </w:p>
        </w:tc>
        <w:tc>
          <w:tcPr>
            <w:tcW w:w="567" w:type="dxa"/>
            <w:vMerge w:val="continue"/>
          </w:tcPr>
          <w:p w14:paraId="7E64FB15">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777A50F9">
            <w:pPr>
              <w:spacing w:line="400" w:lineRule="exact"/>
              <w:jc w:val="left"/>
              <w:rPr>
                <w:rFonts w:ascii="宋体" w:hAnsi="宋体" w:eastAsia="宋体" w:cs="Times New Roman"/>
                <w:kern w:val="0"/>
                <w:sz w:val="21"/>
                <w:szCs w:val="24"/>
                <w:highlight w:val="none"/>
                <w:lang w:val="en-US" w:eastAsia="zh-CN" w:bidi="ar-SA"/>
              </w:rPr>
            </w:pPr>
            <w:r>
              <w:rPr>
                <w:rFonts w:hint="eastAsia" w:ascii="宋体" w:hAnsi="宋体" w:cs="宋体"/>
                <w:kern w:val="0"/>
                <w:lang w:eastAsia="zh-CN"/>
              </w:rPr>
              <w:t>□</w:t>
            </w:r>
            <w:r>
              <w:rPr>
                <w:rFonts w:ascii="宋体" w:hAnsi="宋体"/>
                <w:kern w:val="0"/>
              </w:rPr>
              <w:t>财务</w:t>
            </w:r>
            <w:r>
              <w:rPr>
                <w:rFonts w:hint="eastAsia" w:ascii="宋体" w:hAnsi="宋体"/>
                <w:kern w:val="0"/>
              </w:rPr>
              <w:t>要求</w:t>
            </w:r>
          </w:p>
        </w:tc>
        <w:tc>
          <w:tcPr>
            <w:tcW w:w="5493" w:type="dxa"/>
            <w:vAlign w:val="center"/>
          </w:tcPr>
          <w:p w14:paraId="0C1212A5">
            <w:pPr>
              <w:spacing w:line="400" w:lineRule="exact"/>
              <w:ind w:firstLine="420" w:firstLineChars="200"/>
              <w:rPr>
                <w:rFonts w:ascii="宋体" w:hAnsi="宋体" w:eastAsia="宋体" w:cs="Times New Roman"/>
                <w:kern w:val="0"/>
                <w:sz w:val="21"/>
                <w:szCs w:val="24"/>
                <w:highlight w:val="none"/>
                <w:lang w:val="en-US" w:eastAsia="zh-CN" w:bidi="ar-SA"/>
              </w:rPr>
            </w:pPr>
            <w:r>
              <w:rPr>
                <w:rFonts w:ascii="宋体" w:hAnsi="宋体"/>
                <w:kern w:val="0"/>
                <w:highlight w:val="none"/>
              </w:rPr>
              <w:t>符合第二章“投标人须知”第1.4.1项规定</w:t>
            </w:r>
          </w:p>
        </w:tc>
      </w:tr>
      <w:tr w14:paraId="30E94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A270B1">
            <w:pPr>
              <w:spacing w:line="400" w:lineRule="exact"/>
              <w:rPr>
                <w:rFonts w:ascii="宋体" w:hAnsi="宋体"/>
                <w:highlight w:val="none"/>
              </w:rPr>
            </w:pPr>
          </w:p>
        </w:tc>
        <w:tc>
          <w:tcPr>
            <w:tcW w:w="567" w:type="dxa"/>
            <w:vMerge w:val="continue"/>
          </w:tcPr>
          <w:p w14:paraId="510F6351">
            <w:pPr>
              <w:spacing w:line="400" w:lineRule="exact"/>
              <w:rPr>
                <w:rFonts w:ascii="宋体" w:hAnsi="宋体"/>
                <w:highlight w:val="none"/>
              </w:rPr>
            </w:pPr>
          </w:p>
        </w:tc>
        <w:tc>
          <w:tcPr>
            <w:tcW w:w="2559" w:type="dxa"/>
            <w:gridSpan w:val="3"/>
            <w:tcBorders>
              <w:top w:val="single" w:color="auto" w:sz="4" w:space="0"/>
              <w:bottom w:val="single" w:color="auto" w:sz="4" w:space="0"/>
            </w:tcBorders>
            <w:vAlign w:val="top"/>
          </w:tcPr>
          <w:p w14:paraId="2B155C85">
            <w:pPr>
              <w:spacing w:line="400" w:lineRule="exact"/>
              <w:jc w:val="left"/>
              <w:rPr>
                <w:rFonts w:ascii="宋体" w:hAnsi="宋体" w:eastAsia="宋体" w:cs="Times New Roman"/>
                <w:kern w:val="0"/>
                <w:sz w:val="21"/>
                <w:szCs w:val="24"/>
                <w:highlight w:val="none"/>
                <w:lang w:val="en-US" w:eastAsia="zh-CN" w:bidi="ar-SA"/>
              </w:rPr>
            </w:pPr>
            <w:r>
              <w:rPr>
                <w:rFonts w:hint="eastAsia" w:ascii="宋体" w:hAnsi="宋体"/>
                <w:kern w:val="0"/>
              </w:rPr>
              <w:t>业绩要求</w:t>
            </w:r>
          </w:p>
        </w:tc>
        <w:tc>
          <w:tcPr>
            <w:tcW w:w="5493" w:type="dxa"/>
            <w:vAlign w:val="center"/>
          </w:tcPr>
          <w:p w14:paraId="27BB1364">
            <w:pPr>
              <w:spacing w:line="400" w:lineRule="exact"/>
              <w:ind w:firstLine="420" w:firstLineChars="200"/>
              <w:rPr>
                <w:rFonts w:ascii="宋体" w:hAnsi="宋体" w:eastAsia="宋体" w:cs="Times New Roman"/>
                <w:kern w:val="0"/>
                <w:sz w:val="21"/>
                <w:szCs w:val="24"/>
                <w:highlight w:val="none"/>
                <w:lang w:val="en-US" w:eastAsia="zh-CN" w:bidi="ar-SA"/>
              </w:rPr>
            </w:pPr>
            <w:r>
              <w:rPr>
                <w:rFonts w:ascii="宋体" w:hAnsi="宋体"/>
                <w:kern w:val="0"/>
                <w:highlight w:val="none"/>
              </w:rPr>
              <w:t>符合第二章“投标人须知”第1.4.1项规定</w:t>
            </w:r>
          </w:p>
        </w:tc>
      </w:tr>
      <w:tr w14:paraId="59138B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BCC82A">
            <w:pPr>
              <w:spacing w:line="400" w:lineRule="exact"/>
              <w:rPr>
                <w:rFonts w:ascii="宋体" w:hAnsi="宋体"/>
                <w:highlight w:val="none"/>
              </w:rPr>
            </w:pPr>
          </w:p>
        </w:tc>
        <w:tc>
          <w:tcPr>
            <w:tcW w:w="567" w:type="dxa"/>
            <w:vMerge w:val="continue"/>
          </w:tcPr>
          <w:p w14:paraId="7713EBB7">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1EA1CD60">
            <w:pPr>
              <w:spacing w:line="400" w:lineRule="exact"/>
              <w:jc w:val="left"/>
              <w:rPr>
                <w:rFonts w:ascii="宋体" w:hAnsi="宋体"/>
                <w:kern w:val="0"/>
                <w:highlight w:val="none"/>
              </w:rPr>
            </w:pPr>
            <w:r>
              <w:rPr>
                <w:rFonts w:ascii="宋体" w:hAnsi="宋体"/>
                <w:szCs w:val="21"/>
                <w:highlight w:val="none"/>
              </w:rPr>
              <w:t>投标截止日投标资格情况</w:t>
            </w:r>
          </w:p>
        </w:tc>
        <w:tc>
          <w:tcPr>
            <w:tcW w:w="5493" w:type="dxa"/>
            <w:vAlign w:val="center"/>
          </w:tcPr>
          <w:p w14:paraId="0F1C3577">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4732B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ACDCF7">
            <w:pPr>
              <w:spacing w:line="400" w:lineRule="exact"/>
              <w:rPr>
                <w:rFonts w:ascii="宋体" w:hAnsi="宋体"/>
                <w:highlight w:val="none"/>
              </w:rPr>
            </w:pPr>
          </w:p>
        </w:tc>
        <w:tc>
          <w:tcPr>
            <w:tcW w:w="567" w:type="dxa"/>
            <w:vMerge w:val="continue"/>
          </w:tcPr>
          <w:p w14:paraId="2C6BBD90">
            <w:pPr>
              <w:spacing w:line="400" w:lineRule="exact"/>
              <w:rPr>
                <w:rFonts w:ascii="宋体" w:hAnsi="宋体"/>
                <w:highlight w:val="none"/>
              </w:rPr>
            </w:pPr>
          </w:p>
        </w:tc>
        <w:tc>
          <w:tcPr>
            <w:tcW w:w="2559" w:type="dxa"/>
            <w:gridSpan w:val="3"/>
            <w:tcBorders>
              <w:top w:val="single" w:color="auto" w:sz="4" w:space="0"/>
              <w:bottom w:val="single" w:color="auto" w:sz="4" w:space="0"/>
            </w:tcBorders>
            <w:vAlign w:val="top"/>
          </w:tcPr>
          <w:p w14:paraId="2EFC47C8">
            <w:pPr>
              <w:spacing w:line="400" w:lineRule="exact"/>
              <w:jc w:val="left"/>
              <w:rPr>
                <w:rFonts w:ascii="宋体" w:hAnsi="宋体" w:eastAsia="宋体" w:cs="Times New Roman"/>
                <w:kern w:val="2"/>
                <w:sz w:val="21"/>
                <w:szCs w:val="21"/>
                <w:highlight w:val="none"/>
                <w:lang w:val="en-US" w:eastAsia="zh-CN" w:bidi="ar-SA"/>
              </w:rPr>
            </w:pPr>
            <w:r>
              <w:rPr>
                <w:rFonts w:hint="eastAsia" w:ascii="宋体" w:hAnsi="宋体"/>
                <w:kern w:val="0"/>
                <w:highlight w:val="none"/>
                <w:lang w:val="en-US" w:eastAsia="zh-CN"/>
              </w:rPr>
              <w:t>其他</w:t>
            </w:r>
            <w:r>
              <w:rPr>
                <w:rFonts w:hint="eastAsia" w:ascii="宋体" w:hAnsi="宋体"/>
                <w:kern w:val="0"/>
                <w:highlight w:val="none"/>
              </w:rPr>
              <w:t>要求</w:t>
            </w:r>
          </w:p>
        </w:tc>
        <w:tc>
          <w:tcPr>
            <w:tcW w:w="5493" w:type="dxa"/>
            <w:vAlign w:val="center"/>
          </w:tcPr>
          <w:p w14:paraId="66FC4C54">
            <w:pPr>
              <w:spacing w:line="400" w:lineRule="exact"/>
              <w:ind w:firstLine="420" w:firstLineChars="200"/>
              <w:rPr>
                <w:rFonts w:ascii="宋体" w:hAnsi="宋体" w:eastAsia="宋体" w:cs="Times New Roman"/>
                <w:kern w:val="0"/>
                <w:sz w:val="21"/>
                <w:szCs w:val="24"/>
                <w:highlight w:val="none"/>
                <w:lang w:val="en-US" w:eastAsia="zh-CN" w:bidi="ar-SA"/>
              </w:rPr>
            </w:pPr>
            <w:r>
              <w:rPr>
                <w:rFonts w:ascii="宋体" w:hAnsi="宋体"/>
                <w:kern w:val="0"/>
                <w:highlight w:val="none"/>
              </w:rPr>
              <w:t>符合第二章“投标人须知”第1.4.1项规定</w:t>
            </w:r>
          </w:p>
        </w:tc>
      </w:tr>
      <w:tr w14:paraId="1774E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AB1B504">
            <w:pPr>
              <w:spacing w:line="400" w:lineRule="exact"/>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567" w:type="dxa"/>
            <w:vMerge w:val="restart"/>
            <w:vAlign w:val="center"/>
          </w:tcPr>
          <w:p w14:paraId="46814FC5">
            <w:pPr>
              <w:spacing w:line="400" w:lineRule="exact"/>
              <w:jc w:val="center"/>
              <w:rPr>
                <w:rFonts w:ascii="宋体" w:hAnsi="宋体"/>
                <w:highlight w:val="none"/>
              </w:rPr>
            </w:pPr>
            <w:r>
              <w:rPr>
                <w:rFonts w:ascii="宋体" w:hAnsi="宋体"/>
                <w:kern w:val="0"/>
                <w:highlight w:val="none"/>
              </w:rPr>
              <w:t>形式评审标准</w:t>
            </w:r>
          </w:p>
        </w:tc>
        <w:tc>
          <w:tcPr>
            <w:tcW w:w="2559" w:type="dxa"/>
            <w:gridSpan w:val="3"/>
            <w:tcBorders>
              <w:top w:val="single" w:color="auto" w:sz="4" w:space="0"/>
              <w:bottom w:val="single" w:color="auto" w:sz="4" w:space="0"/>
            </w:tcBorders>
            <w:vAlign w:val="center"/>
          </w:tcPr>
          <w:p w14:paraId="050F48EB">
            <w:pPr>
              <w:spacing w:line="400" w:lineRule="exact"/>
              <w:jc w:val="left"/>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名称</w:t>
            </w:r>
          </w:p>
        </w:tc>
        <w:tc>
          <w:tcPr>
            <w:tcW w:w="5493" w:type="dxa"/>
            <w:vAlign w:val="center"/>
          </w:tcPr>
          <w:p w14:paraId="3A24147D">
            <w:pPr>
              <w:spacing w:line="400" w:lineRule="exact"/>
              <w:ind w:firstLine="420" w:firstLineChars="200"/>
              <w:rPr>
                <w:rFonts w:ascii="宋体" w:hAnsi="宋体"/>
                <w:kern w:val="0"/>
                <w:highlight w:val="none"/>
              </w:rPr>
            </w:pPr>
            <w:r>
              <w:rPr>
                <w:rFonts w:ascii="宋体" w:hAnsi="宋体"/>
                <w:kern w:val="0"/>
                <w:highlight w:val="none"/>
              </w:rPr>
              <w:t>与营业执照、资质证书、安全生产许可证一致</w:t>
            </w:r>
            <w:r>
              <w:rPr>
                <w:rFonts w:hint="eastAsia" w:ascii="宋体" w:hAnsi="宋体"/>
                <w:kern w:val="0"/>
                <w:highlight w:val="none"/>
              </w:rPr>
              <w:t>，依法变更名称的应提交相应证明材料</w:t>
            </w:r>
            <w:r>
              <w:rPr>
                <w:rFonts w:ascii="宋体" w:hAnsi="宋体"/>
                <w:kern w:val="0"/>
                <w:highlight w:val="none"/>
              </w:rPr>
              <w:t>。</w:t>
            </w:r>
          </w:p>
        </w:tc>
      </w:tr>
      <w:tr w14:paraId="2ADA4E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7A333C">
            <w:pPr>
              <w:spacing w:line="400" w:lineRule="exact"/>
              <w:rPr>
                <w:rFonts w:ascii="宋体" w:hAnsi="宋体"/>
                <w:highlight w:val="none"/>
              </w:rPr>
            </w:pPr>
          </w:p>
        </w:tc>
        <w:tc>
          <w:tcPr>
            <w:tcW w:w="567" w:type="dxa"/>
            <w:vMerge w:val="continue"/>
          </w:tcPr>
          <w:p w14:paraId="69D7672D">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0FCC7452">
            <w:pPr>
              <w:spacing w:line="400" w:lineRule="exact"/>
              <w:jc w:val="left"/>
              <w:rPr>
                <w:rFonts w:ascii="宋体" w:hAnsi="宋体"/>
                <w:kern w:val="0"/>
                <w:highlight w:val="none"/>
              </w:rPr>
            </w:pPr>
            <w:r>
              <w:rPr>
                <w:rFonts w:hint="eastAsia" w:ascii="宋体" w:hAnsi="宋体"/>
                <w:kern w:val="0"/>
                <w:highlight w:val="none"/>
                <w:lang w:eastAsia="zh-CN"/>
              </w:rPr>
              <w:t>竞选函</w:t>
            </w:r>
            <w:r>
              <w:rPr>
                <w:rFonts w:hint="eastAsia" w:ascii="宋体" w:hAnsi="宋体"/>
                <w:kern w:val="0"/>
                <w:highlight w:val="none"/>
              </w:rPr>
              <w:t>签名</w:t>
            </w:r>
            <w:r>
              <w:rPr>
                <w:rFonts w:ascii="宋体" w:hAnsi="宋体"/>
                <w:kern w:val="0"/>
                <w:highlight w:val="none"/>
              </w:rPr>
              <w:t>盖章</w:t>
            </w:r>
          </w:p>
        </w:tc>
        <w:tc>
          <w:tcPr>
            <w:tcW w:w="5493" w:type="dxa"/>
            <w:vAlign w:val="center"/>
          </w:tcPr>
          <w:p w14:paraId="369D0A90">
            <w:pPr>
              <w:spacing w:line="400" w:lineRule="exact"/>
              <w:ind w:firstLine="420" w:firstLineChars="200"/>
              <w:rPr>
                <w:rFonts w:ascii="宋体" w:hAnsi="宋体"/>
                <w:kern w:val="0"/>
                <w:highlight w:val="none"/>
              </w:rPr>
            </w:pPr>
            <w:r>
              <w:rPr>
                <w:rFonts w:hint="eastAsia" w:ascii="宋体" w:hAnsi="宋体"/>
                <w:kern w:val="0"/>
                <w:highlight w:val="none"/>
                <w:lang w:eastAsia="zh-CN"/>
              </w:rPr>
              <w:t>竞选函</w:t>
            </w:r>
            <w:r>
              <w:rPr>
                <w:rFonts w:ascii="宋体" w:hAnsi="宋体"/>
                <w:kern w:val="0"/>
                <w:highlight w:val="none"/>
              </w:rPr>
              <w:t>格式规定</w:t>
            </w:r>
            <w:r>
              <w:rPr>
                <w:rFonts w:hint="eastAsia" w:ascii="宋体" w:hAnsi="宋体"/>
                <w:kern w:val="0"/>
                <w:highlight w:val="none"/>
              </w:rPr>
              <w:t>签名、</w:t>
            </w:r>
            <w:r>
              <w:rPr>
                <w:rFonts w:ascii="宋体" w:hAnsi="宋体"/>
                <w:kern w:val="0"/>
                <w:highlight w:val="none"/>
              </w:rPr>
              <w:t>盖章的位置有法定代表人或其委托代理人</w:t>
            </w:r>
            <w:r>
              <w:rPr>
                <w:rFonts w:hint="eastAsia" w:ascii="宋体" w:hAnsi="宋体"/>
                <w:kern w:val="0"/>
                <w:highlight w:val="none"/>
              </w:rPr>
              <w:t>签名</w:t>
            </w:r>
            <w:r>
              <w:rPr>
                <w:rFonts w:ascii="宋体" w:hAnsi="宋体"/>
                <w:kern w:val="0"/>
                <w:highlight w:val="none"/>
              </w:rPr>
              <w:t>（或盖章）、加盖单位法人章。</w:t>
            </w:r>
          </w:p>
        </w:tc>
      </w:tr>
      <w:tr w14:paraId="4302F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257535D">
            <w:pPr>
              <w:spacing w:line="400" w:lineRule="exact"/>
              <w:rPr>
                <w:rFonts w:ascii="宋体" w:hAnsi="宋体"/>
                <w:highlight w:val="none"/>
              </w:rPr>
            </w:pPr>
          </w:p>
        </w:tc>
        <w:tc>
          <w:tcPr>
            <w:tcW w:w="567" w:type="dxa"/>
            <w:vMerge w:val="continue"/>
          </w:tcPr>
          <w:p w14:paraId="57196ED7">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3F0CF624">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格式</w:t>
            </w:r>
          </w:p>
        </w:tc>
        <w:tc>
          <w:tcPr>
            <w:tcW w:w="5493" w:type="dxa"/>
            <w:vAlign w:val="center"/>
          </w:tcPr>
          <w:p w14:paraId="384D9F1C">
            <w:pPr>
              <w:spacing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lang w:eastAsia="zh-CN"/>
              </w:rPr>
              <w:t>竞选人</w:t>
            </w:r>
            <w:r>
              <w:rPr>
                <w:rFonts w:hint="eastAsia" w:ascii="宋体" w:hAnsi="宋体"/>
                <w:kern w:val="0"/>
                <w:highlight w:val="none"/>
              </w:rPr>
              <w:t>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p>
        </w:tc>
      </w:tr>
      <w:tr w14:paraId="372C2D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6C382FB">
            <w:pPr>
              <w:spacing w:line="400" w:lineRule="exact"/>
              <w:rPr>
                <w:rFonts w:ascii="宋体" w:hAnsi="宋体"/>
                <w:highlight w:val="none"/>
              </w:rPr>
            </w:pPr>
          </w:p>
        </w:tc>
        <w:tc>
          <w:tcPr>
            <w:tcW w:w="567" w:type="dxa"/>
            <w:vMerge w:val="continue"/>
          </w:tcPr>
          <w:p w14:paraId="3EDABB5E">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76A5BD4A">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hint="eastAsia" w:ascii="宋体" w:hAnsi="宋体"/>
                <w:kern w:val="0"/>
                <w:highlight w:val="none"/>
              </w:rPr>
              <w:t>份数</w:t>
            </w:r>
          </w:p>
        </w:tc>
        <w:tc>
          <w:tcPr>
            <w:tcW w:w="5493" w:type="dxa"/>
            <w:vAlign w:val="center"/>
          </w:tcPr>
          <w:p w14:paraId="487D53B9">
            <w:pPr>
              <w:spacing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须知”第3.7.4项规定。</w:t>
            </w:r>
          </w:p>
        </w:tc>
      </w:tr>
      <w:tr w14:paraId="44B244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A0E3BA3">
            <w:pPr>
              <w:spacing w:line="400" w:lineRule="exact"/>
              <w:rPr>
                <w:rFonts w:ascii="宋体" w:hAnsi="宋体"/>
                <w:highlight w:val="none"/>
              </w:rPr>
            </w:pPr>
          </w:p>
        </w:tc>
        <w:tc>
          <w:tcPr>
            <w:tcW w:w="567" w:type="dxa"/>
            <w:vMerge w:val="continue"/>
          </w:tcPr>
          <w:p w14:paraId="217BA619">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4A2F968A">
            <w:pPr>
              <w:spacing w:line="400" w:lineRule="exact"/>
              <w:jc w:val="left"/>
              <w:rPr>
                <w:rFonts w:ascii="宋体" w:hAnsi="宋体"/>
                <w:kern w:val="0"/>
                <w:highlight w:val="none"/>
              </w:rPr>
            </w:pPr>
            <w:r>
              <w:rPr>
                <w:rFonts w:ascii="宋体" w:hAnsi="宋体"/>
                <w:kern w:val="0"/>
                <w:highlight w:val="none"/>
              </w:rPr>
              <w:t>报价唯一</w:t>
            </w:r>
          </w:p>
        </w:tc>
        <w:tc>
          <w:tcPr>
            <w:tcW w:w="5493" w:type="dxa"/>
            <w:vAlign w:val="center"/>
          </w:tcPr>
          <w:p w14:paraId="33E7039E">
            <w:pPr>
              <w:spacing w:line="400" w:lineRule="exact"/>
              <w:ind w:firstLine="420" w:firstLineChars="200"/>
              <w:rPr>
                <w:rFonts w:ascii="宋体" w:hAnsi="宋体"/>
                <w:kern w:val="0"/>
                <w:highlight w:val="none"/>
              </w:rPr>
            </w:pPr>
            <w:r>
              <w:rPr>
                <w:rFonts w:ascii="宋体" w:hAnsi="宋体"/>
                <w:kern w:val="0"/>
                <w:highlight w:val="none"/>
              </w:rPr>
              <w:t>只能有一个有效报价，在招标文件没有规定的情况下，不得提交选择性报价。</w:t>
            </w:r>
          </w:p>
        </w:tc>
      </w:tr>
      <w:tr w14:paraId="25B34D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18401FA">
            <w:pPr>
              <w:spacing w:line="400" w:lineRule="exact"/>
              <w:rPr>
                <w:rFonts w:ascii="宋体" w:hAnsi="宋体"/>
                <w:highlight w:val="none"/>
              </w:rPr>
            </w:pPr>
          </w:p>
        </w:tc>
        <w:tc>
          <w:tcPr>
            <w:tcW w:w="567" w:type="dxa"/>
            <w:vMerge w:val="continue"/>
          </w:tcPr>
          <w:p w14:paraId="01526969">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517D4C30">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的签署</w:t>
            </w:r>
          </w:p>
        </w:tc>
        <w:tc>
          <w:tcPr>
            <w:tcW w:w="5493" w:type="dxa"/>
            <w:vAlign w:val="center"/>
          </w:tcPr>
          <w:p w14:paraId="64BB13A2">
            <w:pPr>
              <w:spacing w:line="400" w:lineRule="exact"/>
              <w:ind w:firstLine="420" w:firstLineChars="200"/>
              <w:rPr>
                <w:rFonts w:ascii="宋体" w:hAnsi="宋体"/>
                <w:kern w:val="0"/>
                <w:highlight w:val="none"/>
              </w:rPr>
            </w:pPr>
            <w:r>
              <w:rPr>
                <w:rFonts w:hint="eastAsia" w:ascii="宋体" w:hAnsi="宋体"/>
                <w:kern w:val="0"/>
                <w:highlight w:val="none"/>
              </w:rPr>
              <w:t xml:space="preserve">第八章 </w:t>
            </w:r>
            <w:r>
              <w:rPr>
                <w:rFonts w:hint="eastAsia" w:ascii="宋体" w:hAnsi="宋体"/>
                <w:kern w:val="0"/>
                <w:highlight w:val="none"/>
                <w:lang w:eastAsia="zh-CN"/>
              </w:rPr>
              <w:t>竞选文件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p w14:paraId="2AFEE4DE">
            <w:pPr>
              <w:autoSpaceDE w:val="0"/>
              <w:autoSpaceDN w:val="0"/>
              <w:adjustRightInd w:val="0"/>
              <w:snapToGrid w:val="0"/>
              <w:spacing w:line="400" w:lineRule="exact"/>
              <w:ind w:firstLine="420" w:firstLineChars="200"/>
              <w:rPr>
                <w:rFonts w:ascii="宋体" w:hAnsi="宋体"/>
                <w:kern w:val="0"/>
                <w:highlight w:val="none"/>
              </w:rPr>
            </w:pPr>
            <w:r>
              <w:rPr>
                <w:rFonts w:hint="eastAsia" w:ascii="宋体" w:hAnsi="宋体"/>
                <w:snapToGrid w:val="0"/>
                <w:kern w:val="0"/>
                <w:szCs w:val="21"/>
                <w:highlight w:val="none"/>
              </w:rPr>
              <w:t>若投标单位为联合体，则联合体协议书各联合体成员单位签名（或盖章）须齐全，联合体协议书以外的</w:t>
            </w:r>
            <w:r>
              <w:rPr>
                <w:rFonts w:hint="eastAsia" w:ascii="宋体" w:hAnsi="宋体"/>
                <w:kern w:val="0"/>
                <w:highlight w:val="none"/>
                <w:lang w:eastAsia="zh-CN"/>
              </w:rPr>
              <w:t>竞选文件</w:t>
            </w:r>
            <w:r>
              <w:rPr>
                <w:rFonts w:hint="eastAsia" w:ascii="宋体" w:hAnsi="宋体"/>
                <w:kern w:val="0"/>
                <w:highlight w:val="none"/>
              </w:rPr>
              <w:t>格式中，要求</w:t>
            </w:r>
            <w:r>
              <w:rPr>
                <w:rFonts w:hint="eastAsia" w:ascii="宋体" w:hAnsi="宋体"/>
                <w:snapToGrid w:val="0"/>
                <w:kern w:val="0"/>
                <w:szCs w:val="21"/>
                <w:highlight w:val="none"/>
              </w:rPr>
              <w:t>联合体牵头人</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61D658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4DBE1A3">
            <w:pPr>
              <w:spacing w:line="400" w:lineRule="exact"/>
              <w:rPr>
                <w:rFonts w:ascii="宋体" w:hAnsi="宋体"/>
                <w:highlight w:val="none"/>
              </w:rPr>
            </w:pPr>
          </w:p>
        </w:tc>
        <w:tc>
          <w:tcPr>
            <w:tcW w:w="567" w:type="dxa"/>
            <w:vMerge w:val="continue"/>
          </w:tcPr>
          <w:p w14:paraId="38B96A11">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2A2AF98E">
            <w:pPr>
              <w:spacing w:line="400" w:lineRule="exact"/>
              <w:jc w:val="left"/>
              <w:rPr>
                <w:rFonts w:ascii="宋体" w:hAnsi="宋体"/>
                <w:kern w:val="0"/>
                <w:highlight w:val="none"/>
              </w:rPr>
            </w:pPr>
            <w:r>
              <w:rPr>
                <w:rFonts w:ascii="宋体" w:hAnsi="宋体"/>
                <w:kern w:val="0"/>
                <w:highlight w:val="none"/>
              </w:rPr>
              <w:t>委托代理人</w:t>
            </w:r>
          </w:p>
        </w:tc>
        <w:tc>
          <w:tcPr>
            <w:tcW w:w="5493" w:type="dxa"/>
            <w:vAlign w:val="center"/>
          </w:tcPr>
          <w:p w14:paraId="4E828E49">
            <w:pPr>
              <w:spacing w:line="400" w:lineRule="exact"/>
              <w:ind w:firstLine="420" w:firstLineChars="200"/>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法定代表人的委托代理人有法定代表人签署的授权委托书</w:t>
            </w:r>
            <w:r>
              <w:rPr>
                <w:rFonts w:hint="eastAsia" w:ascii="宋体" w:hAnsi="宋体"/>
                <w:kern w:val="0"/>
                <w:highlight w:val="none"/>
              </w:rPr>
              <w:t>和</w:t>
            </w:r>
            <w:r>
              <w:rPr>
                <w:rFonts w:hint="eastAsia" w:ascii="宋体" w:hAnsi="宋体"/>
                <w:kern w:val="0"/>
                <w:highlight w:val="none"/>
                <w:lang w:eastAsia="zh-CN"/>
              </w:rPr>
              <w:t>竞选人</w:t>
            </w:r>
            <w:r>
              <w:rPr>
                <w:rFonts w:hint="eastAsia" w:ascii="宋体" w:hAnsi="宋体"/>
                <w:kern w:val="0"/>
                <w:highlight w:val="none"/>
              </w:rPr>
              <w:t>为其缴纳的养老保险。</w:t>
            </w:r>
          </w:p>
        </w:tc>
      </w:tr>
      <w:tr w14:paraId="251F23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AA7061D">
            <w:pPr>
              <w:spacing w:line="400" w:lineRule="exact"/>
              <w:jc w:val="center"/>
              <w:rPr>
                <w:rFonts w:ascii="宋体" w:hAnsi="宋体"/>
                <w:highlight w:val="none"/>
              </w:rPr>
            </w:pPr>
            <w:r>
              <w:rPr>
                <w:rFonts w:ascii="宋体" w:hAnsi="宋体"/>
                <w:kern w:val="0"/>
                <w:highlight w:val="none"/>
              </w:rPr>
              <w:t>2.1.3</w:t>
            </w:r>
          </w:p>
        </w:tc>
        <w:tc>
          <w:tcPr>
            <w:tcW w:w="567" w:type="dxa"/>
            <w:vMerge w:val="restart"/>
            <w:vAlign w:val="center"/>
          </w:tcPr>
          <w:p w14:paraId="7915A6AD">
            <w:pPr>
              <w:spacing w:line="400" w:lineRule="exact"/>
              <w:jc w:val="center"/>
              <w:rPr>
                <w:rFonts w:ascii="宋体" w:hAnsi="宋体"/>
                <w:highlight w:val="none"/>
              </w:rPr>
            </w:pPr>
            <w:r>
              <w:rPr>
                <w:rFonts w:ascii="宋体" w:hAnsi="宋体"/>
                <w:kern w:val="0"/>
                <w:highlight w:val="none"/>
              </w:rPr>
              <w:t>响应性评审标准</w:t>
            </w:r>
          </w:p>
        </w:tc>
        <w:tc>
          <w:tcPr>
            <w:tcW w:w="2559" w:type="dxa"/>
            <w:gridSpan w:val="3"/>
            <w:vAlign w:val="center"/>
          </w:tcPr>
          <w:p w14:paraId="6F7B1C0E">
            <w:pPr>
              <w:spacing w:line="400" w:lineRule="exact"/>
              <w:jc w:val="left"/>
              <w:rPr>
                <w:rFonts w:ascii="宋体" w:hAnsi="宋体"/>
                <w:kern w:val="0"/>
                <w:highlight w:val="none"/>
              </w:rPr>
            </w:pPr>
            <w:r>
              <w:rPr>
                <w:rFonts w:ascii="宋体" w:hAnsi="宋体"/>
                <w:kern w:val="0"/>
                <w:highlight w:val="none"/>
              </w:rPr>
              <w:t>投标总报价</w:t>
            </w:r>
          </w:p>
        </w:tc>
        <w:tc>
          <w:tcPr>
            <w:tcW w:w="5493" w:type="dxa"/>
            <w:vAlign w:val="center"/>
          </w:tcPr>
          <w:p w14:paraId="41AAE888">
            <w:pPr>
              <w:spacing w:line="400" w:lineRule="exact"/>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宋体"/>
                <w:szCs w:val="21"/>
                <w:highlight w:val="none"/>
              </w:rPr>
              <w:t>投标总报价必须与已标价工程量清单总报价一致。</w:t>
            </w:r>
          </w:p>
          <w:p w14:paraId="202714DB">
            <w:pPr>
              <w:spacing w:line="400" w:lineRule="exact"/>
              <w:ind w:firstLine="420" w:firstLineChars="200"/>
              <w:rPr>
                <w:rFonts w:ascii="宋体" w:hAnsi="宋体"/>
                <w:kern w:val="0"/>
                <w:highlight w:val="none"/>
              </w:rPr>
            </w:pPr>
            <w:r>
              <w:rPr>
                <w:rFonts w:hint="eastAsia" w:ascii="宋体" w:hAnsi="宋体"/>
                <w:kern w:val="0"/>
                <w:highlight w:val="none"/>
              </w:rPr>
              <w:t>2</w:t>
            </w:r>
            <w:r>
              <w:rPr>
                <w:rFonts w:ascii="宋体" w:hAnsi="宋体"/>
                <w:kern w:val="0"/>
                <w:highlight w:val="none"/>
              </w:rPr>
              <w:t>.投标总报价不得高于</w:t>
            </w:r>
            <w:r>
              <w:rPr>
                <w:rFonts w:hint="eastAsia" w:ascii="宋体" w:hAnsi="宋体"/>
                <w:kern w:val="0"/>
                <w:highlight w:val="none"/>
                <w:lang w:eastAsia="zh-CN"/>
              </w:rPr>
              <w:t>比选人</w:t>
            </w:r>
            <w:r>
              <w:rPr>
                <w:rFonts w:ascii="宋体" w:hAnsi="宋体"/>
                <w:kern w:val="0"/>
                <w:highlight w:val="none"/>
              </w:rPr>
              <w:t>公布的投标总报价最高限价</w:t>
            </w:r>
            <w:r>
              <w:rPr>
                <w:rFonts w:hint="eastAsia" w:ascii="宋体" w:hAnsi="宋体"/>
                <w:kern w:val="0"/>
                <w:highlight w:val="none"/>
              </w:rPr>
              <w:t>。</w:t>
            </w:r>
          </w:p>
        </w:tc>
      </w:tr>
      <w:tr w14:paraId="217C5A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07A7296">
            <w:pPr>
              <w:spacing w:line="400" w:lineRule="exact"/>
              <w:jc w:val="center"/>
              <w:rPr>
                <w:rFonts w:ascii="宋体" w:hAnsi="宋体"/>
                <w:kern w:val="0"/>
                <w:highlight w:val="none"/>
              </w:rPr>
            </w:pPr>
          </w:p>
        </w:tc>
        <w:tc>
          <w:tcPr>
            <w:tcW w:w="567" w:type="dxa"/>
            <w:vMerge w:val="continue"/>
            <w:textDirection w:val="tbRlV"/>
            <w:vAlign w:val="center"/>
          </w:tcPr>
          <w:p w14:paraId="455C4EE9">
            <w:pPr>
              <w:spacing w:line="400" w:lineRule="exact"/>
              <w:jc w:val="center"/>
              <w:rPr>
                <w:rFonts w:ascii="宋体" w:hAnsi="宋体"/>
                <w:kern w:val="0"/>
                <w:highlight w:val="none"/>
              </w:rPr>
            </w:pPr>
          </w:p>
        </w:tc>
        <w:tc>
          <w:tcPr>
            <w:tcW w:w="2559" w:type="dxa"/>
            <w:gridSpan w:val="3"/>
            <w:vAlign w:val="center"/>
          </w:tcPr>
          <w:p w14:paraId="7E6B8921">
            <w:pPr>
              <w:spacing w:line="400" w:lineRule="exact"/>
              <w:jc w:val="left"/>
              <w:rPr>
                <w:rFonts w:ascii="宋体" w:hAnsi="宋体"/>
                <w:kern w:val="0"/>
                <w:highlight w:val="none"/>
              </w:rPr>
            </w:pPr>
            <w:r>
              <w:rPr>
                <w:rFonts w:hint="eastAsia" w:ascii="宋体" w:hAnsi="宋体"/>
                <w:kern w:val="0"/>
                <w:highlight w:val="none"/>
              </w:rPr>
              <w:t>暂定金额</w:t>
            </w:r>
          </w:p>
        </w:tc>
        <w:tc>
          <w:tcPr>
            <w:tcW w:w="5493" w:type="dxa"/>
            <w:vAlign w:val="center"/>
          </w:tcPr>
          <w:p w14:paraId="6ECC06EB">
            <w:pPr>
              <w:spacing w:line="400" w:lineRule="exact"/>
              <w:ind w:firstLine="420" w:firstLineChars="200"/>
              <w:rPr>
                <w:rFonts w:ascii="宋体" w:hAnsi="宋体"/>
                <w:kern w:val="0"/>
                <w:highlight w:val="none"/>
              </w:rPr>
            </w:pPr>
            <w:r>
              <w:rPr>
                <w:rFonts w:hint="eastAsia" w:ascii="宋体" w:hAnsi="宋体"/>
                <w:kern w:val="0"/>
                <w:highlight w:val="none"/>
              </w:rPr>
              <w:t>暂列金额、暂估价、安全文明施工费等暂定金额必须按照招标文件给定的金额填报</w:t>
            </w:r>
          </w:p>
        </w:tc>
      </w:tr>
      <w:tr w14:paraId="0EE74F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2598570">
            <w:pPr>
              <w:spacing w:line="400" w:lineRule="exact"/>
              <w:jc w:val="center"/>
              <w:rPr>
                <w:rFonts w:ascii="宋体" w:hAnsi="宋体"/>
                <w:kern w:val="0"/>
                <w:highlight w:val="none"/>
              </w:rPr>
            </w:pPr>
          </w:p>
        </w:tc>
        <w:tc>
          <w:tcPr>
            <w:tcW w:w="567" w:type="dxa"/>
            <w:vMerge w:val="continue"/>
            <w:textDirection w:val="tbRlV"/>
            <w:vAlign w:val="center"/>
          </w:tcPr>
          <w:p w14:paraId="376258C3">
            <w:pPr>
              <w:spacing w:line="400" w:lineRule="exact"/>
              <w:jc w:val="center"/>
              <w:rPr>
                <w:rFonts w:ascii="宋体" w:hAnsi="宋体"/>
                <w:kern w:val="0"/>
                <w:highlight w:val="none"/>
              </w:rPr>
            </w:pPr>
          </w:p>
        </w:tc>
        <w:tc>
          <w:tcPr>
            <w:tcW w:w="2559" w:type="dxa"/>
            <w:gridSpan w:val="3"/>
            <w:vAlign w:val="center"/>
          </w:tcPr>
          <w:p w14:paraId="7C5F452F">
            <w:pPr>
              <w:spacing w:line="400" w:lineRule="exact"/>
              <w:jc w:val="left"/>
              <w:rPr>
                <w:rFonts w:ascii="宋体" w:hAnsi="宋体"/>
                <w:kern w:val="0"/>
                <w:highlight w:val="none"/>
              </w:rPr>
            </w:pPr>
            <w:r>
              <w:rPr>
                <w:rFonts w:ascii="宋体" w:hAnsi="宋体"/>
                <w:kern w:val="0"/>
                <w:highlight w:val="none"/>
              </w:rPr>
              <w:t>投标内容</w:t>
            </w:r>
          </w:p>
        </w:tc>
        <w:tc>
          <w:tcPr>
            <w:tcW w:w="5493" w:type="dxa"/>
            <w:vAlign w:val="center"/>
          </w:tcPr>
          <w:p w14:paraId="5F63D834">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须知”第1.3.1项规定</w:t>
            </w:r>
          </w:p>
        </w:tc>
      </w:tr>
      <w:tr w14:paraId="57C8A9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8236798">
            <w:pPr>
              <w:spacing w:line="400" w:lineRule="exact"/>
              <w:jc w:val="center"/>
              <w:rPr>
                <w:rFonts w:ascii="宋体" w:hAnsi="宋体"/>
                <w:highlight w:val="none"/>
              </w:rPr>
            </w:pPr>
          </w:p>
        </w:tc>
        <w:tc>
          <w:tcPr>
            <w:tcW w:w="567" w:type="dxa"/>
            <w:vMerge w:val="continue"/>
          </w:tcPr>
          <w:p w14:paraId="621B5A89">
            <w:pPr>
              <w:spacing w:line="400" w:lineRule="exact"/>
              <w:jc w:val="center"/>
              <w:rPr>
                <w:rFonts w:ascii="宋体" w:hAnsi="宋体"/>
                <w:highlight w:val="none"/>
              </w:rPr>
            </w:pPr>
          </w:p>
        </w:tc>
        <w:tc>
          <w:tcPr>
            <w:tcW w:w="2559" w:type="dxa"/>
            <w:gridSpan w:val="3"/>
            <w:vAlign w:val="center"/>
          </w:tcPr>
          <w:p w14:paraId="4AEF108A">
            <w:pPr>
              <w:spacing w:line="400" w:lineRule="exact"/>
              <w:jc w:val="left"/>
              <w:rPr>
                <w:rFonts w:ascii="宋体" w:hAnsi="宋体"/>
                <w:kern w:val="0"/>
                <w:highlight w:val="none"/>
              </w:rPr>
            </w:pPr>
            <w:r>
              <w:rPr>
                <w:rFonts w:ascii="宋体" w:hAnsi="宋体"/>
                <w:kern w:val="0"/>
                <w:highlight w:val="none"/>
              </w:rPr>
              <w:t>工期</w:t>
            </w:r>
          </w:p>
        </w:tc>
        <w:tc>
          <w:tcPr>
            <w:tcW w:w="5493" w:type="dxa"/>
            <w:vAlign w:val="center"/>
          </w:tcPr>
          <w:p w14:paraId="071BA0C7">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须知”第1.3.2项规定</w:t>
            </w:r>
          </w:p>
        </w:tc>
      </w:tr>
      <w:tr w14:paraId="7B804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DEA0439">
            <w:pPr>
              <w:spacing w:line="400" w:lineRule="exact"/>
              <w:jc w:val="center"/>
              <w:rPr>
                <w:rFonts w:ascii="宋体" w:hAnsi="宋体"/>
                <w:highlight w:val="none"/>
              </w:rPr>
            </w:pPr>
          </w:p>
        </w:tc>
        <w:tc>
          <w:tcPr>
            <w:tcW w:w="567" w:type="dxa"/>
            <w:vMerge w:val="continue"/>
          </w:tcPr>
          <w:p w14:paraId="48AA1C55">
            <w:pPr>
              <w:spacing w:line="400" w:lineRule="exact"/>
              <w:jc w:val="center"/>
              <w:rPr>
                <w:rFonts w:ascii="宋体" w:hAnsi="宋体"/>
                <w:highlight w:val="none"/>
              </w:rPr>
            </w:pPr>
          </w:p>
        </w:tc>
        <w:tc>
          <w:tcPr>
            <w:tcW w:w="2559" w:type="dxa"/>
            <w:gridSpan w:val="3"/>
            <w:vAlign w:val="center"/>
          </w:tcPr>
          <w:p w14:paraId="53A6448F">
            <w:pPr>
              <w:spacing w:line="400" w:lineRule="exact"/>
              <w:jc w:val="left"/>
              <w:rPr>
                <w:rFonts w:ascii="宋体" w:hAnsi="宋体"/>
                <w:kern w:val="0"/>
                <w:highlight w:val="none"/>
              </w:rPr>
            </w:pPr>
            <w:r>
              <w:rPr>
                <w:rFonts w:ascii="宋体" w:hAnsi="宋体"/>
                <w:kern w:val="0"/>
                <w:highlight w:val="none"/>
              </w:rPr>
              <w:t>工程质量</w:t>
            </w:r>
          </w:p>
        </w:tc>
        <w:tc>
          <w:tcPr>
            <w:tcW w:w="5493" w:type="dxa"/>
            <w:vAlign w:val="center"/>
          </w:tcPr>
          <w:p w14:paraId="6DE1262E">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须知”第1.3.3项规定</w:t>
            </w:r>
          </w:p>
        </w:tc>
      </w:tr>
      <w:tr w14:paraId="408F95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593CEC8">
            <w:pPr>
              <w:spacing w:line="400" w:lineRule="exact"/>
              <w:jc w:val="center"/>
              <w:rPr>
                <w:rFonts w:ascii="宋体" w:hAnsi="宋体"/>
                <w:highlight w:val="none"/>
              </w:rPr>
            </w:pPr>
          </w:p>
        </w:tc>
        <w:tc>
          <w:tcPr>
            <w:tcW w:w="567" w:type="dxa"/>
            <w:vMerge w:val="continue"/>
          </w:tcPr>
          <w:p w14:paraId="6A5C3E71">
            <w:pPr>
              <w:spacing w:line="400" w:lineRule="exact"/>
              <w:jc w:val="center"/>
              <w:rPr>
                <w:rFonts w:ascii="宋体" w:hAnsi="宋体"/>
                <w:highlight w:val="none"/>
              </w:rPr>
            </w:pPr>
          </w:p>
        </w:tc>
        <w:tc>
          <w:tcPr>
            <w:tcW w:w="2559" w:type="dxa"/>
            <w:gridSpan w:val="3"/>
            <w:vAlign w:val="center"/>
          </w:tcPr>
          <w:p w14:paraId="5FD8BEE6">
            <w:pPr>
              <w:spacing w:line="400" w:lineRule="exact"/>
              <w:jc w:val="left"/>
              <w:rPr>
                <w:rFonts w:ascii="宋体" w:hAnsi="宋体"/>
                <w:kern w:val="0"/>
                <w:highlight w:val="none"/>
              </w:rPr>
            </w:pPr>
            <w:r>
              <w:rPr>
                <w:rFonts w:ascii="宋体" w:hAnsi="宋体"/>
                <w:kern w:val="0"/>
                <w:highlight w:val="none"/>
              </w:rPr>
              <w:t>投标有效期</w:t>
            </w:r>
          </w:p>
        </w:tc>
        <w:tc>
          <w:tcPr>
            <w:tcW w:w="5493" w:type="dxa"/>
            <w:vAlign w:val="center"/>
          </w:tcPr>
          <w:p w14:paraId="04F658A7">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须知”第3.3.1项规定</w:t>
            </w:r>
          </w:p>
        </w:tc>
      </w:tr>
      <w:tr w14:paraId="71F55C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9BB295C">
            <w:pPr>
              <w:spacing w:line="400" w:lineRule="exact"/>
              <w:jc w:val="center"/>
              <w:rPr>
                <w:rFonts w:ascii="宋体" w:hAnsi="宋体"/>
                <w:highlight w:val="none"/>
              </w:rPr>
            </w:pPr>
          </w:p>
        </w:tc>
        <w:tc>
          <w:tcPr>
            <w:tcW w:w="567" w:type="dxa"/>
            <w:vMerge w:val="continue"/>
          </w:tcPr>
          <w:p w14:paraId="4949426F">
            <w:pPr>
              <w:spacing w:line="400" w:lineRule="exact"/>
              <w:jc w:val="center"/>
              <w:rPr>
                <w:rFonts w:ascii="宋体" w:hAnsi="宋体"/>
                <w:highlight w:val="none"/>
              </w:rPr>
            </w:pPr>
          </w:p>
        </w:tc>
        <w:tc>
          <w:tcPr>
            <w:tcW w:w="2559" w:type="dxa"/>
            <w:gridSpan w:val="3"/>
            <w:vAlign w:val="center"/>
          </w:tcPr>
          <w:p w14:paraId="57B0E64D">
            <w:pPr>
              <w:spacing w:line="400" w:lineRule="exact"/>
              <w:jc w:val="left"/>
              <w:rPr>
                <w:rFonts w:ascii="宋体" w:hAnsi="宋体"/>
                <w:kern w:val="0"/>
                <w:highlight w:val="none"/>
              </w:rPr>
            </w:pPr>
            <w:r>
              <w:rPr>
                <w:rFonts w:ascii="宋体" w:hAnsi="宋体"/>
                <w:kern w:val="0"/>
                <w:highlight w:val="none"/>
              </w:rPr>
              <w:t>投标保证金</w:t>
            </w:r>
          </w:p>
        </w:tc>
        <w:tc>
          <w:tcPr>
            <w:tcW w:w="5493" w:type="dxa"/>
            <w:vAlign w:val="center"/>
          </w:tcPr>
          <w:p w14:paraId="61E21732">
            <w:pPr>
              <w:tabs>
                <w:tab w:val="left" w:pos="601"/>
                <w:tab w:val="left" w:pos="669"/>
              </w:tabs>
              <w:snapToGrid w:val="0"/>
              <w:spacing w:line="400" w:lineRule="exact"/>
              <w:ind w:firstLine="420" w:firstLineChars="200"/>
              <w:rPr>
                <w:rFonts w:ascii="宋体" w:hAnsi="宋体"/>
                <w:kern w:val="0"/>
                <w:highlight w:val="none"/>
              </w:rPr>
            </w:pPr>
            <w:r>
              <w:rPr>
                <w:rFonts w:ascii="宋体" w:hAnsi="宋体"/>
                <w:kern w:val="0"/>
                <w:szCs w:val="21"/>
                <w:highlight w:val="none"/>
              </w:rPr>
              <w:t>符合第二章</w:t>
            </w:r>
            <w:r>
              <w:rPr>
                <w:rFonts w:hint="eastAsia" w:ascii="宋体" w:hAnsi="宋体"/>
                <w:kern w:val="0"/>
                <w:szCs w:val="21"/>
                <w:highlight w:val="none"/>
                <w:lang w:eastAsia="zh-CN"/>
              </w:rPr>
              <w:t>竞选人</w:t>
            </w:r>
            <w:r>
              <w:rPr>
                <w:rFonts w:ascii="宋体" w:hAnsi="宋体"/>
                <w:kern w:val="0"/>
                <w:szCs w:val="21"/>
                <w:highlight w:val="none"/>
              </w:rPr>
              <w:t>须知前附表第3.4</w:t>
            </w:r>
            <w:r>
              <w:rPr>
                <w:rFonts w:hint="eastAsia" w:ascii="宋体" w:hAnsi="宋体"/>
                <w:kern w:val="0"/>
                <w:szCs w:val="21"/>
                <w:highlight w:val="none"/>
              </w:rPr>
              <w:t>款</w:t>
            </w:r>
            <w:r>
              <w:rPr>
                <w:rFonts w:ascii="宋体" w:hAnsi="宋体"/>
                <w:kern w:val="0"/>
                <w:highlight w:val="none"/>
              </w:rPr>
              <w:t>规定</w:t>
            </w:r>
          </w:p>
        </w:tc>
      </w:tr>
      <w:tr w14:paraId="1922FE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FE4DE4">
            <w:pPr>
              <w:spacing w:line="400" w:lineRule="exact"/>
              <w:jc w:val="center"/>
              <w:rPr>
                <w:rFonts w:ascii="宋体" w:hAnsi="宋体"/>
                <w:highlight w:val="none"/>
              </w:rPr>
            </w:pPr>
          </w:p>
        </w:tc>
        <w:tc>
          <w:tcPr>
            <w:tcW w:w="567" w:type="dxa"/>
            <w:vMerge w:val="continue"/>
          </w:tcPr>
          <w:p w14:paraId="6A49DF53">
            <w:pPr>
              <w:spacing w:line="400" w:lineRule="exact"/>
              <w:jc w:val="center"/>
              <w:rPr>
                <w:rFonts w:ascii="宋体" w:hAnsi="宋体"/>
                <w:highlight w:val="none"/>
              </w:rPr>
            </w:pPr>
          </w:p>
        </w:tc>
        <w:tc>
          <w:tcPr>
            <w:tcW w:w="2559" w:type="dxa"/>
            <w:gridSpan w:val="3"/>
            <w:vAlign w:val="center"/>
          </w:tcPr>
          <w:p w14:paraId="2139E8DF">
            <w:pPr>
              <w:spacing w:line="400" w:lineRule="exact"/>
              <w:jc w:val="left"/>
              <w:rPr>
                <w:rFonts w:ascii="宋体" w:hAnsi="宋体"/>
                <w:kern w:val="0"/>
                <w:highlight w:val="none"/>
              </w:rPr>
            </w:pPr>
            <w:r>
              <w:rPr>
                <w:rFonts w:ascii="宋体" w:hAnsi="宋体"/>
                <w:kern w:val="0"/>
                <w:highlight w:val="none"/>
              </w:rPr>
              <w:t>权利义务</w:t>
            </w:r>
          </w:p>
        </w:tc>
        <w:tc>
          <w:tcPr>
            <w:tcW w:w="5493" w:type="dxa"/>
            <w:vAlign w:val="center"/>
          </w:tcPr>
          <w:p w14:paraId="1F59B045">
            <w:pPr>
              <w:spacing w:after="62" w:afterLines="20" w:line="400" w:lineRule="exact"/>
              <w:ind w:firstLine="420" w:firstLineChars="200"/>
              <w:rPr>
                <w:rFonts w:ascii="宋体" w:hAnsi="宋体"/>
                <w:kern w:val="0"/>
                <w:highlight w:val="none"/>
              </w:rPr>
            </w:pPr>
            <w:r>
              <w:rPr>
                <w:rFonts w:ascii="宋体" w:hAnsi="宋体"/>
                <w:kern w:val="0"/>
                <w:highlight w:val="none"/>
              </w:rPr>
              <w:t>符合第四章“合同条款及格式”规定，</w:t>
            </w:r>
            <w:r>
              <w:rPr>
                <w:rFonts w:hint="eastAsia" w:ascii="宋体" w:hAnsi="宋体"/>
                <w:kern w:val="0"/>
                <w:highlight w:val="none"/>
                <w:lang w:eastAsia="zh-CN"/>
              </w:rPr>
              <w:t>竞选文件</w:t>
            </w:r>
            <w:r>
              <w:rPr>
                <w:rFonts w:ascii="宋体" w:hAnsi="宋体"/>
                <w:kern w:val="0"/>
                <w:highlight w:val="none"/>
              </w:rPr>
              <w:t>不应附有</w:t>
            </w:r>
            <w:r>
              <w:rPr>
                <w:rFonts w:hint="eastAsia" w:ascii="宋体" w:hAnsi="宋体"/>
                <w:kern w:val="0"/>
                <w:highlight w:val="none"/>
                <w:lang w:eastAsia="zh-CN"/>
              </w:rPr>
              <w:t>比选人</w:t>
            </w:r>
            <w:r>
              <w:rPr>
                <w:rFonts w:ascii="宋体" w:hAnsi="宋体"/>
                <w:kern w:val="0"/>
                <w:highlight w:val="none"/>
              </w:rPr>
              <w:t>不能接受的条件。</w:t>
            </w:r>
            <w:r>
              <w:rPr>
                <w:rFonts w:hint="eastAsia" w:ascii="宋体" w:hAnsi="宋体" w:cs="宋体"/>
                <w:kern w:val="0"/>
                <w:highlight w:val="none"/>
              </w:rPr>
              <w:t>（由</w:t>
            </w:r>
            <w:r>
              <w:rPr>
                <w:rFonts w:hint="eastAsia" w:ascii="宋体" w:hAnsi="宋体" w:cs="宋体"/>
                <w:kern w:val="0"/>
                <w:highlight w:val="none"/>
                <w:lang w:eastAsia="zh-CN"/>
              </w:rPr>
              <w:t>竞选人</w:t>
            </w:r>
            <w:r>
              <w:rPr>
                <w:rFonts w:hint="eastAsia" w:ascii="宋体" w:hAnsi="宋体" w:cs="宋体"/>
                <w:kern w:val="0"/>
                <w:highlight w:val="none"/>
              </w:rPr>
              <w:t>承诺，承诺书格式详见第八章</w:t>
            </w:r>
            <w:r>
              <w:rPr>
                <w:rFonts w:hint="eastAsia" w:ascii="宋体" w:hAnsi="宋体" w:cs="宋体"/>
                <w:kern w:val="0"/>
                <w:highlight w:val="none"/>
                <w:lang w:eastAsia="zh-CN"/>
              </w:rPr>
              <w:t>竞选文件</w:t>
            </w:r>
            <w:r>
              <w:rPr>
                <w:rFonts w:hint="eastAsia" w:ascii="宋体" w:hAnsi="宋体" w:cs="宋体"/>
                <w:kern w:val="0"/>
                <w:highlight w:val="none"/>
              </w:rPr>
              <w:t>格式。）</w:t>
            </w:r>
          </w:p>
        </w:tc>
      </w:tr>
      <w:tr w14:paraId="4F6247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7494F1">
            <w:pPr>
              <w:spacing w:line="400" w:lineRule="exact"/>
              <w:jc w:val="center"/>
              <w:rPr>
                <w:rFonts w:ascii="宋体" w:hAnsi="宋体"/>
                <w:highlight w:val="none"/>
              </w:rPr>
            </w:pPr>
          </w:p>
        </w:tc>
        <w:tc>
          <w:tcPr>
            <w:tcW w:w="567" w:type="dxa"/>
            <w:vMerge w:val="continue"/>
          </w:tcPr>
          <w:p w14:paraId="0DBE6BF2">
            <w:pPr>
              <w:spacing w:line="400" w:lineRule="exact"/>
              <w:jc w:val="center"/>
              <w:rPr>
                <w:rFonts w:ascii="宋体" w:hAnsi="宋体"/>
                <w:highlight w:val="none"/>
              </w:rPr>
            </w:pPr>
          </w:p>
        </w:tc>
        <w:tc>
          <w:tcPr>
            <w:tcW w:w="2559" w:type="dxa"/>
            <w:gridSpan w:val="3"/>
            <w:vAlign w:val="center"/>
          </w:tcPr>
          <w:p w14:paraId="13239CB0">
            <w:pPr>
              <w:spacing w:line="400" w:lineRule="exact"/>
              <w:jc w:val="left"/>
              <w:rPr>
                <w:rFonts w:ascii="宋体" w:hAnsi="宋体"/>
                <w:kern w:val="0"/>
                <w:highlight w:val="none"/>
              </w:rPr>
            </w:pPr>
            <w:r>
              <w:rPr>
                <w:rFonts w:hint="eastAsia" w:ascii="宋体" w:hAnsi="宋体"/>
                <w:kern w:val="0"/>
                <w:highlight w:val="none"/>
                <w:lang w:eastAsia="zh-CN"/>
              </w:rPr>
              <w:t>☑</w:t>
            </w:r>
            <w:r>
              <w:rPr>
                <w:rFonts w:ascii="宋体" w:hAnsi="宋体"/>
                <w:kern w:val="0"/>
                <w:highlight w:val="none"/>
              </w:rPr>
              <w:t>技术标准和要求</w:t>
            </w:r>
          </w:p>
        </w:tc>
        <w:tc>
          <w:tcPr>
            <w:tcW w:w="5493" w:type="dxa"/>
            <w:vAlign w:val="center"/>
          </w:tcPr>
          <w:p w14:paraId="2947FD73">
            <w:pPr>
              <w:spacing w:line="400" w:lineRule="exact"/>
              <w:ind w:firstLine="420" w:firstLineChars="200"/>
              <w:rPr>
                <w:rFonts w:ascii="宋体" w:hAnsi="宋体"/>
                <w:kern w:val="0"/>
                <w:highlight w:val="none"/>
              </w:rPr>
            </w:pPr>
            <w:r>
              <w:rPr>
                <w:rFonts w:ascii="宋体" w:hAnsi="宋体"/>
                <w:kern w:val="0"/>
                <w:highlight w:val="none"/>
              </w:rPr>
              <w:t>符合第七章“技术标准和要求”规定</w:t>
            </w:r>
            <w:r>
              <w:rPr>
                <w:rFonts w:hint="eastAsia" w:ascii="宋体" w:hAnsi="宋体"/>
                <w:kern w:val="0"/>
                <w:highlight w:val="none"/>
              </w:rPr>
              <w:t>。</w:t>
            </w:r>
            <w:r>
              <w:rPr>
                <w:rFonts w:hint="eastAsia" w:ascii="宋体" w:hAnsi="宋体" w:cs="宋体"/>
                <w:kern w:val="0"/>
                <w:highlight w:val="none"/>
              </w:rPr>
              <w:t>（由</w:t>
            </w:r>
            <w:r>
              <w:rPr>
                <w:rFonts w:hint="eastAsia" w:ascii="宋体" w:hAnsi="宋体" w:cs="宋体"/>
                <w:kern w:val="0"/>
                <w:highlight w:val="none"/>
                <w:lang w:eastAsia="zh-CN"/>
              </w:rPr>
              <w:t>竞选人</w:t>
            </w:r>
            <w:r>
              <w:rPr>
                <w:rFonts w:hint="eastAsia" w:ascii="宋体" w:hAnsi="宋体" w:cs="宋体"/>
                <w:kern w:val="0"/>
                <w:highlight w:val="none"/>
              </w:rPr>
              <w:t>承诺，承诺书格式详见第八章</w:t>
            </w:r>
            <w:r>
              <w:rPr>
                <w:rFonts w:hint="eastAsia" w:ascii="宋体" w:hAnsi="宋体" w:cs="宋体"/>
                <w:kern w:val="0"/>
                <w:highlight w:val="none"/>
                <w:lang w:eastAsia="zh-CN"/>
              </w:rPr>
              <w:t>竞选文件</w:t>
            </w:r>
            <w:r>
              <w:rPr>
                <w:rFonts w:hint="eastAsia" w:ascii="宋体" w:hAnsi="宋体" w:cs="宋体"/>
                <w:kern w:val="0"/>
                <w:highlight w:val="none"/>
              </w:rPr>
              <w:t>格式。）</w:t>
            </w:r>
          </w:p>
        </w:tc>
      </w:tr>
      <w:tr w14:paraId="05729E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C7C9644">
            <w:pPr>
              <w:spacing w:line="400" w:lineRule="exact"/>
              <w:jc w:val="center"/>
              <w:rPr>
                <w:rFonts w:ascii="宋体" w:hAnsi="宋体"/>
                <w:highlight w:val="none"/>
              </w:rPr>
            </w:pPr>
          </w:p>
        </w:tc>
        <w:tc>
          <w:tcPr>
            <w:tcW w:w="567" w:type="dxa"/>
            <w:vMerge w:val="continue"/>
            <w:vAlign w:val="center"/>
          </w:tcPr>
          <w:p w14:paraId="44A9BB18">
            <w:pPr>
              <w:spacing w:line="400" w:lineRule="exact"/>
              <w:jc w:val="center"/>
              <w:rPr>
                <w:rFonts w:ascii="宋体" w:hAnsi="宋体"/>
                <w:highlight w:val="none"/>
              </w:rPr>
            </w:pPr>
          </w:p>
        </w:tc>
        <w:tc>
          <w:tcPr>
            <w:tcW w:w="2559" w:type="dxa"/>
            <w:gridSpan w:val="3"/>
            <w:vAlign w:val="center"/>
          </w:tcPr>
          <w:p w14:paraId="11DBA8C2">
            <w:pPr>
              <w:spacing w:line="400" w:lineRule="exact"/>
              <w:jc w:val="left"/>
              <w:rPr>
                <w:rFonts w:ascii="宋体" w:hAnsi="宋体"/>
                <w:kern w:val="0"/>
                <w:highlight w:val="none"/>
              </w:rPr>
            </w:pPr>
            <w:r>
              <w:rPr>
                <w:rFonts w:ascii="宋体" w:hAnsi="宋体"/>
                <w:kern w:val="0"/>
                <w:highlight w:val="none"/>
              </w:rPr>
              <w:t>已标价工程量清单</w:t>
            </w:r>
          </w:p>
        </w:tc>
        <w:tc>
          <w:tcPr>
            <w:tcW w:w="5493" w:type="dxa"/>
            <w:vAlign w:val="center"/>
          </w:tcPr>
          <w:p w14:paraId="41EF265D">
            <w:pPr>
              <w:spacing w:after="62" w:afterLines="20" w:line="400" w:lineRule="exact"/>
              <w:ind w:firstLine="420" w:firstLineChars="200"/>
              <w:rPr>
                <w:rFonts w:ascii="宋体" w:hAnsi="宋体"/>
                <w:kern w:val="0"/>
                <w:highlight w:val="none"/>
              </w:rPr>
            </w:pPr>
            <w:r>
              <w:rPr>
                <w:rFonts w:hint="eastAsia" w:ascii="宋体" w:hAnsi="宋体"/>
                <w:kern w:val="0"/>
                <w:highlight w:val="none"/>
                <w:lang w:eastAsia="zh-CN"/>
              </w:rPr>
              <w:t>竞选人</w:t>
            </w:r>
            <w:r>
              <w:rPr>
                <w:rFonts w:hint="eastAsia" w:ascii="宋体" w:hAnsi="宋体"/>
                <w:kern w:val="0"/>
                <w:highlight w:val="none"/>
              </w:rPr>
              <w:t>承诺满足以下内容：</w:t>
            </w:r>
          </w:p>
          <w:p w14:paraId="286D993A">
            <w:pPr>
              <w:spacing w:after="62" w:afterLines="20" w:line="400" w:lineRule="exact"/>
              <w:ind w:firstLine="420" w:firstLineChars="200"/>
              <w:rPr>
                <w:rFonts w:ascii="宋体" w:hAnsi="宋体"/>
                <w:kern w:val="0"/>
                <w:highlight w:val="none"/>
              </w:rPr>
            </w:pPr>
            <w:r>
              <w:rPr>
                <w:rFonts w:hint="eastAsia" w:ascii="宋体" w:hAnsi="宋体"/>
                <w:kern w:val="0"/>
                <w:highlight w:val="none"/>
              </w:rPr>
              <w:t>1</w:t>
            </w:r>
            <w:r>
              <w:rPr>
                <w:rFonts w:ascii="宋体" w:hAnsi="宋体"/>
                <w:kern w:val="0"/>
                <w:highlight w:val="none"/>
              </w:rPr>
              <w:t>.符合第五章“工程量清单”给出的范围及数量。</w:t>
            </w:r>
          </w:p>
          <w:p w14:paraId="07ECB00D">
            <w:pPr>
              <w:spacing w:after="62" w:afterLines="20" w:line="400" w:lineRule="exact"/>
              <w:ind w:firstLine="420" w:firstLineChars="200"/>
              <w:rPr>
                <w:rFonts w:ascii="宋体" w:hAnsi="宋体"/>
                <w:kern w:val="0"/>
                <w:highlight w:val="none"/>
              </w:rPr>
            </w:pPr>
            <w:r>
              <w:rPr>
                <w:rFonts w:ascii="宋体" w:hAnsi="宋体"/>
                <w:kern w:val="0"/>
                <w:highlight w:val="none"/>
              </w:rPr>
              <w:t>2.</w:t>
            </w:r>
            <w:r>
              <w:rPr>
                <w:rFonts w:hint="eastAsia" w:ascii="宋体" w:hAnsi="宋体"/>
                <w:kern w:val="0"/>
                <w:highlight w:val="none"/>
              </w:rPr>
              <w:t>招标文件中规定工程量清单不允许修改的内容不得修改。</w:t>
            </w:r>
          </w:p>
          <w:p w14:paraId="5331B108">
            <w:pPr>
              <w:spacing w:after="62" w:afterLines="20" w:line="400" w:lineRule="exact"/>
              <w:ind w:firstLine="420" w:firstLineChars="200"/>
              <w:rPr>
                <w:rFonts w:ascii="宋体" w:hAnsi="宋体"/>
                <w:kern w:val="0"/>
                <w:highlight w:val="none"/>
              </w:rPr>
            </w:pPr>
            <w:r>
              <w:rPr>
                <w:rFonts w:hint="eastAsia" w:ascii="宋体" w:hAnsi="宋体"/>
                <w:kern w:val="0"/>
                <w:highlight w:val="none"/>
              </w:rPr>
              <w:t>3.每项工程量清单综合单价报价不得高于对应工程量清单综合单价最高限价。</w:t>
            </w:r>
          </w:p>
        </w:tc>
      </w:tr>
      <w:tr w14:paraId="7D3CC7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5E84FE7">
            <w:pPr>
              <w:spacing w:line="400" w:lineRule="exact"/>
              <w:rPr>
                <w:rFonts w:ascii="宋体" w:hAnsi="宋体"/>
                <w:highlight w:val="none"/>
              </w:rPr>
            </w:pPr>
          </w:p>
        </w:tc>
        <w:tc>
          <w:tcPr>
            <w:tcW w:w="567" w:type="dxa"/>
            <w:vMerge w:val="continue"/>
          </w:tcPr>
          <w:p w14:paraId="5165F50A">
            <w:pPr>
              <w:spacing w:line="400" w:lineRule="exact"/>
              <w:rPr>
                <w:rFonts w:ascii="宋体" w:hAnsi="宋体"/>
                <w:highlight w:val="none"/>
              </w:rPr>
            </w:pPr>
          </w:p>
        </w:tc>
        <w:tc>
          <w:tcPr>
            <w:tcW w:w="2559" w:type="dxa"/>
            <w:gridSpan w:val="3"/>
            <w:vAlign w:val="center"/>
          </w:tcPr>
          <w:p w14:paraId="67BFE91F">
            <w:pPr>
              <w:spacing w:line="400" w:lineRule="exact"/>
              <w:jc w:val="left"/>
              <w:rPr>
                <w:rFonts w:ascii="宋体" w:hAnsi="宋体"/>
                <w:kern w:val="0"/>
                <w:highlight w:val="none"/>
              </w:rPr>
            </w:pPr>
            <w:r>
              <w:rPr>
                <w:rFonts w:ascii="宋体" w:hAnsi="宋体"/>
                <w:kern w:val="0"/>
                <w:highlight w:val="none"/>
              </w:rPr>
              <w:t>投标报价算术错误修正</w:t>
            </w:r>
          </w:p>
        </w:tc>
        <w:tc>
          <w:tcPr>
            <w:tcW w:w="5493" w:type="dxa"/>
            <w:vAlign w:val="center"/>
          </w:tcPr>
          <w:p w14:paraId="5652FC71">
            <w:pPr>
              <w:spacing w:line="400" w:lineRule="exact"/>
              <w:ind w:firstLine="420" w:firstLineChars="200"/>
              <w:rPr>
                <w:rFonts w:ascii="宋体" w:hAnsi="宋体"/>
                <w:kern w:val="0"/>
                <w:highlight w:val="none"/>
              </w:rPr>
            </w:pPr>
            <w:r>
              <w:rPr>
                <w:rFonts w:ascii="宋体" w:hAnsi="宋体"/>
                <w:kern w:val="0"/>
                <w:highlight w:val="none"/>
              </w:rPr>
              <w:t>符合第三章3.评标程序第3.1.3项规定。</w:t>
            </w:r>
          </w:p>
        </w:tc>
      </w:tr>
      <w:tr w14:paraId="4A1C9A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17A3E5A">
            <w:pPr>
              <w:spacing w:line="400" w:lineRule="exact"/>
              <w:rPr>
                <w:rFonts w:ascii="宋体" w:hAnsi="宋体"/>
                <w:highlight w:val="none"/>
              </w:rPr>
            </w:pPr>
          </w:p>
        </w:tc>
        <w:tc>
          <w:tcPr>
            <w:tcW w:w="567" w:type="dxa"/>
            <w:vMerge w:val="continue"/>
          </w:tcPr>
          <w:p w14:paraId="7A3F3F0E">
            <w:pPr>
              <w:spacing w:line="400" w:lineRule="exact"/>
              <w:rPr>
                <w:rFonts w:ascii="宋体" w:hAnsi="宋体"/>
                <w:highlight w:val="none"/>
              </w:rPr>
            </w:pPr>
          </w:p>
        </w:tc>
        <w:tc>
          <w:tcPr>
            <w:tcW w:w="2559" w:type="dxa"/>
            <w:gridSpan w:val="3"/>
            <w:vAlign w:val="center"/>
          </w:tcPr>
          <w:p w14:paraId="3A76D8F4">
            <w:pPr>
              <w:spacing w:line="400" w:lineRule="exact"/>
              <w:jc w:val="left"/>
              <w:rPr>
                <w:rFonts w:ascii="宋体" w:hAnsi="宋体"/>
                <w:kern w:val="0"/>
                <w:highlight w:val="none"/>
              </w:rPr>
            </w:pPr>
            <w:r>
              <w:rPr>
                <w:rFonts w:ascii="宋体" w:hAnsi="宋体"/>
                <w:kern w:val="0"/>
                <w:highlight w:val="none"/>
              </w:rPr>
              <w:t>实质性要求</w:t>
            </w:r>
          </w:p>
        </w:tc>
        <w:tc>
          <w:tcPr>
            <w:tcW w:w="5493" w:type="dxa"/>
            <w:vAlign w:val="center"/>
          </w:tcPr>
          <w:p w14:paraId="7703E391">
            <w:pPr>
              <w:spacing w:after="62" w:afterLines="20"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须知”第1.4.3项规定。</w:t>
            </w:r>
          </w:p>
          <w:p w14:paraId="33BEFFAA">
            <w:pPr>
              <w:spacing w:after="62" w:afterLines="20" w:line="400" w:lineRule="exact"/>
              <w:ind w:firstLine="420" w:firstLineChars="200"/>
              <w:rPr>
                <w:rFonts w:ascii="宋体" w:hAnsi="宋体"/>
                <w:kern w:val="0"/>
                <w:highlight w:val="none"/>
              </w:rPr>
            </w:pPr>
            <w:r>
              <w:rPr>
                <w:rFonts w:hint="eastAsia" w:ascii="宋体" w:hAnsi="宋体"/>
                <w:kern w:val="0"/>
                <w:highlight w:val="none"/>
              </w:rPr>
              <w:t>本次投标不得有串通投标</w:t>
            </w:r>
            <w:r>
              <w:rPr>
                <w:rFonts w:ascii="宋体" w:hAnsi="宋体"/>
                <w:kern w:val="0"/>
                <w:highlight w:val="none"/>
              </w:rPr>
              <w:t>、弄虚作假等其他违反招投标相关法律、法规行为。</w:t>
            </w:r>
          </w:p>
          <w:p w14:paraId="205E9D71">
            <w:pPr>
              <w:spacing w:after="62" w:afterLines="20" w:line="400" w:lineRule="exact"/>
              <w:ind w:firstLine="420" w:firstLineChars="200"/>
              <w:rPr>
                <w:rFonts w:ascii="宋体" w:hAnsi="宋体"/>
                <w:kern w:val="0"/>
                <w:highlight w:val="none"/>
              </w:rPr>
            </w:pPr>
            <w:r>
              <w:rPr>
                <w:rFonts w:hint="eastAsia" w:ascii="宋体" w:hAnsi="宋体" w:cs="宋体"/>
                <w:kern w:val="0"/>
                <w:highlight w:val="none"/>
              </w:rPr>
              <w:t>按评标委员会要求澄清、说明或补正。</w:t>
            </w:r>
          </w:p>
        </w:tc>
      </w:tr>
      <w:tr w14:paraId="37D2FA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3EA6118">
            <w:pPr>
              <w:spacing w:line="400" w:lineRule="exact"/>
              <w:ind w:firstLine="210" w:firstLineChars="100"/>
              <w:jc w:val="center"/>
              <w:rPr>
                <w:rFonts w:ascii="宋体" w:hAnsi="宋体"/>
                <w:kern w:val="0"/>
                <w:highlight w:val="none"/>
              </w:rPr>
            </w:pPr>
            <w:r>
              <w:rPr>
                <w:rFonts w:ascii="宋体" w:hAnsi="宋体"/>
                <w:kern w:val="0"/>
                <w:highlight w:val="none"/>
              </w:rPr>
              <w:t>2.2.1</w:t>
            </w:r>
          </w:p>
        </w:tc>
        <w:tc>
          <w:tcPr>
            <w:tcW w:w="2559" w:type="dxa"/>
            <w:gridSpan w:val="3"/>
            <w:vAlign w:val="center"/>
          </w:tcPr>
          <w:p w14:paraId="77FAF90C">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01BCC7E1">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ascii="宋体" w:hAnsi="宋体"/>
                <w:color w:val="auto"/>
                <w:kern w:val="0"/>
                <w:highlight w:val="none"/>
                <w:u w:val="single"/>
              </w:rPr>
              <w:t>　</w:t>
            </w:r>
            <w:r>
              <w:rPr>
                <w:rFonts w:hint="eastAsia" w:ascii="宋体" w:hAnsi="宋体"/>
                <w:color w:val="auto"/>
                <w:kern w:val="0"/>
                <w:highlight w:val="none"/>
                <w:u w:val="single"/>
                <w:lang w:val="en-US" w:eastAsia="zh-CN"/>
              </w:rPr>
              <w:t>30</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i/>
                <w:color w:val="auto"/>
                <w:kern w:val="0"/>
                <w:highlight w:val="none"/>
              </w:rPr>
              <w:t>[提示：</w:t>
            </w:r>
            <w:r>
              <w:rPr>
                <w:rFonts w:ascii="宋体" w:hAnsi="宋体"/>
                <w:i/>
                <w:color w:val="auto"/>
                <w:kern w:val="0"/>
                <w:highlight w:val="none"/>
              </w:rPr>
              <w:t>不高于</w:t>
            </w:r>
            <w:r>
              <w:rPr>
                <w:rFonts w:hint="eastAsia" w:ascii="宋体" w:hAnsi="宋体"/>
                <w:i/>
                <w:color w:val="auto"/>
                <w:kern w:val="0"/>
                <w:highlight w:val="none"/>
                <w:lang w:val="en-US" w:eastAsia="zh-CN"/>
              </w:rPr>
              <w:t>40</w:t>
            </w:r>
            <w:r>
              <w:rPr>
                <w:rFonts w:ascii="宋体" w:hAnsi="宋体"/>
                <w:i/>
                <w:color w:val="auto"/>
                <w:kern w:val="0"/>
                <w:highlight w:val="none"/>
              </w:rPr>
              <w:t>分</w:t>
            </w:r>
            <w:r>
              <w:rPr>
                <w:rFonts w:hint="eastAsia" w:ascii="宋体" w:hAnsi="宋体"/>
                <w:i/>
                <w:color w:val="auto"/>
                <w:kern w:val="0"/>
                <w:highlight w:val="none"/>
              </w:rPr>
              <w:t>]</w:t>
            </w:r>
            <w:r>
              <w:rPr>
                <w:rFonts w:hint="eastAsia" w:ascii="宋体" w:hAnsi="宋体"/>
                <w:color w:val="auto"/>
                <w:kern w:val="0"/>
                <w:highlight w:val="none"/>
              </w:rPr>
              <w:t>；</w:t>
            </w:r>
          </w:p>
          <w:p w14:paraId="0B83C557">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2.投标总报价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70</w:t>
            </w:r>
            <w:r>
              <w:rPr>
                <w:rFonts w:hint="eastAsia" w:ascii="宋体" w:hAnsi="宋体"/>
                <w:color w:val="auto"/>
                <w:kern w:val="0"/>
                <w:highlight w:val="none"/>
                <w:u w:val="single"/>
              </w:rPr>
              <w:t xml:space="preserve">  </w:t>
            </w:r>
            <w:r>
              <w:rPr>
                <w:rFonts w:hint="eastAsia" w:ascii="宋体" w:hAnsi="宋体"/>
                <w:color w:val="auto"/>
                <w:kern w:val="0"/>
                <w:highlight w:val="none"/>
              </w:rPr>
              <w:t>分</w:t>
            </w:r>
            <w:r>
              <w:rPr>
                <w:rFonts w:hint="eastAsia" w:ascii="宋体" w:hAnsi="宋体"/>
                <w:i/>
                <w:color w:val="auto"/>
                <w:kern w:val="0"/>
                <w:highlight w:val="none"/>
              </w:rPr>
              <w:t>[提示：不低于</w:t>
            </w:r>
            <w:r>
              <w:rPr>
                <w:rFonts w:hint="eastAsia" w:ascii="宋体" w:hAnsi="宋体"/>
                <w:i/>
                <w:color w:val="auto"/>
                <w:kern w:val="0"/>
                <w:highlight w:val="none"/>
                <w:lang w:val="en-US" w:eastAsia="zh-CN"/>
              </w:rPr>
              <w:t>60</w:t>
            </w:r>
            <w:r>
              <w:rPr>
                <w:rFonts w:hint="eastAsia" w:ascii="宋体" w:hAnsi="宋体"/>
                <w:i/>
                <w:color w:val="auto"/>
                <w:kern w:val="0"/>
                <w:highlight w:val="none"/>
              </w:rPr>
              <w:t>分]</w:t>
            </w:r>
            <w:r>
              <w:rPr>
                <w:rFonts w:hint="eastAsia" w:ascii="宋体" w:hAnsi="宋体"/>
                <w:color w:val="auto"/>
                <w:kern w:val="0"/>
                <w:highlight w:val="none"/>
              </w:rPr>
              <w:t>。</w:t>
            </w:r>
          </w:p>
        </w:tc>
      </w:tr>
      <w:tr w14:paraId="47BA58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7DF9DBD4">
            <w:pPr>
              <w:spacing w:line="400" w:lineRule="exact"/>
              <w:jc w:val="center"/>
              <w:rPr>
                <w:rFonts w:ascii="宋体" w:hAnsi="宋体"/>
                <w:kern w:val="0"/>
                <w:highlight w:val="none"/>
              </w:rPr>
            </w:pPr>
            <w:r>
              <w:rPr>
                <w:rFonts w:hint="eastAsia" w:ascii="宋体" w:hAnsi="宋体"/>
                <w:kern w:val="0"/>
                <w:highlight w:val="none"/>
              </w:rPr>
              <w:t>2.2.2</w:t>
            </w:r>
          </w:p>
        </w:tc>
        <w:tc>
          <w:tcPr>
            <w:tcW w:w="585" w:type="dxa"/>
            <w:gridSpan w:val="2"/>
            <w:vMerge w:val="restart"/>
            <w:tcBorders>
              <w:left w:val="single" w:color="auto" w:sz="4" w:space="0"/>
            </w:tcBorders>
            <w:vAlign w:val="center"/>
          </w:tcPr>
          <w:p w14:paraId="7B71794F">
            <w:pPr>
              <w:spacing w:line="400" w:lineRule="exact"/>
              <w:jc w:val="center"/>
              <w:rPr>
                <w:rFonts w:ascii="宋体" w:hAnsi="宋体"/>
                <w:kern w:val="0"/>
                <w:highlight w:val="none"/>
              </w:rPr>
            </w:pPr>
            <w:r>
              <w:rPr>
                <w:rFonts w:hint="eastAsia" w:ascii="宋体" w:hAnsi="宋体"/>
                <w:kern w:val="0"/>
                <w:highlight w:val="none"/>
              </w:rPr>
              <w:t>技术部分评分标准</w:t>
            </w:r>
          </w:p>
        </w:tc>
        <w:tc>
          <w:tcPr>
            <w:tcW w:w="568" w:type="dxa"/>
            <w:vMerge w:val="restart"/>
            <w:tcBorders>
              <w:right w:val="single" w:color="auto" w:sz="4" w:space="0"/>
            </w:tcBorders>
            <w:vAlign w:val="center"/>
          </w:tcPr>
          <w:p w14:paraId="158C929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3A1F95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53A8FDF8">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66191426">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5A195B28">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1E5E052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1BEF0D0F">
            <w:pPr>
              <w:spacing w:line="400" w:lineRule="exact"/>
              <w:jc w:val="center"/>
              <w:rPr>
                <w:rFonts w:hint="eastAsia" w:ascii="宋体" w:hAnsi="宋体" w:eastAsia="宋体" w:cs="宋体"/>
                <w:color w:val="auto"/>
                <w:kern w:val="0"/>
                <w:sz w:val="21"/>
                <w:szCs w:val="21"/>
                <w:highlight w:val="none"/>
                <w:lang w:val="en-US" w:eastAsia="zh-CN" w:bidi="ar-SA"/>
              </w:rPr>
            </w:pPr>
            <w:r>
              <w:rPr>
                <w:rFonts w:ascii="宋体" w:hAnsi="宋体"/>
                <w:color w:val="auto"/>
                <w:kern w:val="0"/>
                <w:sz w:val="21"/>
                <w:szCs w:val="21"/>
                <w:highlight w:val="none"/>
              </w:rPr>
              <w:t>内容完整性和编制水平</w:t>
            </w:r>
          </w:p>
        </w:tc>
        <w:tc>
          <w:tcPr>
            <w:tcW w:w="5493" w:type="dxa"/>
            <w:vAlign w:val="center"/>
          </w:tcPr>
          <w:p w14:paraId="56FC934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编制要点：内容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含图表等</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完整、全面、重点突出。</w:t>
            </w:r>
            <w:r>
              <w:rPr>
                <w:rFonts w:hint="eastAsia" w:ascii="宋体" w:hAnsi="宋体" w:cs="宋体"/>
                <w:color w:val="auto"/>
                <w:kern w:val="0"/>
                <w:sz w:val="21"/>
                <w:szCs w:val="21"/>
                <w:highlight w:val="none"/>
                <w:lang w:val="en-US" w:eastAsia="zh-CN"/>
              </w:rPr>
              <w:t>方案超过规定页数此项不得分。</w:t>
            </w: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62D08F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15023C1">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0F94036C">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4D0F482D">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B3F7C2D">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施工方案与技术措施</w:t>
            </w:r>
          </w:p>
        </w:tc>
        <w:tc>
          <w:tcPr>
            <w:tcW w:w="5493" w:type="dxa"/>
            <w:vAlign w:val="center"/>
          </w:tcPr>
          <w:p w14:paraId="62536ACD">
            <w:pPr>
              <w:spacing w:line="300" w:lineRule="exact"/>
              <w:ind w:firstLine="420" w:firstLineChars="200"/>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编制要点：施工组织设计、规程措施针对性强，便于施工，施工技术适用性强。（0-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1B74DF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DBBFE06">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3AD34DD9">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377E4598">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1413D5DD">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质量管理体系与措施</w:t>
            </w:r>
          </w:p>
        </w:tc>
        <w:tc>
          <w:tcPr>
            <w:tcW w:w="5493" w:type="dxa"/>
            <w:vAlign w:val="center"/>
          </w:tcPr>
          <w:p w14:paraId="7F3DABD7">
            <w:pPr>
              <w:spacing w:line="300" w:lineRule="exact"/>
              <w:ind w:firstLine="420" w:firstLineChars="200"/>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编制要点：施工质量保证体系和质量检查监督机构健全，并有有效的控制措施和手段。（0-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771778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85044DF">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45819EE9">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4069095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5C7CC5FA">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安全管理体系与措施</w:t>
            </w:r>
          </w:p>
        </w:tc>
        <w:tc>
          <w:tcPr>
            <w:tcW w:w="5493" w:type="dxa"/>
            <w:vAlign w:val="center"/>
          </w:tcPr>
          <w:p w14:paraId="103716BA">
            <w:pPr>
              <w:spacing w:line="300" w:lineRule="exact"/>
              <w:ind w:firstLine="420" w:firstLineChars="200"/>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编制要点：建立了施工安全保障体系，施工现场管理人员安全生产职责明确、施工安全保证目标明确，针对工程特点、周边环境和施工工艺，确定危险源并制定具体的防护措施。（0-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708BE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CC4AFEB">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6675A6B9">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53F574A5">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75830937">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环境保护管理体系措施</w:t>
            </w:r>
          </w:p>
        </w:tc>
        <w:tc>
          <w:tcPr>
            <w:tcW w:w="5493" w:type="dxa"/>
            <w:vAlign w:val="center"/>
          </w:tcPr>
          <w:p w14:paraId="21FC8C87">
            <w:pPr>
              <w:spacing w:line="300" w:lineRule="exact"/>
              <w:ind w:firstLine="420" w:firstLineChars="200"/>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编制要点：对废弃物的管理和处理措施妥当，对施工车辆有效控制。（0-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1B5DA4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143C762">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604D1E99">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6379314A">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6B37E552">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工程进度计划与措施</w:t>
            </w:r>
          </w:p>
        </w:tc>
        <w:tc>
          <w:tcPr>
            <w:tcW w:w="5493" w:type="dxa"/>
            <w:vAlign w:val="center"/>
          </w:tcPr>
          <w:p w14:paraId="0C980C2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分   编制要点：具备有效的进度控制计划、赶工方案。（0-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2F4BB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9B37BC4">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6C8EC8A8">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14:paraId="2636E915">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7FB10AA6">
            <w:pPr>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资源配备计划与先进性</w:t>
            </w:r>
          </w:p>
        </w:tc>
        <w:tc>
          <w:tcPr>
            <w:tcW w:w="5493" w:type="dxa"/>
            <w:vAlign w:val="center"/>
          </w:tcPr>
          <w:p w14:paraId="3E5A80FF">
            <w:pPr>
              <w:spacing w:line="300" w:lineRule="exact"/>
              <w:ind w:firstLine="420" w:firstLineChars="200"/>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编制要点：施工设备、材料和人力能保证施工顺畅，</w:t>
            </w:r>
            <w:r>
              <w:rPr>
                <w:rFonts w:hint="eastAsia" w:ascii="宋体" w:hAnsi="宋体" w:cs="宋体"/>
                <w:color w:val="auto"/>
                <w:kern w:val="0"/>
                <w:sz w:val="21"/>
                <w:szCs w:val="21"/>
                <w:highlight w:val="none"/>
                <w:lang w:val="en-US" w:eastAsia="zh-CN"/>
              </w:rPr>
              <w:t>在辖区内有办公场所，</w:t>
            </w:r>
            <w:r>
              <w:rPr>
                <w:rFonts w:hint="eastAsia" w:ascii="宋体" w:hAnsi="宋体" w:eastAsia="宋体" w:cs="宋体"/>
                <w:color w:val="auto"/>
                <w:kern w:val="0"/>
                <w:sz w:val="21"/>
                <w:szCs w:val="21"/>
                <w:highlight w:val="none"/>
              </w:rPr>
              <w:t>有备用计划。（0-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1AF83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743EDAD">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3</w:t>
            </w:r>
          </w:p>
        </w:tc>
        <w:tc>
          <w:tcPr>
            <w:tcW w:w="2131" w:type="dxa"/>
            <w:gridSpan w:val="4"/>
            <w:vAlign w:val="center"/>
          </w:tcPr>
          <w:p w14:paraId="216B19F6">
            <w:pPr>
              <w:spacing w:line="400" w:lineRule="exact"/>
              <w:jc w:val="center"/>
              <w:rPr>
                <w:rFonts w:ascii="宋体" w:hAnsi="宋体"/>
                <w:kern w:val="0"/>
                <w:highlight w:val="none"/>
              </w:rPr>
            </w:pPr>
            <w:r>
              <w:rPr>
                <w:rFonts w:ascii="宋体" w:hAnsi="宋体"/>
                <w:kern w:val="0"/>
                <w:highlight w:val="none"/>
              </w:rPr>
              <w:t>评标基准价计算方法</w:t>
            </w:r>
          </w:p>
        </w:tc>
        <w:tc>
          <w:tcPr>
            <w:tcW w:w="1013" w:type="dxa"/>
            <w:vAlign w:val="center"/>
          </w:tcPr>
          <w:p w14:paraId="1075A711">
            <w:pPr>
              <w:spacing w:line="400" w:lineRule="exact"/>
              <w:jc w:val="center"/>
              <w:rPr>
                <w:rFonts w:ascii="宋体" w:hAnsi="宋体"/>
                <w:kern w:val="0"/>
                <w:highlight w:val="none"/>
              </w:rPr>
            </w:pPr>
            <w:r>
              <w:rPr>
                <w:rFonts w:ascii="宋体" w:hAnsi="宋体"/>
                <w:kern w:val="0"/>
                <w:highlight w:val="none"/>
              </w:rPr>
              <w:t>投标总报价</w:t>
            </w:r>
          </w:p>
        </w:tc>
        <w:tc>
          <w:tcPr>
            <w:tcW w:w="5493" w:type="dxa"/>
          </w:tcPr>
          <w:p w14:paraId="3FA02443">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所有通过初步评审合格的</w:t>
            </w:r>
            <w:r>
              <w:rPr>
                <w:rFonts w:hint="eastAsia" w:ascii="宋体" w:hAnsi="宋体"/>
                <w:kern w:val="0"/>
                <w:szCs w:val="21"/>
                <w:highlight w:val="none"/>
                <w:lang w:eastAsia="zh-CN"/>
              </w:rPr>
              <w:t>竞选人</w:t>
            </w:r>
            <w:r>
              <w:rPr>
                <w:rFonts w:ascii="宋体" w:hAnsi="宋体"/>
                <w:szCs w:val="21"/>
                <w:highlight w:val="none"/>
              </w:rPr>
              <w:t>的投标总报</w:t>
            </w:r>
            <w:r>
              <w:rPr>
                <w:rFonts w:ascii="宋体" w:hAnsi="宋体"/>
                <w:kern w:val="0"/>
                <w:szCs w:val="21"/>
                <w:highlight w:val="none"/>
              </w:rPr>
              <w:t>价中</w:t>
            </w:r>
            <w:r>
              <w:rPr>
                <w:rFonts w:hint="eastAsia" w:ascii="宋体" w:hAnsi="宋体"/>
                <w:kern w:val="0"/>
                <w:szCs w:val="21"/>
                <w:highlight w:val="none"/>
                <w:lang w:val="en-US" w:eastAsia="zh-CN"/>
              </w:rPr>
              <w:t>以报价算术平均值作为</w:t>
            </w:r>
            <w:r>
              <w:rPr>
                <w:rFonts w:hint="eastAsia" w:ascii="宋体" w:hAnsi="宋体"/>
                <w:kern w:val="0"/>
                <w:szCs w:val="21"/>
                <w:highlight w:val="none"/>
              </w:rPr>
              <w:t>本项目的投标总报价的评标基准价。</w:t>
            </w:r>
          </w:p>
          <w:p w14:paraId="031B6CA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评标基准价计算的最终</w:t>
            </w:r>
            <w:r>
              <w:rPr>
                <w:rFonts w:ascii="宋体" w:hAnsi="宋体"/>
                <w:kern w:val="0"/>
                <w:szCs w:val="21"/>
                <w:highlight w:val="none"/>
              </w:rPr>
              <w:t>结果取小数点后两位，第三位四舍五入。</w:t>
            </w:r>
          </w:p>
          <w:p w14:paraId="7B11DD7C">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在评标基准价计算完成后（除计算错误外），在后续的评审中不得再对其做出调整。</w:t>
            </w:r>
          </w:p>
        </w:tc>
      </w:tr>
      <w:tr w14:paraId="52C837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5751840C">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4</w:t>
            </w:r>
          </w:p>
          <w:p w14:paraId="587B3830">
            <w:pPr>
              <w:spacing w:line="400" w:lineRule="exact"/>
              <w:jc w:val="center"/>
              <w:rPr>
                <w:rFonts w:ascii="宋体" w:hAnsi="宋体"/>
                <w:kern w:val="0"/>
                <w:highlight w:val="none"/>
              </w:rPr>
            </w:pPr>
            <w:r>
              <w:rPr>
                <w:rFonts w:hint="eastAsia" w:ascii="宋体" w:hAnsi="宋体"/>
                <w:kern w:val="0"/>
                <w:highlight w:val="none"/>
              </w:rPr>
              <w:t>（1）</w:t>
            </w:r>
          </w:p>
        </w:tc>
        <w:tc>
          <w:tcPr>
            <w:tcW w:w="3144" w:type="dxa"/>
            <w:gridSpan w:val="5"/>
            <w:vMerge w:val="restart"/>
            <w:vAlign w:val="center"/>
          </w:tcPr>
          <w:p w14:paraId="568EEC60">
            <w:pPr>
              <w:spacing w:line="400" w:lineRule="exact"/>
              <w:jc w:val="center"/>
              <w:rPr>
                <w:rFonts w:ascii="宋体" w:hAnsi="宋体"/>
                <w:kern w:val="0"/>
                <w:highlight w:val="none"/>
              </w:rPr>
            </w:pPr>
            <w:r>
              <w:rPr>
                <w:rFonts w:hint="eastAsia" w:ascii="宋体" w:hAnsi="宋体"/>
                <w:kern w:val="0"/>
                <w:highlight w:val="none"/>
              </w:rPr>
              <w:t>允许偏差率</w:t>
            </w:r>
          </w:p>
        </w:tc>
        <w:tc>
          <w:tcPr>
            <w:tcW w:w="5493" w:type="dxa"/>
            <w:vAlign w:val="center"/>
          </w:tcPr>
          <w:p w14:paraId="3469C236">
            <w:pPr>
              <w:spacing w:line="400" w:lineRule="exact"/>
              <w:ind w:firstLine="420" w:firstLineChars="200"/>
              <w:jc w:val="left"/>
              <w:rPr>
                <w:rFonts w:ascii="宋体" w:hAnsi="宋体"/>
                <w:kern w:val="0"/>
                <w:highlight w:val="none"/>
              </w:rPr>
            </w:pPr>
            <w:r>
              <w:rPr>
                <w:rFonts w:ascii="宋体" w:hAnsi="宋体"/>
                <w:kern w:val="0"/>
                <w:highlight w:val="none"/>
              </w:rPr>
              <w:t>投标总报价的偏差率计算公式</w:t>
            </w:r>
          </w:p>
          <w:p w14:paraId="0100C706">
            <w:pPr>
              <w:spacing w:line="400" w:lineRule="exact"/>
              <w:ind w:firstLine="420" w:firstLineChars="200"/>
              <w:jc w:val="left"/>
              <w:rPr>
                <w:rFonts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w:t>
            </w:r>
            <w:r>
              <w:rPr>
                <w:rFonts w:hint="eastAsia" w:ascii="宋体" w:hAnsi="宋体"/>
                <w:kern w:val="0"/>
                <w:highlight w:val="none"/>
                <w:lang w:eastAsia="zh-CN"/>
              </w:rPr>
              <w:t>竞选人</w:t>
            </w:r>
            <w:r>
              <w:rPr>
                <w:rFonts w:ascii="宋体" w:hAnsi="宋体"/>
                <w:kern w:val="0"/>
                <w:highlight w:val="none"/>
              </w:rPr>
              <w:t>报价一评标基准价）／评标基准价</w:t>
            </w:r>
          </w:p>
          <w:p w14:paraId="1DDFB93D">
            <w:pPr>
              <w:spacing w:line="400" w:lineRule="exact"/>
              <w:ind w:firstLine="200"/>
              <w:rPr>
                <w:rFonts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14:paraId="06ED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0ABAC10B">
            <w:pPr>
              <w:spacing w:line="400" w:lineRule="exact"/>
              <w:jc w:val="center"/>
              <w:rPr>
                <w:rFonts w:ascii="宋体" w:hAnsi="宋体"/>
                <w:kern w:val="0"/>
                <w:highlight w:val="none"/>
              </w:rPr>
            </w:pPr>
          </w:p>
        </w:tc>
        <w:tc>
          <w:tcPr>
            <w:tcW w:w="3144" w:type="dxa"/>
            <w:gridSpan w:val="5"/>
            <w:vMerge w:val="continue"/>
            <w:vAlign w:val="center"/>
          </w:tcPr>
          <w:p w14:paraId="3587A801">
            <w:pPr>
              <w:spacing w:line="400" w:lineRule="exact"/>
              <w:jc w:val="center"/>
              <w:rPr>
                <w:rFonts w:ascii="宋体" w:hAnsi="宋体"/>
                <w:kern w:val="0"/>
                <w:highlight w:val="none"/>
              </w:rPr>
            </w:pPr>
          </w:p>
        </w:tc>
        <w:tc>
          <w:tcPr>
            <w:tcW w:w="5493" w:type="dxa"/>
            <w:vAlign w:val="center"/>
          </w:tcPr>
          <w:p w14:paraId="3F1F5D9E">
            <w:pPr>
              <w:snapToGrid w:val="0"/>
              <w:spacing w:line="400" w:lineRule="exact"/>
              <w:ind w:firstLine="420" w:firstLineChars="200"/>
              <w:jc w:val="left"/>
              <w:rPr>
                <w:rFonts w:ascii="宋体" w:hAnsi="宋体"/>
                <w:szCs w:val="28"/>
                <w:highlight w:val="none"/>
              </w:rPr>
            </w:pPr>
            <w:r>
              <w:rPr>
                <w:rFonts w:hint="eastAsia" w:ascii="宋体" w:hAnsi="宋体"/>
                <w:szCs w:val="28"/>
                <w:highlight w:val="none"/>
              </w:rPr>
              <w:t>本项目</w:t>
            </w:r>
            <w:r>
              <w:rPr>
                <w:rFonts w:ascii="宋体" w:hAnsi="宋体"/>
                <w:szCs w:val="28"/>
                <w:highlight w:val="none"/>
              </w:rPr>
              <w:t>投标总报价</w:t>
            </w:r>
            <w:r>
              <w:rPr>
                <w:rFonts w:hint="eastAsia" w:ascii="宋体" w:hAnsi="宋体"/>
                <w:szCs w:val="28"/>
                <w:highlight w:val="none"/>
              </w:rPr>
              <w:t>允许偏差范围</w:t>
            </w:r>
            <w:r>
              <w:rPr>
                <w:rFonts w:ascii="宋体" w:hAnsi="宋体"/>
                <w:szCs w:val="28"/>
                <w:highlight w:val="none"/>
              </w:rPr>
              <w:t>为：</w:t>
            </w:r>
          </w:p>
          <w:p w14:paraId="74A7BE95">
            <w:pPr>
              <w:snapToGrid w:val="0"/>
              <w:spacing w:line="400" w:lineRule="exact"/>
              <w:ind w:firstLine="420" w:firstLineChars="200"/>
              <w:jc w:val="left"/>
              <w:rPr>
                <w:rFonts w:ascii="宋体" w:hAnsi="宋体"/>
                <w:i/>
                <w:kern w:val="0"/>
                <w:highlight w:val="none"/>
              </w:rPr>
            </w:pPr>
            <w:r>
              <w:rPr>
                <w:rFonts w:hint="eastAsia" w:ascii="宋体" w:hAnsi="宋体"/>
                <w:kern w:val="0"/>
                <w:highlight w:val="none"/>
                <w:lang w:eastAsia="zh-CN"/>
              </w:rPr>
              <w:t>☑</w:t>
            </w:r>
            <w:r>
              <w:rPr>
                <w:rFonts w:hint="eastAsia" w:ascii="宋体" w:hAnsi="宋体"/>
                <w:kern w:val="0"/>
                <w:highlight w:val="none"/>
              </w:rPr>
              <w:t>不设偏差范围。</w:t>
            </w:r>
          </w:p>
        </w:tc>
      </w:tr>
      <w:tr w14:paraId="331752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3D890358">
            <w:pPr>
              <w:spacing w:line="400" w:lineRule="exact"/>
              <w:jc w:val="center"/>
              <w:rPr>
                <w:rFonts w:ascii="宋体" w:hAnsi="宋体"/>
                <w:kern w:val="0"/>
                <w:highlight w:val="none"/>
              </w:rPr>
            </w:pPr>
            <w:r>
              <w:rPr>
                <w:rFonts w:ascii="宋体" w:hAnsi="宋体"/>
                <w:highlight w:val="none"/>
              </w:rPr>
              <w:t>3</w:t>
            </w:r>
          </w:p>
        </w:tc>
        <w:tc>
          <w:tcPr>
            <w:tcW w:w="1135" w:type="dxa"/>
            <w:gridSpan w:val="2"/>
            <w:vAlign w:val="center"/>
          </w:tcPr>
          <w:p w14:paraId="14F5B42A">
            <w:pPr>
              <w:spacing w:line="400" w:lineRule="exact"/>
              <w:jc w:val="center"/>
              <w:rPr>
                <w:rFonts w:ascii="宋体" w:hAnsi="宋体"/>
                <w:kern w:val="0"/>
                <w:highlight w:val="none"/>
              </w:rPr>
            </w:pPr>
            <w:r>
              <w:rPr>
                <w:rFonts w:ascii="宋体" w:hAnsi="宋体"/>
                <w:highlight w:val="none"/>
              </w:rPr>
              <w:t>评标程序</w:t>
            </w:r>
          </w:p>
        </w:tc>
        <w:tc>
          <w:tcPr>
            <w:tcW w:w="7484" w:type="dxa"/>
            <w:gridSpan w:val="3"/>
          </w:tcPr>
          <w:p w14:paraId="6DB30F03">
            <w:pPr>
              <w:spacing w:line="400" w:lineRule="exact"/>
              <w:ind w:firstLine="420" w:firstLineChars="20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w:t>
            </w:r>
            <w:r>
              <w:rPr>
                <w:rFonts w:hint="eastAsia" w:ascii="宋体" w:hAnsi="宋体"/>
                <w:szCs w:val="21"/>
                <w:highlight w:val="none"/>
                <w:lang w:eastAsia="zh-CN"/>
              </w:rPr>
              <w:t>竞选文件</w:t>
            </w:r>
            <w:r>
              <w:rPr>
                <w:rFonts w:hint="eastAsia" w:ascii="宋体" w:hAnsi="宋体"/>
                <w:szCs w:val="21"/>
                <w:highlight w:val="none"/>
              </w:rPr>
              <w:t>的不再进行后续评审。</w:t>
            </w:r>
          </w:p>
          <w:p w14:paraId="6004C05E">
            <w:pPr>
              <w:spacing w:line="400" w:lineRule="exact"/>
              <w:ind w:firstLine="420" w:firstLineChars="200"/>
              <w:rPr>
                <w:rFonts w:ascii="宋体" w:hAnsi="宋体"/>
                <w:szCs w:val="21"/>
                <w:highlight w:val="none"/>
              </w:rPr>
            </w:pPr>
            <w:r>
              <w:rPr>
                <w:rFonts w:hint="eastAsia" w:ascii="宋体" w:hAnsi="宋体"/>
                <w:szCs w:val="21"/>
                <w:highlight w:val="none"/>
              </w:rPr>
              <w:t>2.按本章评标办法前附表第2.2.2项及第3.2.1（1）目的规定对技术部分进行评审。</w:t>
            </w:r>
          </w:p>
          <w:p w14:paraId="4D8A40BC">
            <w:pPr>
              <w:spacing w:line="400" w:lineRule="exact"/>
              <w:ind w:firstLine="420" w:firstLineChars="200"/>
              <w:rPr>
                <w:rFonts w:ascii="宋体" w:hAnsi="宋体"/>
                <w:szCs w:val="21"/>
                <w:highlight w:val="none"/>
              </w:rPr>
            </w:pPr>
            <w:r>
              <w:rPr>
                <w:rFonts w:hint="eastAsia" w:ascii="宋体" w:hAnsi="宋体"/>
                <w:szCs w:val="21"/>
                <w:highlight w:val="none"/>
              </w:rPr>
              <w:t>3.因评标委员会作否决投标处理导致有效</w:t>
            </w:r>
            <w:r>
              <w:rPr>
                <w:rFonts w:hint="eastAsia" w:ascii="宋体" w:hAnsi="宋体"/>
                <w:szCs w:val="21"/>
                <w:highlight w:val="none"/>
                <w:lang w:eastAsia="zh-CN"/>
              </w:rPr>
              <w:t>竞选人</w:t>
            </w:r>
            <w:r>
              <w:rPr>
                <w:rFonts w:hint="eastAsia" w:ascii="宋体" w:hAnsi="宋体"/>
                <w:szCs w:val="21"/>
                <w:highlight w:val="none"/>
              </w:rPr>
              <w:t>不足三个的，评标委员会应当否决所有投标。但是有效</w:t>
            </w:r>
            <w:r>
              <w:rPr>
                <w:rFonts w:hint="eastAsia" w:ascii="宋体" w:hAnsi="宋体"/>
                <w:szCs w:val="21"/>
                <w:highlight w:val="none"/>
                <w:lang w:eastAsia="zh-CN"/>
              </w:rPr>
              <w:t>竞选人</w:t>
            </w:r>
            <w:r>
              <w:rPr>
                <w:rFonts w:hint="eastAsia" w:ascii="宋体" w:hAnsi="宋体"/>
                <w:szCs w:val="21"/>
                <w:highlight w:val="none"/>
              </w:rPr>
              <w:t>的经济、技术等指标仍然具有市场竞争力，能够满足招标文件要求的，评标委员会可以继续评标并确定中标候选人。</w:t>
            </w:r>
          </w:p>
          <w:p w14:paraId="50C67E1A">
            <w:pPr>
              <w:spacing w:line="400" w:lineRule="exact"/>
              <w:ind w:firstLine="420" w:firstLineChars="200"/>
              <w:rPr>
                <w:rFonts w:ascii="宋体" w:hAnsi="宋体"/>
                <w:szCs w:val="21"/>
                <w:highlight w:val="none"/>
              </w:rPr>
            </w:pPr>
            <w:r>
              <w:rPr>
                <w:rFonts w:hint="eastAsia" w:ascii="宋体" w:hAnsi="宋体"/>
                <w:szCs w:val="21"/>
                <w:highlight w:val="none"/>
              </w:rPr>
              <w:t>4.对初步评审合格的</w:t>
            </w:r>
            <w:r>
              <w:rPr>
                <w:rFonts w:hint="eastAsia" w:ascii="宋体" w:hAnsi="宋体"/>
                <w:szCs w:val="21"/>
                <w:highlight w:val="none"/>
                <w:lang w:eastAsia="zh-CN"/>
              </w:rPr>
              <w:t>竞选人</w:t>
            </w:r>
            <w:r>
              <w:rPr>
                <w:rFonts w:hint="eastAsia" w:ascii="宋体" w:hAnsi="宋体"/>
                <w:szCs w:val="21"/>
                <w:highlight w:val="none"/>
              </w:rPr>
              <w:t>按照本章第2.2.3项计算方法计算评标基准价，并按本附表第3.2.1（2）目规定的评分方法对投标总报价进行评分。</w:t>
            </w:r>
          </w:p>
          <w:p w14:paraId="2AE99F3C">
            <w:pPr>
              <w:spacing w:line="400" w:lineRule="exact"/>
              <w:ind w:firstLine="420" w:firstLineChars="200"/>
              <w:rPr>
                <w:rFonts w:ascii="宋体" w:hAnsi="宋体"/>
                <w:szCs w:val="21"/>
                <w:highlight w:val="none"/>
              </w:rPr>
            </w:pPr>
            <w:r>
              <w:rPr>
                <w:rFonts w:hint="eastAsia" w:ascii="宋体" w:hAnsi="宋体"/>
                <w:szCs w:val="21"/>
                <w:highlight w:val="none"/>
              </w:rPr>
              <w:t>5.对技术部分、投标总报价得分进行汇总，确定得分由高至低前三名</w:t>
            </w:r>
            <w:r>
              <w:rPr>
                <w:rFonts w:hint="eastAsia" w:ascii="宋体" w:hAnsi="宋体"/>
                <w:szCs w:val="21"/>
                <w:highlight w:val="none"/>
                <w:lang w:eastAsia="zh-CN"/>
              </w:rPr>
              <w:t>竞选人</w:t>
            </w:r>
            <w:r>
              <w:rPr>
                <w:rFonts w:hint="eastAsia" w:ascii="宋体" w:hAnsi="宋体"/>
                <w:szCs w:val="21"/>
                <w:highlight w:val="none"/>
              </w:rPr>
              <w:t>为中标候选人。</w:t>
            </w:r>
          </w:p>
        </w:tc>
      </w:tr>
      <w:tr w14:paraId="51E29E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1C6DBEF5">
            <w:pPr>
              <w:spacing w:line="400" w:lineRule="exact"/>
              <w:jc w:val="center"/>
              <w:rPr>
                <w:rFonts w:ascii="宋体" w:hAnsi="宋体"/>
                <w:highlight w:val="none"/>
              </w:rPr>
            </w:pPr>
            <w:r>
              <w:rPr>
                <w:rFonts w:ascii="宋体" w:hAnsi="宋体"/>
                <w:highlight w:val="none"/>
              </w:rPr>
              <w:t>3.2.1</w:t>
            </w:r>
          </w:p>
          <w:p w14:paraId="7C30BD6F">
            <w:pPr>
              <w:spacing w:line="400" w:lineRule="exact"/>
              <w:jc w:val="center"/>
              <w:rPr>
                <w:rFonts w:ascii="宋体" w:hAnsi="宋体"/>
                <w:highlight w:val="none"/>
              </w:rPr>
            </w:pPr>
            <w:r>
              <w:rPr>
                <w:rFonts w:ascii="宋体" w:hAnsi="宋体"/>
                <w:highlight w:val="none"/>
              </w:rPr>
              <w:t>（</w:t>
            </w:r>
            <w:r>
              <w:rPr>
                <w:rFonts w:hint="eastAsia" w:ascii="宋体" w:hAnsi="宋体"/>
                <w:highlight w:val="none"/>
              </w:rPr>
              <w:t>1</w:t>
            </w:r>
            <w:r>
              <w:rPr>
                <w:rFonts w:ascii="宋体" w:hAnsi="宋体"/>
                <w:highlight w:val="none"/>
              </w:rPr>
              <w:t>）</w:t>
            </w:r>
          </w:p>
        </w:tc>
        <w:tc>
          <w:tcPr>
            <w:tcW w:w="1135" w:type="dxa"/>
            <w:gridSpan w:val="2"/>
            <w:vMerge w:val="restart"/>
            <w:vAlign w:val="center"/>
          </w:tcPr>
          <w:p w14:paraId="070BCA08">
            <w:pPr>
              <w:spacing w:line="400" w:lineRule="exact"/>
              <w:jc w:val="center"/>
              <w:rPr>
                <w:rFonts w:ascii="宋体" w:hAnsi="宋体"/>
                <w:highlight w:val="none"/>
              </w:rPr>
            </w:pPr>
            <w:r>
              <w:rPr>
                <w:rFonts w:hint="eastAsia" w:ascii="宋体" w:hAnsi="宋体"/>
                <w:highlight w:val="none"/>
              </w:rPr>
              <w:t>技术部分</w:t>
            </w:r>
            <w:r>
              <w:rPr>
                <w:rFonts w:ascii="宋体" w:hAnsi="宋体"/>
                <w:kern w:val="0"/>
                <w:highlight w:val="none"/>
              </w:rPr>
              <w:t>得分</w:t>
            </w:r>
            <w:r>
              <w:rPr>
                <w:rFonts w:ascii="宋体" w:hAnsi="宋体"/>
                <w:spacing w:val="-4"/>
                <w:highlight w:val="none"/>
              </w:rPr>
              <w:t>（</w:t>
            </w:r>
            <w:r>
              <w:rPr>
                <w:rFonts w:hint="eastAsia" w:ascii="宋体" w:hAnsi="宋体"/>
                <w:spacing w:val="-4"/>
                <w:highlight w:val="none"/>
              </w:rPr>
              <w:t>A）</w:t>
            </w:r>
          </w:p>
        </w:tc>
        <w:tc>
          <w:tcPr>
            <w:tcW w:w="1991" w:type="dxa"/>
            <w:gridSpan w:val="2"/>
            <w:tcBorders>
              <w:bottom w:val="single" w:color="auto" w:sz="4" w:space="0"/>
            </w:tcBorders>
            <w:vAlign w:val="center"/>
          </w:tcPr>
          <w:p w14:paraId="0B330F02">
            <w:pPr>
              <w:spacing w:line="400" w:lineRule="exact"/>
              <w:jc w:val="left"/>
              <w:rPr>
                <w:rFonts w:ascii="宋体" w:hAnsi="宋体"/>
                <w:highlight w:val="none"/>
              </w:rPr>
            </w:pPr>
            <w:r>
              <w:rPr>
                <w:rFonts w:ascii="宋体" w:hAnsi="宋体"/>
                <w:kern w:val="0"/>
                <w:highlight w:val="none"/>
              </w:rPr>
              <w:t>内容完整性和编制水平</w:t>
            </w:r>
          </w:p>
        </w:tc>
        <w:tc>
          <w:tcPr>
            <w:tcW w:w="5493" w:type="dxa"/>
            <w:vMerge w:val="restart"/>
            <w:vAlign w:val="center"/>
          </w:tcPr>
          <w:p w14:paraId="73CDC19E">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不符合第二章投标人须知前附表第3.7.5项要求的，技术方案得0分。</w:t>
            </w:r>
          </w:p>
          <w:p w14:paraId="5E68BA3C">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评标委员会按第2.2.2项各评审因素设定的分值评分。</w:t>
            </w:r>
          </w:p>
          <w:p w14:paraId="5E1CB7F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rPr>
              <w:t>当评标委员会成员为</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人及以上时（含</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人），投标人技术方案得分应在所有评委打分中取算术平均值为该投标人技术方案得分</w:t>
            </w:r>
            <w:r>
              <w:rPr>
                <w:rFonts w:hint="eastAsia" w:ascii="宋体" w:hAnsi="宋体" w:cs="宋体"/>
                <w:snapToGrid w:val="0"/>
                <w:color w:val="auto"/>
                <w:kern w:val="0"/>
                <w:sz w:val="21"/>
                <w:szCs w:val="21"/>
                <w:highlight w:val="none"/>
                <w:lang w:eastAsia="zh-CN"/>
              </w:rPr>
              <w:t>。</w:t>
            </w:r>
          </w:p>
          <w:p w14:paraId="56B69D15">
            <w:pPr>
              <w:spacing w:line="400" w:lineRule="exact"/>
              <w:ind w:firstLine="420" w:firstLineChars="200"/>
              <w:rPr>
                <w:rFonts w:ascii="宋体" w:hAnsi="宋体"/>
                <w:kern w:val="0"/>
                <w:szCs w:val="21"/>
                <w:highlight w:val="none"/>
              </w:rPr>
            </w:pPr>
            <w:r>
              <w:rPr>
                <w:rFonts w:hint="eastAsia" w:ascii="宋体" w:hAnsi="宋体" w:eastAsia="宋体" w:cs="宋体"/>
                <w:color w:val="auto"/>
                <w:sz w:val="21"/>
                <w:szCs w:val="21"/>
                <w:highlight w:val="none"/>
              </w:rPr>
              <w:t>技术方案得分的最终结果取小数点后两位，第三位四舍五入。</w:t>
            </w:r>
          </w:p>
        </w:tc>
      </w:tr>
      <w:tr w14:paraId="395532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2CB7762B">
            <w:pPr>
              <w:spacing w:line="400" w:lineRule="exact"/>
              <w:jc w:val="center"/>
              <w:rPr>
                <w:rFonts w:ascii="宋体" w:hAnsi="宋体"/>
                <w:highlight w:val="none"/>
              </w:rPr>
            </w:pPr>
          </w:p>
        </w:tc>
        <w:tc>
          <w:tcPr>
            <w:tcW w:w="1135" w:type="dxa"/>
            <w:gridSpan w:val="2"/>
            <w:vMerge w:val="continue"/>
            <w:vAlign w:val="center"/>
          </w:tcPr>
          <w:p w14:paraId="20732F1D">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627BF4F0">
            <w:pPr>
              <w:spacing w:line="400" w:lineRule="exact"/>
              <w:jc w:val="left"/>
              <w:rPr>
                <w:rFonts w:ascii="宋体" w:hAnsi="宋体"/>
                <w:highlight w:val="none"/>
              </w:rPr>
            </w:pPr>
            <w:r>
              <w:rPr>
                <w:rFonts w:ascii="宋体" w:hAnsi="宋体"/>
                <w:kern w:val="0"/>
                <w:highlight w:val="none"/>
              </w:rPr>
              <w:t>施工方案与技术措施</w:t>
            </w:r>
          </w:p>
        </w:tc>
        <w:tc>
          <w:tcPr>
            <w:tcW w:w="5493" w:type="dxa"/>
            <w:vMerge w:val="continue"/>
            <w:vAlign w:val="center"/>
          </w:tcPr>
          <w:p w14:paraId="180B2825">
            <w:pPr>
              <w:autoSpaceDE w:val="0"/>
              <w:autoSpaceDN w:val="0"/>
              <w:adjustRightInd w:val="0"/>
              <w:snapToGrid w:val="0"/>
              <w:spacing w:line="400" w:lineRule="exact"/>
              <w:ind w:firstLine="420" w:firstLineChars="200"/>
              <w:rPr>
                <w:rFonts w:ascii="宋体" w:hAnsi="宋体"/>
                <w:szCs w:val="21"/>
                <w:highlight w:val="none"/>
              </w:rPr>
            </w:pPr>
          </w:p>
        </w:tc>
      </w:tr>
      <w:tr w14:paraId="45DA2F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78144167">
            <w:pPr>
              <w:spacing w:line="400" w:lineRule="exact"/>
              <w:jc w:val="center"/>
              <w:rPr>
                <w:rFonts w:ascii="宋体" w:hAnsi="宋体"/>
                <w:highlight w:val="none"/>
              </w:rPr>
            </w:pPr>
          </w:p>
        </w:tc>
        <w:tc>
          <w:tcPr>
            <w:tcW w:w="1135" w:type="dxa"/>
            <w:gridSpan w:val="2"/>
            <w:vMerge w:val="continue"/>
            <w:vAlign w:val="center"/>
          </w:tcPr>
          <w:p w14:paraId="4775B94F">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78CBD330">
            <w:pPr>
              <w:spacing w:line="400" w:lineRule="exact"/>
              <w:jc w:val="left"/>
              <w:rPr>
                <w:rFonts w:ascii="宋体" w:hAnsi="宋体"/>
                <w:highlight w:val="none"/>
              </w:rPr>
            </w:pPr>
            <w:r>
              <w:rPr>
                <w:rFonts w:ascii="宋体" w:hAnsi="宋体"/>
                <w:kern w:val="0"/>
                <w:highlight w:val="none"/>
              </w:rPr>
              <w:t>质量管理体系与措施</w:t>
            </w:r>
          </w:p>
        </w:tc>
        <w:tc>
          <w:tcPr>
            <w:tcW w:w="5493" w:type="dxa"/>
            <w:vMerge w:val="continue"/>
            <w:vAlign w:val="center"/>
          </w:tcPr>
          <w:p w14:paraId="5D62383F">
            <w:pPr>
              <w:autoSpaceDE w:val="0"/>
              <w:autoSpaceDN w:val="0"/>
              <w:adjustRightInd w:val="0"/>
              <w:snapToGrid w:val="0"/>
              <w:spacing w:line="400" w:lineRule="exact"/>
              <w:ind w:firstLine="420" w:firstLineChars="200"/>
              <w:rPr>
                <w:rFonts w:ascii="宋体" w:hAnsi="宋体"/>
                <w:szCs w:val="21"/>
                <w:highlight w:val="none"/>
              </w:rPr>
            </w:pPr>
          </w:p>
        </w:tc>
      </w:tr>
      <w:tr w14:paraId="21244B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45A4A987">
            <w:pPr>
              <w:spacing w:line="400" w:lineRule="exact"/>
              <w:jc w:val="center"/>
              <w:rPr>
                <w:rFonts w:ascii="宋体" w:hAnsi="宋体"/>
                <w:highlight w:val="none"/>
              </w:rPr>
            </w:pPr>
          </w:p>
        </w:tc>
        <w:tc>
          <w:tcPr>
            <w:tcW w:w="1135" w:type="dxa"/>
            <w:gridSpan w:val="2"/>
            <w:vMerge w:val="continue"/>
            <w:vAlign w:val="center"/>
          </w:tcPr>
          <w:p w14:paraId="6B93B10B">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2BE1D10B">
            <w:pPr>
              <w:spacing w:line="400" w:lineRule="exact"/>
              <w:jc w:val="left"/>
              <w:rPr>
                <w:rFonts w:ascii="宋体" w:hAnsi="宋体"/>
                <w:highlight w:val="none"/>
              </w:rPr>
            </w:pPr>
            <w:r>
              <w:rPr>
                <w:rFonts w:ascii="宋体" w:hAnsi="宋体"/>
                <w:kern w:val="0"/>
                <w:highlight w:val="none"/>
              </w:rPr>
              <w:t>安全管理体系与措施</w:t>
            </w:r>
          </w:p>
        </w:tc>
        <w:tc>
          <w:tcPr>
            <w:tcW w:w="5493" w:type="dxa"/>
            <w:vMerge w:val="continue"/>
            <w:vAlign w:val="center"/>
          </w:tcPr>
          <w:p w14:paraId="70910F08">
            <w:pPr>
              <w:autoSpaceDE w:val="0"/>
              <w:autoSpaceDN w:val="0"/>
              <w:adjustRightInd w:val="0"/>
              <w:snapToGrid w:val="0"/>
              <w:spacing w:line="400" w:lineRule="exact"/>
              <w:ind w:firstLine="420" w:firstLineChars="200"/>
              <w:rPr>
                <w:rFonts w:ascii="宋体" w:hAnsi="宋体"/>
                <w:szCs w:val="21"/>
                <w:highlight w:val="none"/>
              </w:rPr>
            </w:pPr>
          </w:p>
        </w:tc>
      </w:tr>
      <w:tr w14:paraId="055026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05925163">
            <w:pPr>
              <w:spacing w:line="400" w:lineRule="exact"/>
              <w:jc w:val="center"/>
              <w:rPr>
                <w:rFonts w:ascii="宋体" w:hAnsi="宋体"/>
                <w:highlight w:val="none"/>
              </w:rPr>
            </w:pPr>
          </w:p>
        </w:tc>
        <w:tc>
          <w:tcPr>
            <w:tcW w:w="1135" w:type="dxa"/>
            <w:gridSpan w:val="2"/>
            <w:vMerge w:val="continue"/>
            <w:vAlign w:val="center"/>
          </w:tcPr>
          <w:p w14:paraId="027A3882">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3F8E48C4">
            <w:pPr>
              <w:spacing w:line="400" w:lineRule="exact"/>
              <w:jc w:val="left"/>
              <w:rPr>
                <w:rFonts w:ascii="宋体" w:hAnsi="宋体"/>
                <w:highlight w:val="none"/>
              </w:rPr>
            </w:pPr>
            <w:r>
              <w:rPr>
                <w:rFonts w:ascii="宋体" w:hAnsi="宋体"/>
                <w:kern w:val="0"/>
                <w:highlight w:val="none"/>
              </w:rPr>
              <w:t>环境保护管理体系措施</w:t>
            </w:r>
          </w:p>
        </w:tc>
        <w:tc>
          <w:tcPr>
            <w:tcW w:w="5493" w:type="dxa"/>
            <w:vMerge w:val="continue"/>
            <w:vAlign w:val="center"/>
          </w:tcPr>
          <w:p w14:paraId="6B8CD173">
            <w:pPr>
              <w:autoSpaceDE w:val="0"/>
              <w:autoSpaceDN w:val="0"/>
              <w:adjustRightInd w:val="0"/>
              <w:snapToGrid w:val="0"/>
              <w:spacing w:line="400" w:lineRule="exact"/>
              <w:ind w:firstLine="420" w:firstLineChars="200"/>
              <w:rPr>
                <w:rFonts w:ascii="宋体" w:hAnsi="宋体"/>
                <w:szCs w:val="21"/>
                <w:highlight w:val="none"/>
              </w:rPr>
            </w:pPr>
          </w:p>
        </w:tc>
      </w:tr>
      <w:tr w14:paraId="75793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CB03C5D">
            <w:pPr>
              <w:spacing w:line="400" w:lineRule="exact"/>
              <w:jc w:val="center"/>
              <w:rPr>
                <w:rFonts w:ascii="宋体" w:hAnsi="宋体"/>
                <w:highlight w:val="none"/>
              </w:rPr>
            </w:pPr>
          </w:p>
        </w:tc>
        <w:tc>
          <w:tcPr>
            <w:tcW w:w="1135" w:type="dxa"/>
            <w:gridSpan w:val="2"/>
            <w:vMerge w:val="continue"/>
            <w:vAlign w:val="center"/>
          </w:tcPr>
          <w:p w14:paraId="154F2433">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6CF196E5">
            <w:pPr>
              <w:spacing w:line="400" w:lineRule="exact"/>
              <w:jc w:val="left"/>
              <w:rPr>
                <w:rFonts w:ascii="宋体" w:hAnsi="宋体"/>
                <w:highlight w:val="none"/>
              </w:rPr>
            </w:pPr>
            <w:r>
              <w:rPr>
                <w:rFonts w:ascii="宋体" w:hAnsi="宋体"/>
                <w:kern w:val="0"/>
                <w:highlight w:val="none"/>
              </w:rPr>
              <w:t>工程进度计划与措施</w:t>
            </w:r>
          </w:p>
        </w:tc>
        <w:tc>
          <w:tcPr>
            <w:tcW w:w="5493" w:type="dxa"/>
            <w:vMerge w:val="continue"/>
            <w:vAlign w:val="center"/>
          </w:tcPr>
          <w:p w14:paraId="498C034A">
            <w:pPr>
              <w:autoSpaceDE w:val="0"/>
              <w:autoSpaceDN w:val="0"/>
              <w:adjustRightInd w:val="0"/>
              <w:snapToGrid w:val="0"/>
              <w:spacing w:line="400" w:lineRule="exact"/>
              <w:ind w:firstLine="420" w:firstLineChars="200"/>
              <w:rPr>
                <w:rFonts w:ascii="宋体" w:hAnsi="宋体"/>
                <w:szCs w:val="21"/>
                <w:highlight w:val="none"/>
              </w:rPr>
            </w:pPr>
          </w:p>
        </w:tc>
      </w:tr>
      <w:tr w14:paraId="09D07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21F24169">
            <w:pPr>
              <w:spacing w:line="400" w:lineRule="exact"/>
              <w:jc w:val="center"/>
              <w:rPr>
                <w:rFonts w:ascii="宋体" w:hAnsi="宋体"/>
                <w:highlight w:val="none"/>
              </w:rPr>
            </w:pPr>
          </w:p>
        </w:tc>
        <w:tc>
          <w:tcPr>
            <w:tcW w:w="1135" w:type="dxa"/>
            <w:gridSpan w:val="2"/>
            <w:vMerge w:val="continue"/>
            <w:vAlign w:val="center"/>
          </w:tcPr>
          <w:p w14:paraId="33243D44">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14:paraId="1F6C59EA">
            <w:pPr>
              <w:spacing w:line="400" w:lineRule="exact"/>
              <w:jc w:val="left"/>
              <w:rPr>
                <w:rFonts w:ascii="宋体" w:hAnsi="宋体"/>
                <w:highlight w:val="none"/>
              </w:rPr>
            </w:pPr>
            <w:r>
              <w:rPr>
                <w:rFonts w:ascii="宋体" w:hAnsi="宋体"/>
                <w:kern w:val="0"/>
                <w:highlight w:val="none"/>
              </w:rPr>
              <w:t>资源配备计划与先进性</w:t>
            </w:r>
          </w:p>
        </w:tc>
        <w:tc>
          <w:tcPr>
            <w:tcW w:w="5493" w:type="dxa"/>
            <w:vMerge w:val="continue"/>
            <w:vAlign w:val="center"/>
          </w:tcPr>
          <w:p w14:paraId="2D9F606F">
            <w:pPr>
              <w:autoSpaceDE w:val="0"/>
              <w:autoSpaceDN w:val="0"/>
              <w:adjustRightInd w:val="0"/>
              <w:snapToGrid w:val="0"/>
              <w:spacing w:line="400" w:lineRule="exact"/>
              <w:ind w:firstLine="420" w:firstLineChars="200"/>
              <w:rPr>
                <w:rFonts w:ascii="宋体" w:hAnsi="宋体"/>
                <w:szCs w:val="21"/>
                <w:highlight w:val="none"/>
              </w:rPr>
            </w:pPr>
          </w:p>
        </w:tc>
      </w:tr>
      <w:tr w14:paraId="5B38F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5F72D643">
            <w:pPr>
              <w:spacing w:line="400" w:lineRule="exact"/>
              <w:jc w:val="center"/>
              <w:rPr>
                <w:rFonts w:ascii="宋体" w:hAnsi="宋体"/>
                <w:highlight w:val="none"/>
              </w:rPr>
            </w:pPr>
            <w:r>
              <w:rPr>
                <w:rFonts w:ascii="宋体" w:hAnsi="宋体"/>
                <w:highlight w:val="none"/>
              </w:rPr>
              <w:t>3.2.1（</w:t>
            </w:r>
            <w:r>
              <w:rPr>
                <w:rFonts w:hint="eastAsia" w:ascii="宋体" w:hAnsi="宋体"/>
                <w:highlight w:val="none"/>
              </w:rPr>
              <w:t>2</w:t>
            </w:r>
            <w:r>
              <w:rPr>
                <w:rFonts w:ascii="宋体" w:hAnsi="宋体"/>
                <w:highlight w:val="none"/>
              </w:rPr>
              <w:t>）</w:t>
            </w:r>
          </w:p>
        </w:tc>
        <w:tc>
          <w:tcPr>
            <w:tcW w:w="1135" w:type="dxa"/>
            <w:gridSpan w:val="2"/>
            <w:vAlign w:val="center"/>
          </w:tcPr>
          <w:p w14:paraId="5852EF02">
            <w:pPr>
              <w:spacing w:line="400" w:lineRule="exact"/>
              <w:jc w:val="center"/>
              <w:rPr>
                <w:rFonts w:ascii="宋体" w:hAnsi="宋体"/>
                <w:highlight w:val="none"/>
              </w:rPr>
            </w:pPr>
            <w:r>
              <w:rPr>
                <w:rFonts w:ascii="宋体" w:hAnsi="宋体"/>
                <w:highlight w:val="none"/>
              </w:rPr>
              <w:t>投标报价</w:t>
            </w:r>
            <w:r>
              <w:rPr>
                <w:rFonts w:ascii="宋体" w:hAnsi="宋体"/>
                <w:kern w:val="0"/>
                <w:highlight w:val="none"/>
              </w:rPr>
              <w:t>得分</w:t>
            </w:r>
            <w:r>
              <w:rPr>
                <w:rFonts w:ascii="宋体" w:hAnsi="宋体"/>
                <w:spacing w:val="-8"/>
                <w:highlight w:val="none"/>
              </w:rPr>
              <w:t>（</w:t>
            </w:r>
            <w:r>
              <w:rPr>
                <w:rFonts w:hint="eastAsia" w:ascii="宋体" w:hAnsi="宋体"/>
                <w:spacing w:val="-8"/>
                <w:highlight w:val="none"/>
              </w:rPr>
              <w:t>B</w:t>
            </w:r>
            <w:r>
              <w:rPr>
                <w:rFonts w:ascii="宋体" w:hAnsi="宋体"/>
                <w:spacing w:val="-8"/>
                <w:highlight w:val="none"/>
              </w:rPr>
              <w:t>）</w:t>
            </w:r>
          </w:p>
        </w:tc>
        <w:tc>
          <w:tcPr>
            <w:tcW w:w="1991" w:type="dxa"/>
            <w:gridSpan w:val="2"/>
            <w:tcBorders>
              <w:top w:val="single" w:color="auto" w:sz="4" w:space="0"/>
            </w:tcBorders>
            <w:vAlign w:val="center"/>
          </w:tcPr>
          <w:p w14:paraId="5C0C5D4A">
            <w:pPr>
              <w:spacing w:line="400" w:lineRule="exact"/>
              <w:jc w:val="center"/>
              <w:rPr>
                <w:rFonts w:ascii="宋体" w:hAnsi="宋体"/>
                <w:highlight w:val="none"/>
              </w:rPr>
            </w:pPr>
            <w:r>
              <w:rPr>
                <w:rFonts w:ascii="宋体" w:hAnsi="宋体"/>
                <w:highlight w:val="none"/>
              </w:rPr>
              <w:t>投标总报价</w:t>
            </w:r>
          </w:p>
        </w:tc>
        <w:tc>
          <w:tcPr>
            <w:tcW w:w="5493" w:type="dxa"/>
            <w:vAlign w:val="center"/>
          </w:tcPr>
          <w:p w14:paraId="2151E275">
            <w:pPr>
              <w:spacing w:line="400" w:lineRule="exact"/>
              <w:ind w:firstLine="420" w:firstLineChars="200"/>
              <w:rPr>
                <w:rFonts w:ascii="宋体" w:hAnsi="宋体"/>
                <w:szCs w:val="21"/>
              </w:rPr>
            </w:pPr>
            <w:r>
              <w:rPr>
                <w:rFonts w:hint="eastAsia" w:ascii="宋体" w:hAnsi="宋体" w:cs="宋体"/>
                <w:color w:val="auto"/>
                <w:kern w:val="0"/>
                <w:szCs w:val="21"/>
                <w:highlight w:val="none"/>
              </w:rPr>
              <w:t>竞选人</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报价与评标基准价相比，等于评标基准价，得</w:t>
            </w:r>
            <w:r>
              <w:rPr>
                <w:rFonts w:ascii="宋体" w:hAnsi="宋体"/>
                <w:bCs/>
                <w:szCs w:val="28"/>
              </w:rPr>
              <w:t>满分</w:t>
            </w:r>
            <w:r>
              <w:rPr>
                <w:rFonts w:ascii="宋体" w:hAnsi="宋体"/>
                <w:bCs/>
                <w:szCs w:val="28"/>
                <w:u w:val="single"/>
              </w:rPr>
              <w:t xml:space="preserve">  </w:t>
            </w:r>
            <w:r>
              <w:rPr>
                <w:rFonts w:hint="eastAsia" w:ascii="宋体" w:hAnsi="宋体"/>
                <w:bCs/>
                <w:szCs w:val="28"/>
                <w:u w:val="single"/>
                <w:lang w:val="en-US" w:eastAsia="zh-CN"/>
              </w:rPr>
              <w:t>70</w:t>
            </w:r>
            <w:r>
              <w:rPr>
                <w:rFonts w:ascii="宋体" w:hAnsi="宋体"/>
                <w:bCs/>
                <w:szCs w:val="28"/>
                <w:u w:val="single"/>
              </w:rPr>
              <w:t xml:space="preserve">   </w:t>
            </w:r>
            <w:r>
              <w:rPr>
                <w:rFonts w:ascii="宋体" w:hAnsi="宋体"/>
                <w:szCs w:val="21"/>
              </w:rPr>
              <w:t>分。在此基础上，投标总报价与评标基准价相比，每增加1%扣</w:t>
            </w:r>
            <w:r>
              <w:rPr>
                <w:rFonts w:hint="eastAsia" w:ascii="宋体" w:hAnsi="宋体"/>
                <w:szCs w:val="21"/>
                <w:u w:val="single"/>
                <w:lang w:val="en-US" w:eastAsia="zh-CN"/>
              </w:rPr>
              <w:t xml:space="preserve"> 1 </w:t>
            </w:r>
            <w:r>
              <w:rPr>
                <w:rFonts w:ascii="宋体" w:hAnsi="宋体"/>
                <w:szCs w:val="21"/>
              </w:rPr>
              <w:t>分，</w:t>
            </w:r>
            <w:r>
              <w:rPr>
                <w:rFonts w:hint="eastAsia" w:ascii="宋体" w:hAnsi="宋体"/>
                <w:szCs w:val="21"/>
                <w:lang w:val="en-US" w:eastAsia="zh-CN"/>
              </w:rPr>
              <w:t>每减少1%扣</w:t>
            </w:r>
            <w:r>
              <w:rPr>
                <w:rFonts w:hint="eastAsia" w:ascii="宋体" w:hAnsi="宋体"/>
                <w:szCs w:val="21"/>
                <w:u w:val="single"/>
                <w:lang w:val="en-US" w:eastAsia="zh-CN"/>
              </w:rPr>
              <w:t xml:space="preserve"> 0.5 </w:t>
            </w:r>
            <w:r>
              <w:rPr>
                <w:rFonts w:hint="eastAsia" w:ascii="宋体" w:hAnsi="宋体"/>
                <w:szCs w:val="21"/>
                <w:lang w:val="en-US" w:eastAsia="zh-CN"/>
              </w:rPr>
              <w:t>分</w:t>
            </w:r>
            <w:r>
              <w:rPr>
                <w:rFonts w:ascii="宋体" w:hAnsi="宋体"/>
                <w:szCs w:val="21"/>
              </w:rPr>
              <w:t>扣完为止。</w:t>
            </w:r>
          </w:p>
          <w:p w14:paraId="73F7EF80">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投标总报价得分最终结果</w:t>
            </w:r>
            <w:r>
              <w:rPr>
                <w:rFonts w:ascii="宋体" w:hAnsi="宋体"/>
                <w:kern w:val="0"/>
                <w:szCs w:val="21"/>
                <w:highlight w:val="none"/>
              </w:rPr>
              <w:t>取小数点后两位，第三位四舍五入。</w:t>
            </w:r>
          </w:p>
        </w:tc>
      </w:tr>
      <w:tr w14:paraId="7F38C4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299EECC3">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1991" w:type="dxa"/>
            <w:gridSpan w:val="2"/>
            <w:vAlign w:val="center"/>
          </w:tcPr>
          <w:p w14:paraId="4144B2C0">
            <w:pPr>
              <w:spacing w:line="400" w:lineRule="exact"/>
              <w:ind w:firstLine="18" w:firstLineChars="9"/>
              <w:jc w:val="center"/>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得分</w:t>
            </w:r>
          </w:p>
        </w:tc>
        <w:tc>
          <w:tcPr>
            <w:tcW w:w="5493" w:type="dxa"/>
            <w:vAlign w:val="center"/>
          </w:tcPr>
          <w:p w14:paraId="4AA4C7C9">
            <w:pPr>
              <w:spacing w:line="400" w:lineRule="exact"/>
              <w:jc w:val="center"/>
              <w:rPr>
                <w:rFonts w:ascii="宋体" w:hAnsi="宋体"/>
                <w:szCs w:val="21"/>
                <w:highlight w:val="none"/>
                <w:u w:val="single"/>
              </w:rPr>
            </w:pPr>
            <w:r>
              <w:rPr>
                <w:rFonts w:hint="eastAsia" w:ascii="宋体" w:hAnsi="宋体"/>
                <w:szCs w:val="21"/>
                <w:highlight w:val="none"/>
                <w:u w:val="single"/>
                <w:lang w:eastAsia="zh-CN"/>
              </w:rPr>
              <w:t>竞选人</w:t>
            </w:r>
            <w:r>
              <w:rPr>
                <w:rFonts w:ascii="宋体" w:hAnsi="宋体"/>
                <w:szCs w:val="21"/>
                <w:highlight w:val="none"/>
                <w:u w:val="single"/>
              </w:rPr>
              <w:t>得分=A+B</w:t>
            </w:r>
          </w:p>
        </w:tc>
      </w:tr>
    </w:tbl>
    <w:p w14:paraId="1C692AF6">
      <w:pPr>
        <w:pStyle w:val="4"/>
        <w:spacing w:before="0" w:after="0" w:line="360" w:lineRule="auto"/>
        <w:outlineLvl w:val="9"/>
        <w:rPr>
          <w:rFonts w:ascii="宋体" w:hAnsi="宋体"/>
          <w:b w:val="0"/>
          <w:snapToGrid w:val="0"/>
          <w:highlight w:val="none"/>
        </w:rPr>
      </w:pPr>
    </w:p>
    <w:p w14:paraId="6FFAD545">
      <w:pPr>
        <w:pStyle w:val="4"/>
        <w:spacing w:before="0" w:after="0" w:line="360" w:lineRule="auto"/>
        <w:rPr>
          <w:rFonts w:ascii="宋体" w:hAnsi="宋体"/>
          <w:b w:val="0"/>
          <w:snapToGrid w:val="0"/>
          <w:highlight w:val="none"/>
        </w:rPr>
      </w:pPr>
      <w:r>
        <w:rPr>
          <w:rFonts w:ascii="宋体" w:hAnsi="宋体"/>
          <w:b w:val="0"/>
          <w:snapToGrid w:val="0"/>
          <w:highlight w:val="none"/>
        </w:rPr>
        <w:br w:type="page"/>
      </w:r>
      <w:bookmarkStart w:id="314" w:name="_Toc23094"/>
      <w:bookmarkStart w:id="315" w:name="_Toc2957"/>
      <w:r>
        <w:rPr>
          <w:rFonts w:ascii="宋体" w:hAnsi="宋体"/>
          <w:b w:val="0"/>
          <w:snapToGrid w:val="0"/>
          <w:highlight w:val="none"/>
        </w:rPr>
        <w:t>1.  评标方法</w:t>
      </w:r>
      <w:bookmarkEnd w:id="294"/>
      <w:bookmarkEnd w:id="295"/>
      <w:bookmarkEnd w:id="296"/>
      <w:bookmarkEnd w:id="297"/>
      <w:bookmarkEnd w:id="298"/>
      <w:bookmarkEnd w:id="299"/>
      <w:bookmarkEnd w:id="313"/>
      <w:bookmarkEnd w:id="314"/>
      <w:bookmarkEnd w:id="315"/>
    </w:p>
    <w:p w14:paraId="790959D1">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20"/>
          <w:kern w:val="0"/>
          <w:szCs w:val="21"/>
          <w:highlight w:val="none"/>
        </w:rPr>
        <w:t>，</w:t>
      </w:r>
      <w:r>
        <w:rPr>
          <w:rFonts w:ascii="宋体" w:hAnsi="宋体"/>
          <w:kern w:val="0"/>
          <w:szCs w:val="21"/>
          <w:highlight w:val="none"/>
        </w:rPr>
        <w:t>或根据</w:t>
      </w:r>
      <w:r>
        <w:rPr>
          <w:rFonts w:hint="eastAsia" w:ascii="宋体" w:hAnsi="宋体"/>
          <w:kern w:val="0"/>
          <w:szCs w:val="21"/>
          <w:highlight w:val="none"/>
          <w:lang w:eastAsia="zh-CN"/>
        </w:rPr>
        <w:t>比选人</w:t>
      </w:r>
      <w:r>
        <w:rPr>
          <w:rFonts w:ascii="宋体" w:hAnsi="宋体"/>
          <w:kern w:val="0"/>
          <w:szCs w:val="21"/>
          <w:highlight w:val="none"/>
        </w:rPr>
        <w:t>授权直接确定中标人</w:t>
      </w:r>
      <w:r>
        <w:rPr>
          <w:rFonts w:hint="eastAsia" w:ascii="宋体" w:hAnsi="宋体"/>
          <w:kern w:val="0"/>
          <w:szCs w:val="21"/>
          <w:highlight w:val="none"/>
        </w:rPr>
        <w:t>，若出现</w:t>
      </w:r>
      <w:r>
        <w:rPr>
          <w:rFonts w:hint="eastAsia" w:ascii="宋体" w:hAnsi="宋体"/>
          <w:kern w:val="0"/>
          <w:szCs w:val="21"/>
          <w:highlight w:val="none"/>
          <w:lang w:eastAsia="zh-CN"/>
        </w:rPr>
        <w:t>竞选人</w:t>
      </w:r>
      <w:r>
        <w:rPr>
          <w:rFonts w:hint="eastAsia" w:ascii="宋体" w:hAnsi="宋体"/>
          <w:kern w:val="0"/>
          <w:szCs w:val="21"/>
          <w:highlight w:val="none"/>
        </w:rPr>
        <w:t>投标报价相同的，以评标办法前附表约定的原则确定排序</w:t>
      </w:r>
      <w:r>
        <w:rPr>
          <w:rFonts w:ascii="宋体" w:hAnsi="宋体"/>
          <w:spacing w:val="-31"/>
          <w:kern w:val="0"/>
          <w:szCs w:val="21"/>
          <w:highlight w:val="none"/>
        </w:rPr>
        <w:t>。</w:t>
      </w:r>
    </w:p>
    <w:p w14:paraId="5B2BF772">
      <w:pPr>
        <w:pStyle w:val="4"/>
        <w:spacing w:before="0" w:after="0" w:line="360" w:lineRule="auto"/>
        <w:rPr>
          <w:rFonts w:ascii="宋体" w:hAnsi="宋体"/>
          <w:b w:val="0"/>
          <w:snapToGrid w:val="0"/>
          <w:highlight w:val="none"/>
        </w:rPr>
      </w:pPr>
      <w:bookmarkStart w:id="316" w:name="_Toc277082619"/>
      <w:bookmarkStart w:id="317" w:name="_Toc224103385"/>
      <w:bookmarkStart w:id="318" w:name="_Toc509218777"/>
      <w:bookmarkStart w:id="319" w:name="_Toc200513199"/>
      <w:bookmarkStart w:id="320" w:name="_Toc430530501"/>
      <w:bookmarkStart w:id="321" w:name="_Toc287607813"/>
      <w:bookmarkStart w:id="322" w:name="_Toc287620752"/>
      <w:bookmarkStart w:id="323" w:name="_Toc12057"/>
      <w:bookmarkStart w:id="324" w:name="_Toc28040"/>
      <w:r>
        <w:rPr>
          <w:rFonts w:ascii="宋体" w:hAnsi="宋体"/>
          <w:b w:val="0"/>
          <w:snapToGrid w:val="0"/>
          <w:highlight w:val="none"/>
        </w:rPr>
        <w:t>2.  评审标准</w:t>
      </w:r>
      <w:bookmarkEnd w:id="316"/>
      <w:bookmarkEnd w:id="317"/>
      <w:bookmarkEnd w:id="318"/>
      <w:bookmarkEnd w:id="319"/>
      <w:bookmarkEnd w:id="320"/>
      <w:bookmarkEnd w:id="321"/>
      <w:bookmarkEnd w:id="322"/>
      <w:bookmarkEnd w:id="323"/>
      <w:bookmarkEnd w:id="324"/>
    </w:p>
    <w:p w14:paraId="38747EBF">
      <w:pPr>
        <w:pStyle w:val="5"/>
        <w:snapToGrid w:val="0"/>
        <w:spacing w:before="0" w:after="0" w:line="360" w:lineRule="auto"/>
        <w:rPr>
          <w:rFonts w:ascii="宋体" w:hAnsi="宋体"/>
          <w:b w:val="0"/>
          <w:snapToGrid w:val="0"/>
          <w:sz w:val="24"/>
          <w:szCs w:val="24"/>
          <w:highlight w:val="none"/>
        </w:rPr>
      </w:pPr>
      <w:bookmarkStart w:id="325" w:name="_Toc277082620"/>
      <w:bookmarkStart w:id="326" w:name="_Toc20474"/>
      <w:bookmarkStart w:id="327" w:name="_Toc509218778"/>
      <w:bookmarkStart w:id="328" w:name="_Toc430530502"/>
      <w:bookmarkStart w:id="329" w:name="_Toc200513200"/>
      <w:bookmarkStart w:id="330" w:name="_Toc2588"/>
      <w:bookmarkStart w:id="331" w:name="_Toc287607814"/>
      <w:bookmarkStart w:id="332" w:name="_Toc224103386"/>
      <w:bookmarkStart w:id="333" w:name="_Toc287620753"/>
      <w:r>
        <w:rPr>
          <w:rFonts w:ascii="宋体" w:hAnsi="宋体"/>
          <w:b w:val="0"/>
          <w:snapToGrid w:val="0"/>
          <w:sz w:val="24"/>
          <w:szCs w:val="24"/>
          <w:highlight w:val="none"/>
        </w:rPr>
        <w:t>2.1  初步评审标准</w:t>
      </w:r>
      <w:bookmarkEnd w:id="325"/>
      <w:bookmarkEnd w:id="326"/>
      <w:bookmarkEnd w:id="327"/>
      <w:bookmarkEnd w:id="328"/>
      <w:bookmarkEnd w:id="329"/>
      <w:bookmarkEnd w:id="330"/>
      <w:bookmarkEnd w:id="331"/>
      <w:bookmarkEnd w:id="332"/>
      <w:bookmarkEnd w:id="333"/>
    </w:p>
    <w:p w14:paraId="35B0D5A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1A</w:t>
      </w:r>
      <w:r>
        <w:rPr>
          <w:rFonts w:ascii="宋体" w:hAnsi="宋体"/>
          <w:kern w:val="0"/>
          <w:szCs w:val="21"/>
          <w:highlight w:val="none"/>
        </w:rPr>
        <w:t xml:space="preserve">  资格评审标准：见评标办法前附表（适用于未进行资格预审的）。</w:t>
      </w:r>
    </w:p>
    <w:p w14:paraId="30CCE37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1B</w:t>
      </w:r>
      <w:r>
        <w:rPr>
          <w:rFonts w:ascii="宋体" w:hAnsi="宋体"/>
          <w:kern w:val="0"/>
          <w:szCs w:val="21"/>
          <w:highlight w:val="none"/>
        </w:rPr>
        <w:t xml:space="preserve">  资格评审标准：见资格预审文件第三章“资格审查办法”详细审查标准（适用于已进行资格预审的）。</w:t>
      </w:r>
    </w:p>
    <w:p w14:paraId="51EBAEE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2</w:t>
      </w:r>
      <w:r>
        <w:rPr>
          <w:rFonts w:ascii="宋体" w:hAnsi="宋体"/>
          <w:kern w:val="0"/>
          <w:szCs w:val="21"/>
          <w:highlight w:val="none"/>
        </w:rPr>
        <w:t xml:space="preserve">  形式评审标准：见评标办法前附表。</w:t>
      </w:r>
    </w:p>
    <w:p w14:paraId="46B509B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2.1.3  响应性评审标准：见评标办法前附表。</w:t>
      </w:r>
    </w:p>
    <w:p w14:paraId="3B80C512">
      <w:pPr>
        <w:pStyle w:val="5"/>
        <w:snapToGrid w:val="0"/>
        <w:spacing w:before="0" w:after="0" w:line="360" w:lineRule="auto"/>
        <w:rPr>
          <w:rFonts w:ascii="宋体" w:hAnsi="宋体"/>
          <w:b w:val="0"/>
          <w:snapToGrid w:val="0"/>
          <w:sz w:val="24"/>
          <w:szCs w:val="24"/>
          <w:highlight w:val="none"/>
        </w:rPr>
      </w:pPr>
      <w:bookmarkStart w:id="334" w:name="_Toc287607815"/>
      <w:bookmarkStart w:id="335" w:name="_Toc277082621"/>
      <w:bookmarkStart w:id="336" w:name="_Toc23340"/>
      <w:bookmarkStart w:id="337" w:name="_Toc200513201"/>
      <w:bookmarkStart w:id="338" w:name="_Toc224103387"/>
      <w:bookmarkStart w:id="339" w:name="_Toc17923"/>
      <w:bookmarkStart w:id="340" w:name="_Toc430530503"/>
      <w:bookmarkStart w:id="341" w:name="_Toc509218779"/>
      <w:bookmarkStart w:id="342" w:name="_Toc287620754"/>
      <w:r>
        <w:rPr>
          <w:rFonts w:ascii="宋体" w:hAnsi="宋体"/>
          <w:b w:val="0"/>
          <w:snapToGrid w:val="0"/>
          <w:sz w:val="24"/>
          <w:szCs w:val="24"/>
          <w:highlight w:val="none"/>
        </w:rPr>
        <w:t>2.2  分值构成与评分标准</w:t>
      </w:r>
      <w:bookmarkEnd w:id="334"/>
      <w:bookmarkEnd w:id="335"/>
      <w:bookmarkEnd w:id="336"/>
      <w:bookmarkEnd w:id="337"/>
      <w:bookmarkEnd w:id="338"/>
      <w:bookmarkEnd w:id="339"/>
      <w:bookmarkEnd w:id="340"/>
      <w:bookmarkEnd w:id="341"/>
      <w:bookmarkEnd w:id="342"/>
    </w:p>
    <w:p w14:paraId="4F584DF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2.2.1  分值构成</w:t>
      </w:r>
    </w:p>
    <w:p w14:paraId="1023BF9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1</w:t>
      </w:r>
      <w:r>
        <w:rPr>
          <w:rFonts w:ascii="宋体" w:hAnsi="宋体"/>
          <w:kern w:val="0"/>
          <w:szCs w:val="21"/>
          <w:highlight w:val="none"/>
        </w:rPr>
        <w:t>）技术</w:t>
      </w:r>
      <w:r>
        <w:rPr>
          <w:rFonts w:hint="eastAsia" w:ascii="宋体" w:hAnsi="宋体"/>
          <w:kern w:val="0"/>
          <w:szCs w:val="21"/>
          <w:highlight w:val="none"/>
        </w:rPr>
        <w:t>部分</w:t>
      </w:r>
      <w:r>
        <w:rPr>
          <w:rFonts w:ascii="宋体" w:hAnsi="宋体"/>
          <w:kern w:val="0"/>
          <w:szCs w:val="21"/>
          <w:highlight w:val="none"/>
        </w:rPr>
        <w:t>：见评标办法前附表</w:t>
      </w:r>
      <w:r>
        <w:rPr>
          <w:rFonts w:hint="eastAsia" w:ascii="宋体" w:hAnsi="宋体"/>
          <w:kern w:val="0"/>
          <w:szCs w:val="21"/>
          <w:highlight w:val="none"/>
        </w:rPr>
        <w:t>；</w:t>
      </w:r>
    </w:p>
    <w:p w14:paraId="3227A35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2</w:t>
      </w:r>
      <w:r>
        <w:rPr>
          <w:rFonts w:ascii="宋体" w:hAnsi="宋体"/>
          <w:kern w:val="0"/>
          <w:szCs w:val="21"/>
          <w:highlight w:val="none"/>
        </w:rPr>
        <w:t>）投标</w:t>
      </w:r>
      <w:r>
        <w:rPr>
          <w:rFonts w:hint="eastAsia" w:ascii="宋体" w:hAnsi="宋体"/>
          <w:kern w:val="0"/>
          <w:szCs w:val="21"/>
          <w:highlight w:val="none"/>
        </w:rPr>
        <w:t>总</w:t>
      </w:r>
      <w:r>
        <w:rPr>
          <w:rFonts w:ascii="宋体" w:hAnsi="宋体"/>
          <w:spacing w:val="-1"/>
          <w:kern w:val="0"/>
          <w:szCs w:val="21"/>
          <w:highlight w:val="none"/>
        </w:rPr>
        <w:t>报</w:t>
      </w:r>
      <w:r>
        <w:rPr>
          <w:rFonts w:ascii="宋体" w:hAnsi="宋体"/>
          <w:kern w:val="0"/>
          <w:szCs w:val="21"/>
          <w:highlight w:val="none"/>
        </w:rPr>
        <w:t>价：见评标办法前附表</w:t>
      </w:r>
      <w:r>
        <w:rPr>
          <w:rFonts w:hint="eastAsia" w:ascii="宋体" w:hAnsi="宋体"/>
          <w:kern w:val="0"/>
          <w:szCs w:val="21"/>
          <w:highlight w:val="none"/>
        </w:rPr>
        <w:t>。</w:t>
      </w:r>
    </w:p>
    <w:p w14:paraId="236A1D0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2.2.2  </w:t>
      </w:r>
      <w:r>
        <w:rPr>
          <w:rFonts w:hint="eastAsia" w:ascii="宋体" w:hAnsi="宋体"/>
          <w:kern w:val="0"/>
          <w:szCs w:val="21"/>
          <w:highlight w:val="none"/>
        </w:rPr>
        <w:t>评分标准</w:t>
      </w:r>
    </w:p>
    <w:p w14:paraId="4983BCC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技术</w:t>
      </w:r>
      <w:r>
        <w:rPr>
          <w:rFonts w:hint="eastAsia" w:ascii="宋体" w:hAnsi="宋体"/>
          <w:kern w:val="0"/>
          <w:szCs w:val="21"/>
          <w:highlight w:val="none"/>
        </w:rPr>
        <w:t>部分</w:t>
      </w:r>
      <w:r>
        <w:rPr>
          <w:rFonts w:ascii="宋体" w:hAnsi="宋体"/>
          <w:kern w:val="0"/>
          <w:szCs w:val="21"/>
          <w:highlight w:val="none"/>
        </w:rPr>
        <w:t>评分标准：见评标办法前附表；（对于施工难度大、专业技术复杂的项目，应由</w:t>
      </w:r>
      <w:r>
        <w:rPr>
          <w:rFonts w:hint="eastAsia" w:ascii="宋体" w:hAnsi="宋体"/>
          <w:kern w:val="0"/>
          <w:szCs w:val="21"/>
          <w:highlight w:val="none"/>
          <w:lang w:eastAsia="zh-CN"/>
        </w:rPr>
        <w:t>比选人</w:t>
      </w:r>
      <w:r>
        <w:rPr>
          <w:rFonts w:ascii="宋体" w:hAnsi="宋体"/>
          <w:kern w:val="0"/>
          <w:szCs w:val="21"/>
          <w:highlight w:val="none"/>
        </w:rPr>
        <w:t>会同设计单位提出技术方案编写要点，作为评分标准）。</w:t>
      </w:r>
    </w:p>
    <w:p w14:paraId="0077259F">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2.2.3  </w:t>
      </w:r>
      <w:r>
        <w:rPr>
          <w:rFonts w:ascii="宋体" w:hAnsi="宋体"/>
          <w:kern w:val="0"/>
          <w:szCs w:val="21"/>
          <w:highlight w:val="none"/>
        </w:rPr>
        <w:t>评标基准价计算</w:t>
      </w:r>
    </w:p>
    <w:p w14:paraId="0FA119B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评标基准价计算方法：见评标办法前附表。</w:t>
      </w:r>
    </w:p>
    <w:p w14:paraId="4E17BAC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w:t>
      </w:r>
      <w:r>
        <w:rPr>
          <w:rFonts w:hint="eastAsia" w:ascii="宋体" w:hAnsi="宋体"/>
          <w:kern w:val="0"/>
          <w:szCs w:val="21"/>
          <w:highlight w:val="none"/>
        </w:rPr>
        <w:t>4</w:t>
      </w:r>
      <w:r>
        <w:rPr>
          <w:rFonts w:ascii="宋体" w:hAnsi="宋体"/>
          <w:kern w:val="0"/>
          <w:szCs w:val="21"/>
          <w:highlight w:val="none"/>
        </w:rPr>
        <w:t xml:space="preserve">  投标报价的偏差率计算</w:t>
      </w:r>
      <w:r>
        <w:rPr>
          <w:rFonts w:hint="eastAsia" w:ascii="宋体" w:hAnsi="宋体"/>
          <w:kern w:val="0"/>
          <w:szCs w:val="21"/>
          <w:highlight w:val="none"/>
        </w:rPr>
        <w:t>和允许偏差范围</w:t>
      </w:r>
    </w:p>
    <w:p w14:paraId="5AA81F0D">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投标报价的偏差率计算公式：见评标办法前附表</w:t>
      </w:r>
      <w:r>
        <w:rPr>
          <w:rFonts w:hint="eastAsia" w:ascii="宋体" w:hAnsi="宋体"/>
          <w:kern w:val="0"/>
          <w:szCs w:val="21"/>
          <w:highlight w:val="none"/>
        </w:rPr>
        <w:t>；</w:t>
      </w:r>
    </w:p>
    <w:p w14:paraId="31680A3F">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（2）投标报价的允许偏差范围</w:t>
      </w:r>
      <w:r>
        <w:rPr>
          <w:rFonts w:ascii="宋体" w:hAnsi="宋体"/>
          <w:kern w:val="0"/>
          <w:szCs w:val="21"/>
          <w:highlight w:val="none"/>
        </w:rPr>
        <w:t>：见评标办法前附表</w:t>
      </w:r>
      <w:r>
        <w:rPr>
          <w:rFonts w:hint="eastAsia" w:ascii="宋体" w:hAnsi="宋体"/>
          <w:kern w:val="0"/>
          <w:szCs w:val="21"/>
          <w:highlight w:val="none"/>
        </w:rPr>
        <w:t>。</w:t>
      </w:r>
    </w:p>
    <w:p w14:paraId="4ACDB638">
      <w:pPr>
        <w:pStyle w:val="4"/>
        <w:spacing w:before="0" w:after="0" w:line="360" w:lineRule="auto"/>
        <w:rPr>
          <w:rFonts w:ascii="宋体" w:hAnsi="宋体"/>
          <w:b w:val="0"/>
          <w:snapToGrid w:val="0"/>
          <w:highlight w:val="none"/>
        </w:rPr>
      </w:pPr>
      <w:bookmarkStart w:id="343" w:name="_Toc287607816"/>
      <w:bookmarkStart w:id="344" w:name="_Toc509218780"/>
      <w:bookmarkStart w:id="345" w:name="_Toc19139"/>
      <w:bookmarkStart w:id="346" w:name="_Toc277082622"/>
      <w:bookmarkStart w:id="347" w:name="_Toc200513202"/>
      <w:bookmarkStart w:id="348" w:name="_Toc430530504"/>
      <w:bookmarkStart w:id="349" w:name="_Toc4568"/>
      <w:bookmarkStart w:id="350" w:name="_Toc287620755"/>
      <w:bookmarkStart w:id="351" w:name="_Toc224103388"/>
      <w:r>
        <w:rPr>
          <w:rFonts w:ascii="宋体" w:hAnsi="宋体"/>
          <w:b w:val="0"/>
          <w:snapToGrid w:val="0"/>
          <w:highlight w:val="none"/>
        </w:rPr>
        <w:t>3.  评标程序</w:t>
      </w:r>
      <w:bookmarkEnd w:id="343"/>
      <w:bookmarkEnd w:id="344"/>
      <w:bookmarkEnd w:id="345"/>
      <w:bookmarkEnd w:id="346"/>
      <w:bookmarkEnd w:id="347"/>
      <w:bookmarkEnd w:id="348"/>
      <w:bookmarkEnd w:id="349"/>
      <w:bookmarkEnd w:id="350"/>
      <w:bookmarkEnd w:id="351"/>
    </w:p>
    <w:p w14:paraId="75401E54">
      <w:pPr>
        <w:pStyle w:val="5"/>
        <w:snapToGrid w:val="0"/>
        <w:spacing w:before="0" w:after="0" w:line="360" w:lineRule="auto"/>
        <w:rPr>
          <w:rFonts w:ascii="宋体" w:hAnsi="宋体"/>
          <w:b w:val="0"/>
          <w:snapToGrid w:val="0"/>
          <w:sz w:val="24"/>
          <w:szCs w:val="24"/>
          <w:highlight w:val="none"/>
        </w:rPr>
      </w:pPr>
      <w:bookmarkStart w:id="352" w:name="_Toc21102"/>
      <w:bookmarkStart w:id="353" w:name="_Toc430530505"/>
      <w:bookmarkStart w:id="354" w:name="_Toc30829"/>
      <w:bookmarkStart w:id="355" w:name="_Toc509218781"/>
      <w:bookmarkStart w:id="356" w:name="_Toc287607817"/>
      <w:bookmarkStart w:id="357" w:name="_Toc287620756"/>
      <w:bookmarkStart w:id="358" w:name="_Toc200513203"/>
      <w:bookmarkStart w:id="359" w:name="_Toc277082623"/>
      <w:bookmarkStart w:id="360" w:name="_Toc224103389"/>
      <w:r>
        <w:rPr>
          <w:rFonts w:ascii="宋体" w:hAnsi="宋体"/>
          <w:b w:val="0"/>
          <w:snapToGrid w:val="0"/>
          <w:sz w:val="24"/>
          <w:szCs w:val="24"/>
          <w:highlight w:val="none"/>
        </w:rPr>
        <w:t>3.1  初步评审</w:t>
      </w:r>
      <w:bookmarkEnd w:id="352"/>
      <w:bookmarkEnd w:id="353"/>
      <w:bookmarkEnd w:id="354"/>
      <w:bookmarkEnd w:id="355"/>
      <w:bookmarkEnd w:id="356"/>
      <w:bookmarkEnd w:id="357"/>
      <w:bookmarkEnd w:id="358"/>
      <w:bookmarkEnd w:id="359"/>
      <w:bookmarkEnd w:id="360"/>
    </w:p>
    <w:p w14:paraId="37CB31C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 2.1 款规定的标准对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进行初步评审。有一项不符合评审标准的，作否决投标处理。（适用于未进行资格预审的）</w:t>
      </w:r>
    </w:p>
    <w:p w14:paraId="32D704E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评标委员会依据本章第2.1.1项</w:t>
      </w:r>
      <w:r>
        <w:rPr>
          <w:rFonts w:hint="eastAsia" w:ascii="宋体" w:hAnsi="宋体"/>
          <w:kern w:val="0"/>
          <w:szCs w:val="21"/>
          <w:highlight w:val="none"/>
        </w:rPr>
        <w:t>至</w:t>
      </w:r>
      <w:r>
        <w:rPr>
          <w:rFonts w:ascii="宋体" w:hAnsi="宋体"/>
          <w:kern w:val="0"/>
          <w:szCs w:val="21"/>
          <w:highlight w:val="none"/>
        </w:rPr>
        <w:t>第2.1.3项规定的评审标准对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进行初步评审。有一项不符合评审标准的，作否决投标处理。当</w:t>
      </w:r>
      <w:r>
        <w:rPr>
          <w:rFonts w:hint="eastAsia" w:ascii="宋体" w:hAnsi="宋体"/>
          <w:kern w:val="0"/>
          <w:szCs w:val="21"/>
          <w:highlight w:val="none"/>
          <w:lang w:eastAsia="zh-CN"/>
        </w:rPr>
        <w:t>竞选人</w:t>
      </w:r>
      <w:r>
        <w:rPr>
          <w:rFonts w:ascii="宋体" w:hAnsi="宋体"/>
          <w:kern w:val="0"/>
          <w:szCs w:val="21"/>
          <w:highlight w:val="none"/>
        </w:rPr>
        <w:t>资格预审申请文件的内容发生重大变化时，评标委员会依据本章第2.1.2项规定的标准对其更新资料进行评审</w:t>
      </w:r>
      <w:r>
        <w:rPr>
          <w:rFonts w:hint="eastAsia" w:ascii="宋体" w:hAnsi="宋体"/>
          <w:kern w:val="0"/>
          <w:szCs w:val="21"/>
          <w:highlight w:val="none"/>
        </w:rPr>
        <w:t>。</w:t>
      </w:r>
      <w:r>
        <w:rPr>
          <w:rFonts w:ascii="宋体" w:hAnsi="宋体"/>
          <w:kern w:val="0"/>
          <w:szCs w:val="21"/>
          <w:highlight w:val="none"/>
        </w:rPr>
        <w:t>（适用于已进行资格预审的）</w:t>
      </w:r>
    </w:p>
    <w:p w14:paraId="2CD1712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3.1.2  </w:t>
      </w:r>
      <w:r>
        <w:rPr>
          <w:rFonts w:hint="eastAsia" w:ascii="宋体" w:hAnsi="宋体"/>
          <w:kern w:val="0"/>
          <w:szCs w:val="21"/>
          <w:highlight w:val="none"/>
          <w:lang w:eastAsia="zh-CN"/>
        </w:rPr>
        <w:t>竞选人</w:t>
      </w:r>
      <w:r>
        <w:rPr>
          <w:rFonts w:ascii="宋体" w:hAnsi="宋体"/>
          <w:kern w:val="0"/>
          <w:szCs w:val="21"/>
          <w:highlight w:val="none"/>
        </w:rPr>
        <w:t>有以下情形之一的，其投标作否决投标处理：</w:t>
      </w:r>
    </w:p>
    <w:p w14:paraId="49FC41F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1</w:t>
      </w:r>
      <w:r>
        <w:rPr>
          <w:rFonts w:ascii="宋体" w:hAnsi="宋体"/>
          <w:kern w:val="0"/>
          <w:szCs w:val="21"/>
          <w:highlight w:val="none"/>
        </w:rPr>
        <w:t>）第二</w:t>
      </w:r>
      <w:r>
        <w:rPr>
          <w:rFonts w:ascii="宋体" w:hAnsi="宋体"/>
          <w:spacing w:val="-1"/>
          <w:kern w:val="0"/>
          <w:szCs w:val="21"/>
          <w:highlight w:val="none"/>
        </w:rPr>
        <w:t>章</w:t>
      </w:r>
      <w:r>
        <w:rPr>
          <w:rFonts w:ascii="宋体" w:hAnsi="宋体"/>
          <w:kern w:val="0"/>
          <w:szCs w:val="21"/>
          <w:highlight w:val="none"/>
        </w:rPr>
        <w:t>“</w:t>
      </w:r>
      <w:r>
        <w:rPr>
          <w:rFonts w:hint="eastAsia" w:ascii="宋体" w:hAnsi="宋体"/>
          <w:kern w:val="0"/>
          <w:szCs w:val="21"/>
          <w:highlight w:val="none"/>
          <w:lang w:eastAsia="zh-CN"/>
        </w:rPr>
        <w:t>竞选人</w:t>
      </w:r>
      <w:r>
        <w:rPr>
          <w:rFonts w:ascii="宋体" w:hAnsi="宋体"/>
          <w:kern w:val="0"/>
          <w:szCs w:val="21"/>
          <w:highlight w:val="none"/>
        </w:rPr>
        <w:t>须知”第</w:t>
      </w:r>
      <w:r>
        <w:rPr>
          <w:rFonts w:ascii="宋体" w:hAnsi="宋体"/>
          <w:spacing w:val="1"/>
          <w:kern w:val="0"/>
          <w:szCs w:val="21"/>
          <w:highlight w:val="none"/>
        </w:rPr>
        <w:t>1</w:t>
      </w:r>
      <w:r>
        <w:rPr>
          <w:rFonts w:ascii="宋体" w:hAnsi="宋体"/>
          <w:spacing w:val="-1"/>
          <w:kern w:val="0"/>
          <w:szCs w:val="21"/>
          <w:highlight w:val="none"/>
        </w:rPr>
        <w:t>.</w:t>
      </w:r>
      <w:r>
        <w:rPr>
          <w:rFonts w:ascii="宋体" w:hAnsi="宋体"/>
          <w:spacing w:val="1"/>
          <w:kern w:val="0"/>
          <w:szCs w:val="21"/>
          <w:highlight w:val="none"/>
        </w:rPr>
        <w:t>4</w:t>
      </w:r>
      <w:r>
        <w:rPr>
          <w:rFonts w:ascii="宋体" w:hAnsi="宋体"/>
          <w:spacing w:val="-1"/>
          <w:kern w:val="0"/>
          <w:szCs w:val="21"/>
          <w:highlight w:val="none"/>
        </w:rPr>
        <w:t>.</w:t>
      </w:r>
      <w:r>
        <w:rPr>
          <w:rFonts w:ascii="宋体" w:hAnsi="宋体"/>
          <w:kern w:val="0"/>
          <w:szCs w:val="21"/>
          <w:highlight w:val="none"/>
        </w:rPr>
        <w:t>3项规定的任何一种情形的；</w:t>
      </w:r>
    </w:p>
    <w:p w14:paraId="04FCD8B1">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2</w:t>
      </w:r>
      <w:r>
        <w:rPr>
          <w:rFonts w:ascii="宋体" w:hAnsi="宋体"/>
          <w:kern w:val="0"/>
          <w:szCs w:val="21"/>
          <w:highlight w:val="none"/>
        </w:rPr>
        <w:t>）</w:t>
      </w:r>
      <w:r>
        <w:rPr>
          <w:rFonts w:hint="eastAsia" w:ascii="宋体" w:hAnsi="宋体" w:cs="宋体"/>
          <w:szCs w:val="21"/>
          <w:highlight w:val="none"/>
        </w:rPr>
        <w:t>本次投标有串通投标、弄虚作假等其他违反招投标相关法律、法规行为的</w:t>
      </w:r>
      <w:r>
        <w:rPr>
          <w:rFonts w:ascii="宋体" w:hAnsi="宋体"/>
          <w:kern w:val="0"/>
          <w:szCs w:val="21"/>
          <w:highlight w:val="none"/>
        </w:rPr>
        <w:t>；</w:t>
      </w:r>
    </w:p>
    <w:p w14:paraId="0166E7E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3</w:t>
      </w:r>
      <w:r>
        <w:rPr>
          <w:rFonts w:ascii="宋体" w:hAnsi="宋体"/>
          <w:kern w:val="0"/>
          <w:szCs w:val="21"/>
          <w:highlight w:val="none"/>
        </w:rPr>
        <w:t>）</w:t>
      </w:r>
      <w:r>
        <w:rPr>
          <w:rFonts w:hint="eastAsia" w:ascii="宋体" w:hAnsi="宋体"/>
          <w:kern w:val="0"/>
          <w:szCs w:val="21"/>
          <w:highlight w:val="none"/>
        </w:rPr>
        <w:t>拒绝</w:t>
      </w:r>
      <w:r>
        <w:rPr>
          <w:rFonts w:ascii="宋体" w:hAnsi="宋体"/>
          <w:kern w:val="0"/>
          <w:szCs w:val="21"/>
          <w:highlight w:val="none"/>
        </w:rPr>
        <w:t>按</w:t>
      </w:r>
      <w:r>
        <w:rPr>
          <w:rFonts w:ascii="宋体" w:hAnsi="宋体"/>
          <w:spacing w:val="-1"/>
          <w:kern w:val="0"/>
          <w:szCs w:val="21"/>
          <w:highlight w:val="none"/>
        </w:rPr>
        <w:t>评</w:t>
      </w:r>
      <w:r>
        <w:rPr>
          <w:rFonts w:ascii="宋体" w:hAnsi="宋体"/>
          <w:kern w:val="0"/>
          <w:szCs w:val="21"/>
          <w:highlight w:val="none"/>
        </w:rPr>
        <w:t>标委员会要求澄清、说明或补正的</w:t>
      </w:r>
      <w:r>
        <w:rPr>
          <w:rFonts w:hint="eastAsia" w:ascii="宋体" w:hAnsi="宋体"/>
          <w:kern w:val="0"/>
          <w:szCs w:val="21"/>
          <w:highlight w:val="none"/>
        </w:rPr>
        <w:t>。</w:t>
      </w:r>
    </w:p>
    <w:p w14:paraId="7A416072">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3.1.3  投标报价有算术错误的，评标委员会按以下原则对投标报价进行修正，修正的价格经</w:t>
      </w:r>
      <w:r>
        <w:rPr>
          <w:rFonts w:hint="eastAsia" w:ascii="宋体" w:hAnsi="宋体"/>
          <w:kern w:val="0"/>
          <w:szCs w:val="21"/>
          <w:highlight w:val="none"/>
          <w:lang w:eastAsia="zh-CN"/>
        </w:rPr>
        <w:t>竞选人</w:t>
      </w:r>
      <w:r>
        <w:rPr>
          <w:rFonts w:ascii="宋体" w:hAnsi="宋体"/>
          <w:kern w:val="0"/>
          <w:szCs w:val="21"/>
          <w:highlight w:val="none"/>
        </w:rPr>
        <w:t>书面确认后具有约束力</w:t>
      </w:r>
      <w:r>
        <w:rPr>
          <w:rFonts w:hint="eastAsia" w:ascii="宋体" w:hAnsi="宋体"/>
          <w:kern w:val="0"/>
          <w:szCs w:val="21"/>
          <w:highlight w:val="none"/>
        </w:rPr>
        <w:t>，修正原则如下：</w:t>
      </w:r>
    </w:p>
    <w:p w14:paraId="7B510BD5">
      <w:pPr>
        <w:autoSpaceDE w:val="0"/>
        <w:autoSpaceDN w:val="0"/>
        <w:adjustRightInd w:val="0"/>
        <w:snapToGrid w:val="0"/>
        <w:spacing w:line="360" w:lineRule="auto"/>
        <w:ind w:firstLine="532"/>
        <w:rPr>
          <w:rFonts w:ascii="宋体" w:hAnsi="宋体"/>
          <w:kern w:val="0"/>
          <w:szCs w:val="21"/>
          <w:highlight w:val="none"/>
        </w:rPr>
      </w:pPr>
      <w:r>
        <w:rPr>
          <w:rFonts w:ascii="宋体" w:hAnsi="宋体"/>
          <w:spacing w:val="-1"/>
          <w:kern w:val="0"/>
          <w:szCs w:val="21"/>
          <w:highlight w:val="none"/>
        </w:rPr>
        <w:t>（1）</w:t>
      </w:r>
      <w:r>
        <w:rPr>
          <w:rFonts w:hint="eastAsia" w:ascii="宋体" w:hAnsi="宋体"/>
          <w:spacing w:val="-1"/>
          <w:kern w:val="0"/>
          <w:szCs w:val="21"/>
          <w:highlight w:val="none"/>
          <w:lang w:eastAsia="zh-CN"/>
        </w:rPr>
        <w:t>竞选文件</w:t>
      </w:r>
      <w:r>
        <w:rPr>
          <w:rFonts w:ascii="宋体" w:hAnsi="宋体"/>
          <w:spacing w:val="-1"/>
          <w:kern w:val="0"/>
          <w:szCs w:val="21"/>
          <w:highlight w:val="none"/>
        </w:rPr>
        <w:t>中的大写金额与小写金额不一致的，以大写金</w:t>
      </w:r>
      <w:r>
        <w:rPr>
          <w:rFonts w:ascii="宋体" w:hAnsi="宋体"/>
          <w:kern w:val="0"/>
          <w:szCs w:val="21"/>
          <w:highlight w:val="none"/>
        </w:rPr>
        <w:t>额为准</w:t>
      </w:r>
      <w:r>
        <w:rPr>
          <w:rFonts w:hint="eastAsia" w:ascii="宋体" w:hAnsi="宋体"/>
          <w:kern w:val="0"/>
          <w:szCs w:val="21"/>
          <w:highlight w:val="none"/>
        </w:rPr>
        <w:t>；</w:t>
      </w:r>
    </w:p>
    <w:p w14:paraId="00B5EF40">
      <w:pPr>
        <w:autoSpaceDE w:val="0"/>
        <w:autoSpaceDN w:val="0"/>
        <w:adjustRightInd w:val="0"/>
        <w:snapToGrid w:val="0"/>
        <w:spacing w:line="360" w:lineRule="auto"/>
        <w:ind w:firstLine="532"/>
        <w:rPr>
          <w:rFonts w:ascii="宋体" w:hAnsi="宋体"/>
          <w:kern w:val="0"/>
          <w:szCs w:val="21"/>
          <w:highlight w:val="none"/>
        </w:rPr>
      </w:pPr>
      <w:r>
        <w:rPr>
          <w:rFonts w:hint="eastAsia" w:ascii="宋体" w:hAnsi="宋体"/>
          <w:kern w:val="0"/>
          <w:szCs w:val="21"/>
          <w:highlight w:val="none"/>
        </w:rPr>
        <w:t>（2）</w:t>
      </w:r>
      <w:r>
        <w:rPr>
          <w:rFonts w:hint="eastAsia" w:ascii="宋体" w:hAnsi="宋体"/>
          <w:kern w:val="0"/>
          <w:szCs w:val="21"/>
          <w:highlight w:val="none"/>
          <w:lang w:eastAsia="zh-CN"/>
        </w:rPr>
        <w:t>竞选函</w:t>
      </w:r>
      <w:r>
        <w:rPr>
          <w:rFonts w:hint="eastAsia" w:ascii="宋体" w:hAnsi="宋体"/>
          <w:kern w:val="0"/>
          <w:szCs w:val="21"/>
          <w:highlight w:val="none"/>
        </w:rPr>
        <w:t>中的总报价与已标价工程量清单总报价不一致的，由评标委员会作否决投标处理。</w:t>
      </w:r>
    </w:p>
    <w:p w14:paraId="1D21789A">
      <w:pPr>
        <w:pStyle w:val="5"/>
        <w:snapToGrid w:val="0"/>
        <w:spacing w:before="0" w:after="0" w:line="360" w:lineRule="auto"/>
        <w:rPr>
          <w:rFonts w:ascii="宋体" w:hAnsi="宋体"/>
          <w:b w:val="0"/>
          <w:snapToGrid w:val="0"/>
          <w:sz w:val="24"/>
          <w:szCs w:val="24"/>
          <w:highlight w:val="none"/>
        </w:rPr>
      </w:pPr>
      <w:bookmarkStart w:id="361" w:name="_Toc224103390"/>
      <w:bookmarkStart w:id="362" w:name="_Toc277082624"/>
      <w:bookmarkStart w:id="363" w:name="_Toc287620757"/>
      <w:bookmarkStart w:id="364" w:name="_Toc509218782"/>
      <w:bookmarkStart w:id="365" w:name="_Toc10836"/>
      <w:bookmarkStart w:id="366" w:name="_Toc31837"/>
      <w:bookmarkStart w:id="367" w:name="_Toc287607818"/>
      <w:bookmarkStart w:id="368" w:name="_Toc200513204"/>
      <w:bookmarkStart w:id="369" w:name="_Toc430530506"/>
      <w:r>
        <w:rPr>
          <w:rFonts w:ascii="宋体" w:hAnsi="宋体"/>
          <w:b w:val="0"/>
          <w:snapToGrid w:val="0"/>
          <w:sz w:val="24"/>
          <w:szCs w:val="24"/>
          <w:highlight w:val="none"/>
        </w:rPr>
        <w:t>3.2  详细评审</w:t>
      </w:r>
      <w:bookmarkEnd w:id="361"/>
      <w:bookmarkEnd w:id="362"/>
      <w:bookmarkEnd w:id="363"/>
      <w:bookmarkEnd w:id="364"/>
      <w:bookmarkEnd w:id="365"/>
      <w:bookmarkEnd w:id="366"/>
      <w:bookmarkEnd w:id="367"/>
      <w:bookmarkEnd w:id="368"/>
      <w:bookmarkEnd w:id="369"/>
    </w:p>
    <w:p w14:paraId="2D10BD3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3.2.1  评标委员会按本章第2.2款规定的量化因素和分值进行</w:t>
      </w:r>
      <w:r>
        <w:rPr>
          <w:rFonts w:hint="eastAsia" w:ascii="宋体" w:hAnsi="宋体"/>
          <w:kern w:val="0"/>
          <w:szCs w:val="21"/>
          <w:highlight w:val="none"/>
          <w:lang w:eastAsia="zh-CN"/>
        </w:rPr>
        <w:t>评分</w:t>
      </w:r>
      <w:r>
        <w:rPr>
          <w:rFonts w:ascii="宋体" w:hAnsi="宋体"/>
          <w:kern w:val="0"/>
          <w:szCs w:val="21"/>
          <w:highlight w:val="none"/>
        </w:rPr>
        <w:t>，并计算出综合评估得分。</w:t>
      </w:r>
    </w:p>
    <w:p w14:paraId="7189A29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）按本章第3.2.1（</w:t>
      </w:r>
      <w:r>
        <w:rPr>
          <w:rFonts w:hint="eastAsia" w:ascii="宋体" w:hAnsi="宋体"/>
          <w:kern w:val="0"/>
          <w:szCs w:val="21"/>
          <w:highlight w:val="none"/>
        </w:rPr>
        <w:t>1</w:t>
      </w:r>
      <w:r>
        <w:rPr>
          <w:rFonts w:ascii="宋体" w:hAnsi="宋体"/>
          <w:kern w:val="0"/>
          <w:szCs w:val="21"/>
          <w:highlight w:val="none"/>
        </w:rPr>
        <w:t>）目规定的评审因素和分值对技术方案计算出得分</w:t>
      </w:r>
      <w:r>
        <w:rPr>
          <w:rFonts w:hint="eastAsia" w:ascii="宋体" w:hAnsi="宋体"/>
          <w:kern w:val="0"/>
          <w:szCs w:val="21"/>
          <w:highlight w:val="none"/>
        </w:rPr>
        <w:t>A</w:t>
      </w:r>
      <w:r>
        <w:rPr>
          <w:rFonts w:ascii="宋体" w:hAnsi="宋体"/>
          <w:kern w:val="0"/>
          <w:szCs w:val="21"/>
          <w:highlight w:val="none"/>
        </w:rPr>
        <w:t>(</w:t>
      </w:r>
      <w:r>
        <w:rPr>
          <w:rFonts w:ascii="宋体" w:hAnsi="宋体"/>
          <w:snapToGrid w:val="0"/>
          <w:kern w:val="0"/>
          <w:szCs w:val="21"/>
          <w:highlight w:val="none"/>
        </w:rPr>
        <w:t>所有评委</w:t>
      </w:r>
      <w:r>
        <w:rPr>
          <w:rFonts w:hint="eastAsia" w:ascii="宋体" w:hAnsi="宋体"/>
          <w:snapToGrid w:val="0"/>
          <w:kern w:val="0"/>
          <w:szCs w:val="21"/>
          <w:highlight w:val="none"/>
          <w:lang w:eastAsia="zh-CN"/>
        </w:rPr>
        <w:t>评分</w:t>
      </w:r>
      <w:r>
        <w:rPr>
          <w:rFonts w:ascii="宋体" w:hAnsi="宋体"/>
          <w:snapToGrid w:val="0"/>
          <w:kern w:val="0"/>
          <w:szCs w:val="21"/>
          <w:highlight w:val="none"/>
        </w:rPr>
        <w:t>中去掉一个最高和一个最低分，余下评委</w:t>
      </w:r>
      <w:r>
        <w:rPr>
          <w:rFonts w:hint="eastAsia" w:ascii="宋体" w:hAnsi="宋体"/>
          <w:snapToGrid w:val="0"/>
          <w:kern w:val="0"/>
          <w:szCs w:val="21"/>
          <w:highlight w:val="none"/>
          <w:lang w:eastAsia="zh-CN"/>
        </w:rPr>
        <w:t>评分</w:t>
      </w:r>
      <w:r>
        <w:rPr>
          <w:rFonts w:ascii="宋体" w:hAnsi="宋体"/>
          <w:snapToGrid w:val="0"/>
          <w:kern w:val="0"/>
          <w:szCs w:val="21"/>
          <w:highlight w:val="none"/>
        </w:rPr>
        <w:t>取算术平均值为该</w:t>
      </w:r>
      <w:r>
        <w:rPr>
          <w:rFonts w:hint="eastAsia" w:ascii="宋体" w:hAnsi="宋体"/>
          <w:snapToGrid w:val="0"/>
          <w:kern w:val="0"/>
          <w:szCs w:val="21"/>
          <w:highlight w:val="none"/>
          <w:lang w:eastAsia="zh-CN"/>
        </w:rPr>
        <w:t>竞选人</w:t>
      </w:r>
      <w:r>
        <w:rPr>
          <w:rFonts w:ascii="宋体" w:hAnsi="宋体"/>
          <w:snapToGrid w:val="0"/>
          <w:kern w:val="0"/>
          <w:szCs w:val="21"/>
          <w:highlight w:val="none"/>
        </w:rPr>
        <w:t>技术方案得分。</w:t>
      </w:r>
      <w:r>
        <w:rPr>
          <w:rFonts w:ascii="宋体" w:hAnsi="宋体"/>
          <w:kern w:val="0"/>
          <w:szCs w:val="21"/>
          <w:highlight w:val="none"/>
        </w:rPr>
        <w:t>）</w:t>
      </w:r>
    </w:p>
    <w:p w14:paraId="66732A7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）按本章第3.2.1（</w:t>
      </w:r>
      <w:r>
        <w:rPr>
          <w:rFonts w:hint="eastAsia" w:ascii="宋体" w:hAnsi="宋体"/>
          <w:kern w:val="0"/>
          <w:szCs w:val="21"/>
          <w:highlight w:val="none"/>
        </w:rPr>
        <w:t>2</w:t>
      </w:r>
      <w:r>
        <w:rPr>
          <w:rFonts w:ascii="宋体" w:hAnsi="宋体"/>
          <w:kern w:val="0"/>
          <w:szCs w:val="21"/>
          <w:highlight w:val="none"/>
        </w:rPr>
        <w:t>）目规定的评审因素和分值对投标总报价计算出得分</w:t>
      </w:r>
      <w:r>
        <w:rPr>
          <w:rFonts w:hint="eastAsia" w:ascii="宋体" w:hAnsi="宋体"/>
          <w:kern w:val="0"/>
          <w:szCs w:val="21"/>
          <w:highlight w:val="none"/>
        </w:rPr>
        <w:t>B。</w:t>
      </w:r>
    </w:p>
    <w:p w14:paraId="059E7A3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3.2.2  各类评分分值的最终计算结果保留小数点后两位，小数点后第三位“四舍五入”。</w:t>
      </w:r>
    </w:p>
    <w:p w14:paraId="26A1D3E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3.2.3  </w:t>
      </w:r>
      <w:r>
        <w:rPr>
          <w:rFonts w:hint="eastAsia" w:ascii="宋体" w:hAnsi="宋体"/>
          <w:kern w:val="0"/>
          <w:szCs w:val="21"/>
          <w:highlight w:val="none"/>
          <w:lang w:eastAsia="zh-CN"/>
        </w:rPr>
        <w:t>竞选人</w:t>
      </w:r>
      <w:r>
        <w:rPr>
          <w:rFonts w:ascii="宋体" w:hAnsi="宋体"/>
          <w:kern w:val="0"/>
          <w:szCs w:val="21"/>
          <w:highlight w:val="none"/>
        </w:rPr>
        <w:t>得分=A+B</w:t>
      </w:r>
      <w:r>
        <w:rPr>
          <w:rFonts w:hint="eastAsia" w:ascii="宋体" w:hAnsi="宋体"/>
          <w:kern w:val="0"/>
          <w:szCs w:val="21"/>
          <w:highlight w:val="none"/>
        </w:rPr>
        <w:t>。</w:t>
      </w:r>
    </w:p>
    <w:p w14:paraId="75ECA645">
      <w:pPr>
        <w:pStyle w:val="5"/>
        <w:snapToGrid w:val="0"/>
        <w:spacing w:before="0" w:after="0" w:line="360" w:lineRule="auto"/>
        <w:rPr>
          <w:rFonts w:ascii="宋体" w:hAnsi="宋体"/>
          <w:b w:val="0"/>
          <w:snapToGrid w:val="0"/>
          <w:sz w:val="24"/>
          <w:szCs w:val="24"/>
          <w:highlight w:val="none"/>
        </w:rPr>
      </w:pPr>
      <w:bookmarkStart w:id="370" w:name="_Toc287607819"/>
      <w:bookmarkStart w:id="371" w:name="_Toc430530507"/>
      <w:bookmarkStart w:id="372" w:name="_Toc287620758"/>
      <w:bookmarkStart w:id="373" w:name="_Toc29615"/>
      <w:bookmarkStart w:id="374" w:name="_Toc509218783"/>
      <w:bookmarkStart w:id="375" w:name="_Toc224103391"/>
      <w:bookmarkStart w:id="376" w:name="_Toc277082625"/>
      <w:bookmarkStart w:id="377" w:name="_Toc4958"/>
      <w:bookmarkStart w:id="378" w:name="_Toc200513205"/>
      <w:r>
        <w:rPr>
          <w:rFonts w:ascii="宋体" w:hAnsi="宋体"/>
          <w:b w:val="0"/>
          <w:snapToGrid w:val="0"/>
          <w:sz w:val="24"/>
          <w:szCs w:val="24"/>
          <w:highlight w:val="none"/>
        </w:rPr>
        <w:t xml:space="preserve">3.3  </w:t>
      </w:r>
      <w:r>
        <w:rPr>
          <w:rFonts w:hint="eastAsia" w:ascii="宋体" w:hAnsi="宋体"/>
          <w:b w:val="0"/>
          <w:snapToGrid w:val="0"/>
          <w:sz w:val="24"/>
          <w:szCs w:val="24"/>
          <w:highlight w:val="none"/>
          <w:lang w:eastAsia="zh-CN"/>
        </w:rPr>
        <w:t>竞选文件</w:t>
      </w:r>
      <w:r>
        <w:rPr>
          <w:rFonts w:ascii="宋体" w:hAnsi="宋体"/>
          <w:b w:val="0"/>
          <w:snapToGrid w:val="0"/>
          <w:sz w:val="24"/>
          <w:szCs w:val="24"/>
          <w:highlight w:val="none"/>
        </w:rPr>
        <w:t>的澄清和补正</w:t>
      </w:r>
      <w:bookmarkEnd w:id="370"/>
      <w:bookmarkEnd w:id="371"/>
      <w:bookmarkEnd w:id="372"/>
      <w:bookmarkEnd w:id="373"/>
      <w:bookmarkEnd w:id="374"/>
      <w:bookmarkEnd w:id="375"/>
      <w:bookmarkEnd w:id="376"/>
      <w:bookmarkEnd w:id="377"/>
      <w:bookmarkEnd w:id="378"/>
    </w:p>
    <w:p w14:paraId="61895C3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3.3.1  在评标过程中，评标委员会可以书面形式要求</w:t>
      </w:r>
      <w:r>
        <w:rPr>
          <w:rFonts w:hint="eastAsia" w:ascii="宋体" w:hAnsi="宋体"/>
          <w:kern w:val="0"/>
          <w:szCs w:val="21"/>
          <w:highlight w:val="none"/>
          <w:lang w:eastAsia="zh-CN"/>
        </w:rPr>
        <w:t>竞选人</w:t>
      </w:r>
      <w:r>
        <w:rPr>
          <w:rFonts w:ascii="宋体" w:hAnsi="宋体"/>
          <w:kern w:val="0"/>
          <w:szCs w:val="21"/>
          <w:highlight w:val="none"/>
        </w:rPr>
        <w:t>对所提交</w:t>
      </w:r>
      <w:r>
        <w:rPr>
          <w:rFonts w:hint="eastAsia" w:ascii="宋体" w:hAnsi="宋体"/>
          <w:kern w:val="0"/>
          <w:szCs w:val="21"/>
          <w:highlight w:val="none"/>
          <w:lang w:eastAsia="zh-CN"/>
        </w:rPr>
        <w:t>竞选文件</w:t>
      </w:r>
      <w:r>
        <w:rPr>
          <w:rFonts w:ascii="宋体" w:hAnsi="宋体"/>
          <w:kern w:val="0"/>
          <w:szCs w:val="21"/>
          <w:highlight w:val="none"/>
        </w:rPr>
        <w:t>中不明确的内容进行书面澄清或说明，或者对细微偏差进行补正。评标委员会不接受</w:t>
      </w:r>
      <w:r>
        <w:rPr>
          <w:rFonts w:hint="eastAsia" w:ascii="宋体" w:hAnsi="宋体"/>
          <w:kern w:val="0"/>
          <w:szCs w:val="21"/>
          <w:highlight w:val="none"/>
          <w:lang w:eastAsia="zh-CN"/>
        </w:rPr>
        <w:t>竞选人</w:t>
      </w:r>
      <w:r>
        <w:rPr>
          <w:rFonts w:ascii="宋体" w:hAnsi="宋体"/>
          <w:kern w:val="0"/>
          <w:szCs w:val="21"/>
          <w:highlight w:val="none"/>
        </w:rPr>
        <w:t>主动提出的澄清、说明或补正。</w:t>
      </w:r>
    </w:p>
    <w:p w14:paraId="57E8761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3.3.2  澄清、说明和补正不得改变</w:t>
      </w:r>
      <w:r>
        <w:rPr>
          <w:rFonts w:hint="eastAsia" w:ascii="宋体" w:hAnsi="宋体"/>
          <w:kern w:val="0"/>
          <w:szCs w:val="21"/>
          <w:highlight w:val="none"/>
          <w:lang w:eastAsia="zh-CN"/>
        </w:rPr>
        <w:t>竞选文件</w:t>
      </w:r>
      <w:r>
        <w:rPr>
          <w:rFonts w:ascii="宋体" w:hAnsi="宋体"/>
          <w:kern w:val="0"/>
          <w:szCs w:val="21"/>
          <w:highlight w:val="none"/>
        </w:rPr>
        <w:t>的实质性内容（算术性错误修正的除外）。</w:t>
      </w:r>
      <w:r>
        <w:rPr>
          <w:rFonts w:hint="eastAsia" w:ascii="宋体" w:hAnsi="宋体"/>
          <w:kern w:val="0"/>
          <w:szCs w:val="21"/>
          <w:highlight w:val="none"/>
          <w:lang w:eastAsia="zh-CN"/>
        </w:rPr>
        <w:t>竞选人</w:t>
      </w:r>
      <w:r>
        <w:rPr>
          <w:rFonts w:ascii="宋体" w:hAnsi="宋体"/>
          <w:kern w:val="0"/>
          <w:szCs w:val="21"/>
          <w:highlight w:val="none"/>
        </w:rPr>
        <w:t>的书面澄清、说明和补正属于</w:t>
      </w:r>
      <w:r>
        <w:rPr>
          <w:rFonts w:hint="eastAsia" w:ascii="宋体" w:hAnsi="宋体"/>
          <w:kern w:val="0"/>
          <w:szCs w:val="21"/>
          <w:highlight w:val="none"/>
          <w:lang w:eastAsia="zh-CN"/>
        </w:rPr>
        <w:t>竞选文件</w:t>
      </w:r>
      <w:r>
        <w:rPr>
          <w:rFonts w:ascii="宋体" w:hAnsi="宋体"/>
          <w:kern w:val="0"/>
          <w:szCs w:val="21"/>
          <w:highlight w:val="none"/>
        </w:rPr>
        <w:t>的组成部分。</w:t>
      </w:r>
    </w:p>
    <w:p w14:paraId="1CAFC145">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3.3.3  评标委员会对</w:t>
      </w:r>
      <w:r>
        <w:rPr>
          <w:rFonts w:hint="eastAsia" w:ascii="宋体" w:hAnsi="宋体"/>
          <w:kern w:val="0"/>
          <w:szCs w:val="21"/>
          <w:highlight w:val="none"/>
          <w:lang w:eastAsia="zh-CN"/>
        </w:rPr>
        <w:t>竞选人</w:t>
      </w:r>
      <w:r>
        <w:rPr>
          <w:rFonts w:ascii="宋体" w:hAnsi="宋体"/>
          <w:kern w:val="0"/>
          <w:szCs w:val="21"/>
          <w:highlight w:val="none"/>
        </w:rPr>
        <w:t>提交的澄清、说明或补正有疑问的，可以要求</w:t>
      </w:r>
      <w:r>
        <w:rPr>
          <w:rFonts w:hint="eastAsia" w:ascii="宋体" w:hAnsi="宋体"/>
          <w:kern w:val="0"/>
          <w:szCs w:val="21"/>
          <w:highlight w:val="none"/>
          <w:lang w:eastAsia="zh-CN"/>
        </w:rPr>
        <w:t>竞选人</w:t>
      </w:r>
      <w:r>
        <w:rPr>
          <w:rFonts w:ascii="宋体" w:hAnsi="宋体"/>
          <w:kern w:val="0"/>
          <w:szCs w:val="21"/>
          <w:highlight w:val="none"/>
        </w:rPr>
        <w:t>进一步澄清、说明或补正，直至满足评标委员会的要求。</w:t>
      </w:r>
    </w:p>
    <w:p w14:paraId="7EA88EB8">
      <w:pPr>
        <w:pStyle w:val="5"/>
        <w:snapToGrid w:val="0"/>
        <w:spacing w:before="0" w:after="0" w:line="360" w:lineRule="auto"/>
        <w:rPr>
          <w:rFonts w:ascii="宋体" w:hAnsi="宋体"/>
          <w:b w:val="0"/>
          <w:snapToGrid w:val="0"/>
          <w:sz w:val="24"/>
          <w:szCs w:val="24"/>
          <w:highlight w:val="none"/>
        </w:rPr>
      </w:pPr>
      <w:bookmarkStart w:id="379" w:name="_Toc430530508"/>
      <w:bookmarkStart w:id="380" w:name="_Toc277082626"/>
      <w:bookmarkStart w:id="381" w:name="_Toc17868"/>
      <w:bookmarkStart w:id="382" w:name="_Toc3502"/>
      <w:bookmarkStart w:id="383" w:name="_Toc224103392"/>
      <w:bookmarkStart w:id="384" w:name="_Toc287607820"/>
      <w:bookmarkStart w:id="385" w:name="_Toc287620759"/>
      <w:bookmarkStart w:id="386" w:name="_Toc509218784"/>
      <w:bookmarkStart w:id="387" w:name="_Toc200513206"/>
      <w:r>
        <w:rPr>
          <w:rFonts w:ascii="宋体" w:hAnsi="宋体"/>
          <w:b w:val="0"/>
          <w:snapToGrid w:val="0"/>
          <w:sz w:val="24"/>
          <w:szCs w:val="24"/>
          <w:highlight w:val="none"/>
        </w:rPr>
        <w:t>3.4  评标结果</w:t>
      </w:r>
      <w:bookmarkEnd w:id="379"/>
      <w:bookmarkEnd w:id="380"/>
      <w:bookmarkEnd w:id="381"/>
      <w:bookmarkEnd w:id="382"/>
      <w:bookmarkEnd w:id="383"/>
      <w:bookmarkEnd w:id="384"/>
      <w:bookmarkEnd w:id="385"/>
      <w:bookmarkEnd w:id="386"/>
      <w:bookmarkEnd w:id="387"/>
    </w:p>
    <w:p w14:paraId="177B580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 xml:space="preserve">.1 </w:t>
      </w:r>
      <w:r>
        <w:rPr>
          <w:rFonts w:ascii="宋体" w:hAnsi="宋体"/>
          <w:spacing w:val="1"/>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员会按照</w:t>
      </w:r>
      <w:r>
        <w:rPr>
          <w:rFonts w:ascii="宋体" w:hAnsi="宋体"/>
          <w:spacing w:val="1"/>
          <w:kern w:val="0"/>
          <w:szCs w:val="21"/>
          <w:highlight w:val="none"/>
        </w:rPr>
        <w:t>得分</w:t>
      </w:r>
      <w:r>
        <w:rPr>
          <w:rFonts w:ascii="宋体" w:hAnsi="宋体"/>
          <w:kern w:val="0"/>
          <w:szCs w:val="21"/>
          <w:highlight w:val="none"/>
        </w:rPr>
        <w:t>由高到低的顺序推荐中标候选人。</w:t>
      </w:r>
    </w:p>
    <w:p w14:paraId="730C73BE">
      <w:pPr>
        <w:autoSpaceDE w:val="0"/>
        <w:autoSpaceDN w:val="0"/>
        <w:adjustRightInd w:val="0"/>
        <w:snapToGrid w:val="0"/>
        <w:spacing w:line="360" w:lineRule="auto"/>
        <w:ind w:firstLine="424" w:firstLineChars="200"/>
        <w:rPr>
          <w:rFonts w:ascii="宋体" w:hAnsi="宋体"/>
          <w:kern w:val="0"/>
          <w:szCs w:val="21"/>
          <w:highlight w:val="none"/>
        </w:rPr>
      </w:pPr>
      <w:r>
        <w:rPr>
          <w:rFonts w:ascii="宋体" w:hAnsi="宋体"/>
          <w:spacing w:val="1"/>
          <w:kern w:val="0"/>
          <w:szCs w:val="21"/>
          <w:highlight w:val="none"/>
        </w:rPr>
        <w:t>3</w:t>
      </w:r>
      <w:r>
        <w:rPr>
          <w:rFonts w:ascii="宋体" w:hAnsi="宋体"/>
          <w:kern w:val="0"/>
          <w:szCs w:val="21"/>
          <w:highlight w:val="none"/>
        </w:rPr>
        <w:t>.4.2  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p w14:paraId="790F437A">
      <w:pPr>
        <w:spacing w:line="360" w:lineRule="auto"/>
        <w:rPr>
          <w:rFonts w:ascii="宋体" w:hAnsi="宋体"/>
          <w:b/>
          <w:szCs w:val="20"/>
          <w:highlight w:val="none"/>
        </w:rPr>
      </w:pPr>
      <w:r>
        <w:rPr>
          <w:rFonts w:ascii="宋体" w:hAnsi="宋体"/>
          <w:kern w:val="0"/>
          <w:sz w:val="20"/>
          <w:szCs w:val="20"/>
          <w:highlight w:val="none"/>
        </w:rPr>
        <w:br w:type="page"/>
      </w:r>
    </w:p>
    <w:p w14:paraId="3633EC07">
      <w:pPr>
        <w:pStyle w:val="33"/>
        <w:spacing w:line="360" w:lineRule="auto"/>
        <w:outlineLvl w:val="0"/>
        <w:rPr>
          <w:rFonts w:ascii="宋体" w:hAnsi="宋体"/>
          <w:b/>
          <w:sz w:val="28"/>
          <w:szCs w:val="28"/>
          <w:highlight w:val="none"/>
          <w:u w:val="none"/>
          <w:lang w:eastAsia="zh-CN"/>
        </w:rPr>
      </w:pPr>
      <w:bookmarkStart w:id="388" w:name="招标文件03章02评标办法综合评估法02附件02"/>
      <w:bookmarkEnd w:id="388"/>
      <w:bookmarkStart w:id="389" w:name="招标文件04章合同条款及格式"/>
      <w:bookmarkEnd w:id="389"/>
      <w:bookmarkStart w:id="390" w:name="_Toc29884"/>
      <w:bookmarkStart w:id="391" w:name="_Toc230410480"/>
      <w:bookmarkStart w:id="392" w:name="_Toc277082627"/>
      <w:r>
        <w:rPr>
          <w:rFonts w:ascii="宋体" w:hAnsi="宋体"/>
          <w:b/>
          <w:sz w:val="28"/>
          <w:szCs w:val="28"/>
          <w:highlight w:val="none"/>
          <w:u w:val="none"/>
          <w:lang w:eastAsia="zh-CN"/>
        </w:rPr>
        <w:t>附件A：综合评估法否决投标情况一览表</w:t>
      </w:r>
      <w:bookmarkEnd w:id="390"/>
      <w:bookmarkEnd w:id="391"/>
    </w:p>
    <w:bookmarkEnd w:id="392"/>
    <w:p w14:paraId="3643AACC">
      <w:pPr>
        <w:pStyle w:val="33"/>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7EEA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54AA0F0">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71DE1AC0">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383E01B5">
            <w:pPr>
              <w:spacing w:line="400" w:lineRule="exact"/>
              <w:jc w:val="center"/>
              <w:rPr>
                <w:rFonts w:ascii="宋体" w:hAnsi="宋体"/>
                <w:b/>
                <w:szCs w:val="21"/>
                <w:highlight w:val="none"/>
              </w:rPr>
            </w:pPr>
            <w:r>
              <w:rPr>
                <w:rFonts w:ascii="宋体" w:hAnsi="宋体"/>
                <w:b/>
                <w:szCs w:val="21"/>
                <w:highlight w:val="none"/>
              </w:rPr>
              <w:t>否决投标条件</w:t>
            </w:r>
          </w:p>
        </w:tc>
      </w:tr>
      <w:tr w14:paraId="398A7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2EA4CD95">
            <w:pPr>
              <w:spacing w:line="400" w:lineRule="exact"/>
              <w:jc w:val="center"/>
              <w:rPr>
                <w:rFonts w:ascii="宋体" w:hAnsi="宋体"/>
                <w:szCs w:val="21"/>
                <w:highlight w:val="none"/>
              </w:rPr>
            </w:pPr>
          </w:p>
        </w:tc>
        <w:tc>
          <w:tcPr>
            <w:tcW w:w="1899" w:type="dxa"/>
            <w:vMerge w:val="restart"/>
            <w:vAlign w:val="center"/>
          </w:tcPr>
          <w:p w14:paraId="61BB14C0">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00B91C16">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eastAsia="zh-CN"/>
              </w:rPr>
              <w:t>竞选人</w:t>
            </w:r>
            <w:r>
              <w:rPr>
                <w:rFonts w:hint="eastAsia" w:ascii="宋体" w:hAnsi="宋体"/>
                <w:szCs w:val="21"/>
                <w:highlight w:val="none"/>
              </w:rPr>
              <w:t>的资质条件、营业执照及安全生产条件须满足</w:t>
            </w:r>
            <w:r>
              <w:rPr>
                <w:rFonts w:hint="eastAsia" w:ascii="宋体" w:hAnsi="宋体"/>
                <w:szCs w:val="21"/>
                <w:highlight w:val="none"/>
                <w:lang w:eastAsia="zh-CN"/>
              </w:rPr>
              <w:t>竞选人</w:t>
            </w:r>
            <w:r>
              <w:rPr>
                <w:rFonts w:hint="eastAsia" w:ascii="宋体" w:hAnsi="宋体"/>
                <w:szCs w:val="21"/>
                <w:highlight w:val="none"/>
              </w:rPr>
              <w:t>须知前附表1.4.1项的要求，否则由评标委员会作否决投标处理。</w:t>
            </w:r>
          </w:p>
        </w:tc>
      </w:tr>
      <w:tr w14:paraId="1BABC1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F7CF1C2">
            <w:pPr>
              <w:spacing w:line="400" w:lineRule="exact"/>
              <w:jc w:val="center"/>
              <w:rPr>
                <w:rFonts w:ascii="宋体" w:hAnsi="宋体"/>
                <w:szCs w:val="21"/>
                <w:highlight w:val="none"/>
              </w:rPr>
            </w:pPr>
          </w:p>
        </w:tc>
        <w:tc>
          <w:tcPr>
            <w:tcW w:w="1899" w:type="dxa"/>
            <w:vMerge w:val="continue"/>
            <w:vAlign w:val="center"/>
          </w:tcPr>
          <w:p w14:paraId="47FB1A28">
            <w:pPr>
              <w:spacing w:line="400" w:lineRule="exact"/>
              <w:jc w:val="center"/>
              <w:rPr>
                <w:rFonts w:ascii="宋体" w:hAnsi="宋体"/>
                <w:szCs w:val="21"/>
                <w:highlight w:val="none"/>
              </w:rPr>
            </w:pPr>
          </w:p>
        </w:tc>
        <w:tc>
          <w:tcPr>
            <w:tcW w:w="6333" w:type="dxa"/>
            <w:vAlign w:val="center"/>
          </w:tcPr>
          <w:p w14:paraId="310D9C41">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eastAsia="zh-CN"/>
              </w:rPr>
              <w:t>竞选人</w:t>
            </w:r>
            <w:r>
              <w:rPr>
                <w:rFonts w:hint="eastAsia" w:ascii="宋体" w:hAnsi="宋体"/>
                <w:szCs w:val="21"/>
                <w:highlight w:val="none"/>
              </w:rPr>
              <w:t>的财务须满足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37C8F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C3BE6CF">
            <w:pPr>
              <w:spacing w:line="400" w:lineRule="exact"/>
              <w:jc w:val="center"/>
              <w:rPr>
                <w:rFonts w:ascii="宋体" w:hAnsi="宋体"/>
                <w:szCs w:val="21"/>
                <w:highlight w:val="none"/>
              </w:rPr>
            </w:pPr>
          </w:p>
        </w:tc>
        <w:tc>
          <w:tcPr>
            <w:tcW w:w="1899" w:type="dxa"/>
            <w:vMerge w:val="continue"/>
            <w:vAlign w:val="center"/>
          </w:tcPr>
          <w:p w14:paraId="03FF5BA1">
            <w:pPr>
              <w:spacing w:line="400" w:lineRule="exact"/>
              <w:jc w:val="center"/>
              <w:rPr>
                <w:rFonts w:ascii="宋体" w:hAnsi="宋体"/>
                <w:szCs w:val="21"/>
                <w:highlight w:val="none"/>
              </w:rPr>
            </w:pPr>
          </w:p>
        </w:tc>
        <w:tc>
          <w:tcPr>
            <w:tcW w:w="6333" w:type="dxa"/>
            <w:vAlign w:val="center"/>
          </w:tcPr>
          <w:p w14:paraId="2398151F">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hint="eastAsia" w:ascii="宋体" w:hAnsi="宋体"/>
                <w:szCs w:val="21"/>
                <w:highlight w:val="none"/>
                <w:lang w:eastAsia="zh-CN"/>
              </w:rPr>
              <w:t>竞选人</w:t>
            </w:r>
            <w:r>
              <w:rPr>
                <w:rFonts w:hint="eastAsia" w:ascii="宋体" w:hAnsi="宋体"/>
                <w:szCs w:val="21"/>
                <w:highlight w:val="none"/>
              </w:rPr>
              <w:t>的业绩须满足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4169DF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F926E3D">
            <w:pPr>
              <w:spacing w:line="400" w:lineRule="exact"/>
              <w:jc w:val="center"/>
              <w:rPr>
                <w:rFonts w:ascii="宋体" w:hAnsi="宋体"/>
                <w:szCs w:val="21"/>
                <w:highlight w:val="none"/>
              </w:rPr>
            </w:pPr>
          </w:p>
        </w:tc>
        <w:tc>
          <w:tcPr>
            <w:tcW w:w="1899" w:type="dxa"/>
            <w:vMerge w:val="continue"/>
            <w:vAlign w:val="center"/>
          </w:tcPr>
          <w:p w14:paraId="327174EF">
            <w:pPr>
              <w:spacing w:line="400" w:lineRule="exact"/>
              <w:jc w:val="center"/>
              <w:rPr>
                <w:rFonts w:ascii="宋体" w:hAnsi="宋体"/>
                <w:szCs w:val="21"/>
                <w:highlight w:val="none"/>
              </w:rPr>
            </w:pPr>
          </w:p>
        </w:tc>
        <w:tc>
          <w:tcPr>
            <w:tcW w:w="6333" w:type="dxa"/>
            <w:vAlign w:val="center"/>
          </w:tcPr>
          <w:p w14:paraId="363DF782">
            <w:pPr>
              <w:spacing w:line="400" w:lineRule="exact"/>
              <w:ind w:firstLine="420" w:firstLineChars="200"/>
              <w:rPr>
                <w:rFonts w:ascii="宋体" w:hAnsi="宋体"/>
                <w:szCs w:val="21"/>
                <w:highlight w:val="none"/>
              </w:rPr>
            </w:pPr>
            <w:r>
              <w:rPr>
                <w:rFonts w:hint="eastAsia" w:ascii="宋体" w:hAnsi="宋体"/>
                <w:szCs w:val="21"/>
                <w:highlight w:val="none"/>
              </w:rPr>
              <w:t>A-4</w:t>
            </w:r>
            <w:r>
              <w:rPr>
                <w:rFonts w:hint="eastAsia" w:ascii="宋体" w:hAnsi="宋体"/>
                <w:szCs w:val="21"/>
                <w:highlight w:val="none"/>
                <w:lang w:eastAsia="zh-CN"/>
              </w:rPr>
              <w:t>竞选人</w:t>
            </w:r>
            <w:r>
              <w:rPr>
                <w:rFonts w:hint="eastAsia" w:ascii="宋体" w:hAnsi="宋体"/>
                <w:szCs w:val="21"/>
                <w:highlight w:val="none"/>
              </w:rPr>
              <w:t>的投标截止日投标资格情况须满足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3B7CED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87415B2">
            <w:pPr>
              <w:spacing w:line="400" w:lineRule="exact"/>
              <w:jc w:val="center"/>
              <w:rPr>
                <w:rFonts w:ascii="宋体" w:hAnsi="宋体"/>
                <w:szCs w:val="21"/>
                <w:highlight w:val="none"/>
              </w:rPr>
            </w:pPr>
          </w:p>
        </w:tc>
        <w:tc>
          <w:tcPr>
            <w:tcW w:w="1899" w:type="dxa"/>
            <w:vMerge w:val="continue"/>
            <w:vAlign w:val="center"/>
          </w:tcPr>
          <w:p w14:paraId="6DBCFE2D">
            <w:pPr>
              <w:spacing w:line="400" w:lineRule="exact"/>
              <w:jc w:val="center"/>
              <w:rPr>
                <w:rFonts w:ascii="宋体" w:hAnsi="宋体"/>
                <w:szCs w:val="21"/>
                <w:highlight w:val="none"/>
              </w:rPr>
            </w:pPr>
          </w:p>
        </w:tc>
        <w:tc>
          <w:tcPr>
            <w:tcW w:w="6333" w:type="dxa"/>
            <w:vAlign w:val="center"/>
          </w:tcPr>
          <w:p w14:paraId="65DBD951">
            <w:pPr>
              <w:spacing w:line="400" w:lineRule="exact"/>
              <w:ind w:firstLine="420" w:firstLineChars="200"/>
              <w:rPr>
                <w:rFonts w:ascii="宋体" w:hAnsi="宋体"/>
                <w:szCs w:val="21"/>
                <w:highlight w:val="none"/>
              </w:rPr>
            </w:pPr>
            <w:r>
              <w:rPr>
                <w:rFonts w:hint="eastAsia" w:ascii="宋体" w:hAnsi="宋体"/>
                <w:szCs w:val="21"/>
                <w:highlight w:val="none"/>
              </w:rPr>
              <w:t>A-5</w:t>
            </w:r>
            <w:r>
              <w:rPr>
                <w:rFonts w:hint="eastAsia" w:ascii="宋体" w:hAnsi="宋体"/>
                <w:szCs w:val="21"/>
                <w:highlight w:val="none"/>
                <w:lang w:eastAsia="zh-CN"/>
              </w:rPr>
              <w:t>竞选人</w:t>
            </w:r>
            <w:r>
              <w:rPr>
                <w:rFonts w:hint="eastAsia" w:ascii="宋体" w:hAnsi="宋体"/>
                <w:szCs w:val="21"/>
                <w:highlight w:val="none"/>
              </w:rPr>
              <w:t>的项目经理资格须满足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1E7682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10A16A9">
            <w:pPr>
              <w:spacing w:line="400" w:lineRule="exact"/>
              <w:jc w:val="center"/>
              <w:rPr>
                <w:rFonts w:ascii="宋体" w:hAnsi="宋体"/>
                <w:szCs w:val="21"/>
                <w:highlight w:val="none"/>
              </w:rPr>
            </w:pPr>
          </w:p>
        </w:tc>
        <w:tc>
          <w:tcPr>
            <w:tcW w:w="1899" w:type="dxa"/>
            <w:vMerge w:val="continue"/>
            <w:vAlign w:val="center"/>
          </w:tcPr>
          <w:p w14:paraId="6F56E989">
            <w:pPr>
              <w:spacing w:line="400" w:lineRule="exact"/>
              <w:jc w:val="center"/>
              <w:rPr>
                <w:rFonts w:ascii="宋体" w:hAnsi="宋体"/>
                <w:szCs w:val="21"/>
                <w:highlight w:val="none"/>
              </w:rPr>
            </w:pPr>
          </w:p>
        </w:tc>
        <w:tc>
          <w:tcPr>
            <w:tcW w:w="6333" w:type="dxa"/>
            <w:vAlign w:val="center"/>
          </w:tcPr>
          <w:p w14:paraId="6D0624E0">
            <w:pPr>
              <w:spacing w:line="400" w:lineRule="exact"/>
              <w:ind w:firstLine="420" w:firstLineChars="200"/>
              <w:rPr>
                <w:rFonts w:ascii="宋体" w:hAnsi="宋体"/>
                <w:szCs w:val="21"/>
                <w:highlight w:val="none"/>
              </w:rPr>
            </w:pPr>
            <w:r>
              <w:rPr>
                <w:rFonts w:hint="eastAsia" w:ascii="宋体" w:hAnsi="宋体"/>
                <w:szCs w:val="21"/>
                <w:highlight w:val="none"/>
              </w:rPr>
              <w:t>A-6</w:t>
            </w:r>
            <w:r>
              <w:rPr>
                <w:rFonts w:hint="eastAsia" w:ascii="宋体" w:hAnsi="宋体"/>
                <w:szCs w:val="21"/>
                <w:highlight w:val="none"/>
                <w:lang w:eastAsia="zh-CN"/>
              </w:rPr>
              <w:t>竞选人</w:t>
            </w:r>
            <w:r>
              <w:rPr>
                <w:rFonts w:hint="eastAsia" w:ascii="宋体" w:hAnsi="宋体"/>
                <w:szCs w:val="21"/>
                <w:highlight w:val="none"/>
              </w:rPr>
              <w:t>的其他要求须满足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32116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CD525EF">
            <w:pPr>
              <w:spacing w:line="400" w:lineRule="exact"/>
              <w:jc w:val="center"/>
              <w:rPr>
                <w:rFonts w:ascii="宋体" w:hAnsi="宋体"/>
                <w:szCs w:val="21"/>
                <w:highlight w:val="none"/>
              </w:rPr>
            </w:pPr>
          </w:p>
        </w:tc>
        <w:tc>
          <w:tcPr>
            <w:tcW w:w="1899" w:type="dxa"/>
            <w:vMerge w:val="continue"/>
            <w:vAlign w:val="center"/>
          </w:tcPr>
          <w:p w14:paraId="65650932">
            <w:pPr>
              <w:spacing w:line="400" w:lineRule="exact"/>
              <w:jc w:val="center"/>
              <w:rPr>
                <w:rFonts w:ascii="宋体" w:hAnsi="宋体"/>
                <w:szCs w:val="21"/>
                <w:highlight w:val="none"/>
              </w:rPr>
            </w:pPr>
          </w:p>
        </w:tc>
        <w:tc>
          <w:tcPr>
            <w:tcW w:w="6333" w:type="dxa"/>
            <w:vAlign w:val="center"/>
          </w:tcPr>
          <w:p w14:paraId="5821EFB0">
            <w:pPr>
              <w:spacing w:line="400" w:lineRule="exact"/>
              <w:ind w:firstLine="420" w:firstLineChars="200"/>
              <w:rPr>
                <w:rFonts w:ascii="宋体" w:hAnsi="宋体"/>
                <w:szCs w:val="21"/>
                <w:highlight w:val="none"/>
              </w:rPr>
            </w:pPr>
            <w:r>
              <w:rPr>
                <w:rFonts w:hint="eastAsia" w:ascii="宋体" w:hAnsi="宋体"/>
                <w:szCs w:val="21"/>
                <w:highlight w:val="none"/>
              </w:rPr>
              <w:t>A-7若有联合体</w:t>
            </w:r>
            <w:r>
              <w:rPr>
                <w:rFonts w:hint="eastAsia" w:ascii="宋体" w:hAnsi="宋体"/>
                <w:szCs w:val="21"/>
                <w:highlight w:val="none"/>
                <w:lang w:eastAsia="zh-CN"/>
              </w:rPr>
              <w:t>竞选人</w:t>
            </w:r>
            <w:r>
              <w:rPr>
                <w:rFonts w:hint="eastAsia" w:ascii="宋体" w:hAnsi="宋体"/>
                <w:szCs w:val="21"/>
                <w:highlight w:val="none"/>
              </w:rPr>
              <w:t>，则：</w:t>
            </w:r>
          </w:p>
          <w:p w14:paraId="038EA05A">
            <w:pPr>
              <w:spacing w:line="400" w:lineRule="exact"/>
              <w:ind w:firstLine="420" w:firstLineChars="20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6EBB13D2">
            <w:pPr>
              <w:spacing w:line="400" w:lineRule="exact"/>
              <w:ind w:firstLine="420" w:firstLineChars="20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4766D352">
            <w:pPr>
              <w:spacing w:line="400" w:lineRule="exact"/>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4A087B9E">
            <w:pPr>
              <w:spacing w:line="400" w:lineRule="exact"/>
              <w:ind w:firstLine="420" w:firstLineChars="200"/>
              <w:rPr>
                <w:rFonts w:ascii="宋体" w:hAnsi="宋体"/>
                <w:szCs w:val="21"/>
                <w:highlight w:val="none"/>
              </w:rPr>
            </w:pPr>
            <w:r>
              <w:rPr>
                <w:rFonts w:hint="eastAsia" w:ascii="宋体" w:hAnsi="宋体"/>
                <w:szCs w:val="21"/>
                <w:highlight w:val="none"/>
              </w:rPr>
              <w:t>否则由评标委员会作否决投标处理（如有）。</w:t>
            </w:r>
          </w:p>
        </w:tc>
      </w:tr>
      <w:tr w14:paraId="282C19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36B84B">
            <w:pPr>
              <w:spacing w:line="400" w:lineRule="exact"/>
              <w:jc w:val="center"/>
              <w:rPr>
                <w:rFonts w:ascii="宋体" w:hAnsi="宋体"/>
                <w:szCs w:val="21"/>
                <w:highlight w:val="none"/>
              </w:rPr>
            </w:pPr>
          </w:p>
        </w:tc>
        <w:tc>
          <w:tcPr>
            <w:tcW w:w="1899" w:type="dxa"/>
            <w:vMerge w:val="restart"/>
            <w:vAlign w:val="center"/>
          </w:tcPr>
          <w:p w14:paraId="482A71C2">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0E3FCADB">
            <w:pPr>
              <w:spacing w:line="400" w:lineRule="exact"/>
              <w:ind w:firstLine="420" w:firstLineChars="200"/>
              <w:rPr>
                <w:rFonts w:ascii="宋体" w:hAnsi="宋体"/>
                <w:szCs w:val="21"/>
                <w:highlight w:val="none"/>
              </w:rPr>
            </w:pPr>
            <w:r>
              <w:rPr>
                <w:rFonts w:hint="eastAsia" w:ascii="宋体" w:hAnsi="宋体"/>
                <w:szCs w:val="21"/>
                <w:highlight w:val="none"/>
              </w:rPr>
              <w:t>A-8</w:t>
            </w:r>
            <w:r>
              <w:rPr>
                <w:rFonts w:hint="eastAsia" w:ascii="宋体" w:hAnsi="宋体"/>
                <w:szCs w:val="21"/>
                <w:highlight w:val="none"/>
                <w:lang w:eastAsia="zh-CN"/>
              </w:rPr>
              <w:t>竞选人</w:t>
            </w:r>
            <w:r>
              <w:rPr>
                <w:rFonts w:hint="eastAsia" w:ascii="宋体" w:hAnsi="宋体"/>
                <w:szCs w:val="21"/>
                <w:highlight w:val="none"/>
              </w:rPr>
              <w:t>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58E94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68BF21">
            <w:pPr>
              <w:spacing w:line="400" w:lineRule="exact"/>
              <w:jc w:val="center"/>
              <w:rPr>
                <w:rFonts w:ascii="宋体" w:hAnsi="宋体"/>
                <w:szCs w:val="21"/>
                <w:highlight w:val="none"/>
              </w:rPr>
            </w:pPr>
          </w:p>
        </w:tc>
        <w:tc>
          <w:tcPr>
            <w:tcW w:w="1899" w:type="dxa"/>
            <w:vMerge w:val="continue"/>
            <w:vAlign w:val="center"/>
          </w:tcPr>
          <w:p w14:paraId="455782A9">
            <w:pPr>
              <w:spacing w:line="400" w:lineRule="exact"/>
              <w:jc w:val="center"/>
              <w:rPr>
                <w:rFonts w:ascii="宋体" w:hAnsi="宋体"/>
                <w:szCs w:val="21"/>
                <w:highlight w:val="none"/>
              </w:rPr>
            </w:pPr>
          </w:p>
        </w:tc>
        <w:tc>
          <w:tcPr>
            <w:tcW w:w="6333" w:type="dxa"/>
          </w:tcPr>
          <w:p w14:paraId="3832343D">
            <w:pPr>
              <w:spacing w:line="400" w:lineRule="exact"/>
              <w:ind w:firstLine="420" w:firstLineChars="200"/>
              <w:rPr>
                <w:rFonts w:ascii="宋体" w:hAnsi="宋体"/>
                <w:szCs w:val="21"/>
                <w:highlight w:val="none"/>
              </w:rPr>
            </w:pPr>
            <w:r>
              <w:rPr>
                <w:rFonts w:hint="eastAsia" w:ascii="宋体" w:hAnsi="宋体"/>
                <w:szCs w:val="21"/>
                <w:highlight w:val="none"/>
              </w:rPr>
              <w:t>A-9</w:t>
            </w:r>
            <w:r>
              <w:rPr>
                <w:rFonts w:hint="eastAsia" w:ascii="宋体" w:hAnsi="宋体"/>
                <w:szCs w:val="21"/>
                <w:highlight w:val="none"/>
                <w:lang w:eastAsia="zh-CN"/>
              </w:rPr>
              <w:t>竞选函</w:t>
            </w:r>
            <w:r>
              <w:rPr>
                <w:rFonts w:hint="eastAsia" w:ascii="宋体" w:hAnsi="宋体"/>
                <w:szCs w:val="21"/>
                <w:highlight w:val="none"/>
              </w:rPr>
              <w:t>格式规定签名、盖章的位置有法定代表人或其委托代理人签名（或盖章）、加盖单位法人章，否则由评标委员会作否决投标处理。</w:t>
            </w:r>
          </w:p>
        </w:tc>
      </w:tr>
      <w:tr w14:paraId="777CA1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64EAA9">
            <w:pPr>
              <w:spacing w:line="400" w:lineRule="exact"/>
              <w:jc w:val="center"/>
              <w:rPr>
                <w:rFonts w:ascii="宋体" w:hAnsi="宋体"/>
                <w:szCs w:val="21"/>
                <w:highlight w:val="none"/>
              </w:rPr>
            </w:pPr>
          </w:p>
        </w:tc>
        <w:tc>
          <w:tcPr>
            <w:tcW w:w="1899" w:type="dxa"/>
            <w:vMerge w:val="continue"/>
            <w:vAlign w:val="center"/>
          </w:tcPr>
          <w:p w14:paraId="541A53EE">
            <w:pPr>
              <w:spacing w:line="400" w:lineRule="exact"/>
              <w:jc w:val="center"/>
              <w:rPr>
                <w:rFonts w:ascii="宋体" w:hAnsi="宋体"/>
                <w:szCs w:val="21"/>
                <w:highlight w:val="none"/>
              </w:rPr>
            </w:pPr>
          </w:p>
        </w:tc>
        <w:tc>
          <w:tcPr>
            <w:tcW w:w="6333" w:type="dxa"/>
          </w:tcPr>
          <w:p w14:paraId="3EF57DDA">
            <w:pPr>
              <w:spacing w:line="400" w:lineRule="exact"/>
              <w:ind w:firstLine="420" w:firstLineChars="200"/>
              <w:rPr>
                <w:rFonts w:ascii="宋体" w:hAnsi="宋体"/>
                <w:szCs w:val="21"/>
                <w:highlight w:val="none"/>
              </w:rPr>
            </w:pPr>
            <w:r>
              <w:rPr>
                <w:rFonts w:hint="eastAsia" w:ascii="宋体" w:hAnsi="宋体"/>
                <w:szCs w:val="21"/>
                <w:highlight w:val="none"/>
              </w:rPr>
              <w:t>A-10</w:t>
            </w:r>
            <w:r>
              <w:rPr>
                <w:rFonts w:hint="eastAsia" w:ascii="宋体" w:hAnsi="宋体"/>
                <w:szCs w:val="21"/>
                <w:highlight w:val="none"/>
                <w:lang w:eastAsia="zh-CN"/>
              </w:rPr>
              <w:t>竞选文件</w:t>
            </w:r>
            <w:r>
              <w:rPr>
                <w:rFonts w:hint="eastAsia" w:ascii="宋体" w:hAnsi="宋体"/>
                <w:szCs w:val="21"/>
                <w:highlight w:val="none"/>
              </w:rPr>
              <w:t>格式符合第二章“</w:t>
            </w:r>
            <w:r>
              <w:rPr>
                <w:rFonts w:hint="eastAsia" w:ascii="宋体" w:hAnsi="宋体"/>
                <w:szCs w:val="21"/>
                <w:highlight w:val="none"/>
                <w:lang w:eastAsia="zh-CN"/>
              </w:rPr>
              <w:t>竞选人</w:t>
            </w:r>
            <w:r>
              <w:rPr>
                <w:rFonts w:hint="eastAsia" w:ascii="宋体" w:hAnsi="宋体"/>
                <w:szCs w:val="21"/>
                <w:highlight w:val="none"/>
              </w:rPr>
              <w:t>须知”第3.7款的要求，否则由评标委员会作否决投标处理。</w:t>
            </w:r>
          </w:p>
          <w:p w14:paraId="534EE79A">
            <w:pPr>
              <w:spacing w:line="400" w:lineRule="exact"/>
              <w:ind w:firstLine="420" w:firstLineChars="200"/>
              <w:rPr>
                <w:rFonts w:ascii="宋体" w:hAnsi="宋体"/>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14:paraId="228404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B34F32">
            <w:pPr>
              <w:spacing w:line="400" w:lineRule="exact"/>
              <w:jc w:val="center"/>
              <w:rPr>
                <w:rFonts w:ascii="宋体" w:hAnsi="宋体"/>
                <w:szCs w:val="21"/>
                <w:highlight w:val="none"/>
              </w:rPr>
            </w:pPr>
          </w:p>
        </w:tc>
        <w:tc>
          <w:tcPr>
            <w:tcW w:w="1899" w:type="dxa"/>
            <w:vMerge w:val="continue"/>
            <w:vAlign w:val="center"/>
          </w:tcPr>
          <w:p w14:paraId="651E158C">
            <w:pPr>
              <w:spacing w:line="400" w:lineRule="exact"/>
              <w:jc w:val="center"/>
              <w:rPr>
                <w:rFonts w:ascii="宋体" w:hAnsi="宋体"/>
                <w:szCs w:val="21"/>
                <w:highlight w:val="none"/>
              </w:rPr>
            </w:pPr>
          </w:p>
        </w:tc>
        <w:tc>
          <w:tcPr>
            <w:tcW w:w="6333" w:type="dxa"/>
          </w:tcPr>
          <w:p w14:paraId="6AC2C9C8">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A-11</w:t>
            </w:r>
            <w:r>
              <w:rPr>
                <w:rFonts w:hint="eastAsia" w:ascii="宋体" w:hAnsi="宋体"/>
                <w:szCs w:val="21"/>
                <w:highlight w:val="none"/>
                <w:lang w:eastAsia="zh-CN"/>
              </w:rPr>
              <w:t>竞选文件</w:t>
            </w:r>
            <w:r>
              <w:rPr>
                <w:rFonts w:hint="eastAsia" w:ascii="宋体" w:hAnsi="宋体"/>
                <w:szCs w:val="21"/>
                <w:highlight w:val="none"/>
              </w:rPr>
              <w:t>份数符合第二章“</w:t>
            </w:r>
            <w:r>
              <w:rPr>
                <w:rFonts w:hint="eastAsia" w:ascii="宋体" w:hAnsi="宋体"/>
                <w:szCs w:val="21"/>
                <w:highlight w:val="none"/>
                <w:lang w:eastAsia="zh-CN"/>
              </w:rPr>
              <w:t>竞选人</w:t>
            </w:r>
            <w:r>
              <w:rPr>
                <w:rFonts w:hint="eastAsia" w:ascii="宋体" w:hAnsi="宋体"/>
                <w:szCs w:val="21"/>
                <w:highlight w:val="none"/>
              </w:rPr>
              <w:t>须知”第3.7.4项的规定，</w:t>
            </w:r>
            <w:r>
              <w:rPr>
                <w:rFonts w:hint="eastAsia" w:ascii="宋体" w:hAnsi="宋体"/>
                <w:kern w:val="0"/>
                <w:szCs w:val="21"/>
                <w:highlight w:val="none"/>
              </w:rPr>
              <w:t>否则由评标委员会作否决投标处理。</w:t>
            </w:r>
          </w:p>
        </w:tc>
      </w:tr>
      <w:tr w14:paraId="5180A7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0FD37B">
            <w:pPr>
              <w:spacing w:line="400" w:lineRule="exact"/>
              <w:jc w:val="center"/>
              <w:rPr>
                <w:rFonts w:ascii="宋体" w:hAnsi="宋体"/>
                <w:szCs w:val="21"/>
                <w:highlight w:val="none"/>
              </w:rPr>
            </w:pPr>
          </w:p>
        </w:tc>
        <w:tc>
          <w:tcPr>
            <w:tcW w:w="1899" w:type="dxa"/>
            <w:vMerge w:val="continue"/>
            <w:vAlign w:val="center"/>
          </w:tcPr>
          <w:p w14:paraId="734C91F2">
            <w:pPr>
              <w:spacing w:line="400" w:lineRule="exact"/>
              <w:jc w:val="center"/>
              <w:rPr>
                <w:rFonts w:ascii="宋体" w:hAnsi="宋体"/>
                <w:szCs w:val="21"/>
                <w:highlight w:val="none"/>
              </w:rPr>
            </w:pPr>
          </w:p>
        </w:tc>
        <w:tc>
          <w:tcPr>
            <w:tcW w:w="6333" w:type="dxa"/>
          </w:tcPr>
          <w:p w14:paraId="3B81BC22">
            <w:pPr>
              <w:spacing w:line="400" w:lineRule="exact"/>
              <w:ind w:firstLine="420" w:firstLineChars="200"/>
              <w:rPr>
                <w:rFonts w:ascii="宋体" w:hAnsi="宋体"/>
                <w:szCs w:val="21"/>
                <w:highlight w:val="none"/>
              </w:rPr>
            </w:pPr>
            <w:r>
              <w:rPr>
                <w:rFonts w:hint="eastAsia" w:ascii="宋体" w:hAnsi="宋体"/>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14:paraId="2967B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AA120D">
            <w:pPr>
              <w:spacing w:line="400" w:lineRule="exact"/>
              <w:jc w:val="center"/>
              <w:rPr>
                <w:rFonts w:ascii="宋体" w:hAnsi="宋体"/>
                <w:szCs w:val="21"/>
                <w:highlight w:val="none"/>
              </w:rPr>
            </w:pPr>
          </w:p>
        </w:tc>
        <w:tc>
          <w:tcPr>
            <w:tcW w:w="1899" w:type="dxa"/>
            <w:vMerge w:val="continue"/>
            <w:vAlign w:val="center"/>
          </w:tcPr>
          <w:p w14:paraId="73B120ED">
            <w:pPr>
              <w:spacing w:line="400" w:lineRule="exact"/>
              <w:jc w:val="center"/>
              <w:rPr>
                <w:rFonts w:ascii="宋体" w:hAnsi="宋体"/>
                <w:szCs w:val="21"/>
                <w:highlight w:val="none"/>
              </w:rPr>
            </w:pPr>
          </w:p>
        </w:tc>
        <w:tc>
          <w:tcPr>
            <w:tcW w:w="6333" w:type="dxa"/>
          </w:tcPr>
          <w:p w14:paraId="72309778">
            <w:pPr>
              <w:spacing w:line="400" w:lineRule="exact"/>
              <w:ind w:firstLine="420" w:firstLineChars="200"/>
              <w:rPr>
                <w:rFonts w:ascii="宋体" w:hAnsi="宋体"/>
                <w:szCs w:val="21"/>
                <w:highlight w:val="none"/>
              </w:rPr>
            </w:pPr>
            <w:r>
              <w:rPr>
                <w:rFonts w:hint="eastAsia" w:ascii="宋体" w:hAnsi="宋体"/>
                <w:szCs w:val="21"/>
                <w:highlight w:val="none"/>
              </w:rPr>
              <w:t>A-13只能有一个有效报价。在招标文件没有规定的情况下，不得提交选择性报价，否则由评标委员会作否决投标处理。</w:t>
            </w:r>
          </w:p>
        </w:tc>
      </w:tr>
      <w:tr w14:paraId="399FE4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4BEB08">
            <w:pPr>
              <w:spacing w:line="400" w:lineRule="exact"/>
              <w:jc w:val="center"/>
              <w:rPr>
                <w:rFonts w:ascii="宋体" w:hAnsi="宋体"/>
                <w:szCs w:val="21"/>
                <w:highlight w:val="none"/>
              </w:rPr>
            </w:pPr>
          </w:p>
        </w:tc>
        <w:tc>
          <w:tcPr>
            <w:tcW w:w="1899" w:type="dxa"/>
            <w:vMerge w:val="continue"/>
            <w:vAlign w:val="center"/>
          </w:tcPr>
          <w:p w14:paraId="144C9FE1">
            <w:pPr>
              <w:spacing w:line="400" w:lineRule="exact"/>
              <w:jc w:val="center"/>
              <w:rPr>
                <w:rFonts w:ascii="宋体" w:hAnsi="宋体"/>
                <w:szCs w:val="21"/>
                <w:highlight w:val="none"/>
              </w:rPr>
            </w:pPr>
          </w:p>
        </w:tc>
        <w:tc>
          <w:tcPr>
            <w:tcW w:w="6333" w:type="dxa"/>
          </w:tcPr>
          <w:p w14:paraId="6E79E1B7">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A-14</w:t>
            </w:r>
            <w:r>
              <w:rPr>
                <w:rFonts w:hint="eastAsia" w:ascii="宋体" w:hAnsi="宋体" w:cs="宋体"/>
                <w:kern w:val="0"/>
                <w:highlight w:val="none"/>
              </w:rPr>
              <w:t xml:space="preserve">第八章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r>
              <w:rPr>
                <w:rFonts w:hint="eastAsia" w:ascii="宋体" w:hAnsi="宋体" w:cs="宋体"/>
                <w:snapToGrid w:val="0"/>
                <w:kern w:val="0"/>
                <w:szCs w:val="21"/>
                <w:highlight w:val="none"/>
              </w:rPr>
              <w:t>若投标单位为联合体，则联合体协议书中各联合体各成员单位签名（或盖章）须齐全，联合体协议书以外的</w:t>
            </w:r>
            <w:r>
              <w:rPr>
                <w:rFonts w:hint="eastAsia" w:ascii="宋体" w:hAnsi="宋体" w:cs="宋体"/>
                <w:kern w:val="0"/>
                <w:highlight w:val="none"/>
                <w:lang w:eastAsia="zh-CN"/>
              </w:rPr>
              <w:t>竞选文件</w:t>
            </w:r>
            <w:r>
              <w:rPr>
                <w:rFonts w:hint="eastAsia" w:ascii="宋体" w:hAnsi="宋体" w:cs="宋体"/>
                <w:kern w:val="0"/>
                <w:highlight w:val="none"/>
              </w:rPr>
              <w:t>格式中，要求</w:t>
            </w:r>
            <w:r>
              <w:rPr>
                <w:rFonts w:hint="eastAsia" w:ascii="宋体" w:hAnsi="宋体" w:cs="宋体"/>
                <w:snapToGrid w:val="0"/>
                <w:kern w:val="0"/>
                <w:szCs w:val="21"/>
                <w:highlight w:val="none"/>
              </w:rPr>
              <w:t>联合体牵头人</w:t>
            </w:r>
            <w:r>
              <w:rPr>
                <w:rFonts w:hint="eastAsia" w:ascii="宋体" w:hAnsi="宋体" w:cs="宋体"/>
                <w:kern w:val="0"/>
                <w:highlight w:val="none"/>
              </w:rPr>
              <w:t>法定代表人或其委托代理人签名（或盖章）的须齐全</w:t>
            </w:r>
            <w:r>
              <w:rPr>
                <w:rFonts w:hint="eastAsia" w:ascii="宋体" w:hAnsi="宋体"/>
                <w:szCs w:val="21"/>
                <w:highlight w:val="none"/>
              </w:rPr>
              <w:t>，否则由评标委员会作否决投标处理。</w:t>
            </w:r>
          </w:p>
        </w:tc>
      </w:tr>
      <w:tr w14:paraId="7D7450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B8AF7E">
            <w:pPr>
              <w:spacing w:line="400" w:lineRule="exact"/>
              <w:jc w:val="center"/>
              <w:rPr>
                <w:rFonts w:ascii="宋体" w:hAnsi="宋体"/>
                <w:szCs w:val="21"/>
                <w:highlight w:val="none"/>
              </w:rPr>
            </w:pPr>
          </w:p>
        </w:tc>
        <w:tc>
          <w:tcPr>
            <w:tcW w:w="1899" w:type="dxa"/>
            <w:vMerge w:val="continue"/>
            <w:vAlign w:val="center"/>
          </w:tcPr>
          <w:p w14:paraId="57BBBF64">
            <w:pPr>
              <w:spacing w:line="400" w:lineRule="exact"/>
              <w:jc w:val="center"/>
              <w:rPr>
                <w:rFonts w:ascii="宋体" w:hAnsi="宋体"/>
                <w:szCs w:val="21"/>
                <w:highlight w:val="none"/>
              </w:rPr>
            </w:pPr>
          </w:p>
        </w:tc>
        <w:tc>
          <w:tcPr>
            <w:tcW w:w="6333" w:type="dxa"/>
          </w:tcPr>
          <w:p w14:paraId="47E44C55">
            <w:pPr>
              <w:spacing w:line="400" w:lineRule="exact"/>
              <w:ind w:firstLine="420" w:firstLineChars="200"/>
              <w:rPr>
                <w:rFonts w:ascii="宋体" w:hAnsi="宋体"/>
                <w:szCs w:val="21"/>
                <w:highlight w:val="none"/>
              </w:rPr>
            </w:pPr>
            <w:r>
              <w:rPr>
                <w:rFonts w:hint="eastAsia" w:ascii="宋体" w:hAnsi="宋体"/>
                <w:szCs w:val="21"/>
                <w:highlight w:val="none"/>
              </w:rPr>
              <w:t>A-15</w:t>
            </w:r>
            <w:r>
              <w:rPr>
                <w:rFonts w:hint="eastAsia" w:ascii="宋体" w:hAnsi="宋体"/>
                <w:szCs w:val="21"/>
                <w:highlight w:val="none"/>
                <w:lang w:eastAsia="zh-CN"/>
              </w:rPr>
              <w:t>竞选人</w:t>
            </w:r>
            <w:r>
              <w:rPr>
                <w:rFonts w:hint="eastAsia" w:ascii="宋体" w:hAnsi="宋体"/>
                <w:szCs w:val="21"/>
                <w:highlight w:val="none"/>
              </w:rPr>
              <w:t>法定代表人的委托代理人有法定代表人签署的授权委托书和</w:t>
            </w:r>
            <w:r>
              <w:rPr>
                <w:rFonts w:hint="eastAsia" w:ascii="宋体" w:hAnsi="宋体"/>
                <w:szCs w:val="21"/>
                <w:highlight w:val="none"/>
                <w:lang w:eastAsia="zh-CN"/>
              </w:rPr>
              <w:t>竞选人</w:t>
            </w:r>
            <w:r>
              <w:rPr>
                <w:rFonts w:hint="eastAsia" w:ascii="宋体" w:hAnsi="宋体"/>
                <w:szCs w:val="21"/>
                <w:highlight w:val="none"/>
              </w:rPr>
              <w:t>为其缴纳的养老保险证明材料，否则由评标委员会作否决投标处理。</w:t>
            </w:r>
          </w:p>
        </w:tc>
      </w:tr>
      <w:tr w14:paraId="0B322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9E4CAF">
            <w:pPr>
              <w:spacing w:line="400" w:lineRule="exact"/>
              <w:jc w:val="center"/>
              <w:rPr>
                <w:rFonts w:ascii="宋体" w:hAnsi="宋体"/>
                <w:szCs w:val="21"/>
                <w:highlight w:val="none"/>
              </w:rPr>
            </w:pPr>
          </w:p>
        </w:tc>
        <w:tc>
          <w:tcPr>
            <w:tcW w:w="1899" w:type="dxa"/>
            <w:vMerge w:val="restart"/>
            <w:vAlign w:val="center"/>
          </w:tcPr>
          <w:p w14:paraId="18993404">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6EEFA465">
            <w:pPr>
              <w:spacing w:line="400" w:lineRule="exact"/>
              <w:ind w:firstLine="420" w:firstLineChars="200"/>
              <w:rPr>
                <w:rFonts w:ascii="宋体" w:hAnsi="宋体"/>
                <w:szCs w:val="21"/>
                <w:highlight w:val="none"/>
              </w:rPr>
            </w:pPr>
            <w:r>
              <w:rPr>
                <w:rFonts w:hint="eastAsia" w:ascii="宋体" w:hAnsi="宋体"/>
                <w:szCs w:val="21"/>
                <w:highlight w:val="none"/>
              </w:rPr>
              <w:t>A-16</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，否则由评标委员会作否决投标处理。</w:t>
            </w:r>
          </w:p>
        </w:tc>
      </w:tr>
      <w:tr w14:paraId="6A7CE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772C91">
            <w:pPr>
              <w:spacing w:line="400" w:lineRule="exact"/>
              <w:jc w:val="center"/>
              <w:rPr>
                <w:rFonts w:ascii="宋体" w:hAnsi="宋体"/>
                <w:szCs w:val="21"/>
                <w:highlight w:val="none"/>
              </w:rPr>
            </w:pPr>
          </w:p>
        </w:tc>
        <w:tc>
          <w:tcPr>
            <w:tcW w:w="1899" w:type="dxa"/>
            <w:vMerge w:val="continue"/>
            <w:vAlign w:val="center"/>
          </w:tcPr>
          <w:p w14:paraId="1C6E962B">
            <w:pPr>
              <w:spacing w:line="400" w:lineRule="exact"/>
              <w:jc w:val="center"/>
              <w:rPr>
                <w:rFonts w:ascii="宋体" w:hAnsi="宋体"/>
                <w:szCs w:val="21"/>
                <w:highlight w:val="none"/>
              </w:rPr>
            </w:pPr>
          </w:p>
        </w:tc>
        <w:tc>
          <w:tcPr>
            <w:tcW w:w="6333" w:type="dxa"/>
            <w:vAlign w:val="center"/>
          </w:tcPr>
          <w:p w14:paraId="68670597">
            <w:pPr>
              <w:spacing w:line="400" w:lineRule="exact"/>
              <w:ind w:firstLine="420" w:firstLineChars="200"/>
              <w:rPr>
                <w:rFonts w:ascii="宋体" w:hAnsi="宋体"/>
                <w:szCs w:val="21"/>
                <w:highlight w:val="none"/>
              </w:rPr>
            </w:pPr>
            <w:r>
              <w:rPr>
                <w:rFonts w:hint="eastAsia" w:ascii="宋体" w:hAnsi="宋体"/>
                <w:szCs w:val="21"/>
                <w:highlight w:val="none"/>
              </w:rPr>
              <w:t>A-17投标总报价不得高于</w:t>
            </w:r>
            <w:r>
              <w:rPr>
                <w:rFonts w:hint="eastAsia" w:ascii="宋体" w:hAnsi="宋体"/>
                <w:szCs w:val="21"/>
                <w:highlight w:val="none"/>
                <w:lang w:eastAsia="zh-CN"/>
              </w:rPr>
              <w:t>比选人</w:t>
            </w:r>
            <w:r>
              <w:rPr>
                <w:rFonts w:hint="eastAsia" w:ascii="宋体" w:hAnsi="宋体"/>
                <w:szCs w:val="21"/>
                <w:highlight w:val="none"/>
              </w:rPr>
              <w:t>公布的投标总报价最高限价，否则由评标委员会作否决投标处理。</w:t>
            </w:r>
          </w:p>
        </w:tc>
      </w:tr>
      <w:tr w14:paraId="5C0E41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64C302">
            <w:pPr>
              <w:spacing w:line="400" w:lineRule="exact"/>
              <w:jc w:val="center"/>
              <w:rPr>
                <w:rFonts w:ascii="宋体" w:hAnsi="宋体"/>
                <w:szCs w:val="21"/>
                <w:highlight w:val="none"/>
              </w:rPr>
            </w:pPr>
          </w:p>
        </w:tc>
        <w:tc>
          <w:tcPr>
            <w:tcW w:w="1899" w:type="dxa"/>
            <w:vMerge w:val="continue"/>
            <w:vAlign w:val="center"/>
          </w:tcPr>
          <w:p w14:paraId="5216FFDC">
            <w:pPr>
              <w:spacing w:line="400" w:lineRule="exact"/>
              <w:jc w:val="center"/>
              <w:rPr>
                <w:rFonts w:ascii="宋体" w:hAnsi="宋体"/>
                <w:szCs w:val="21"/>
                <w:highlight w:val="none"/>
              </w:rPr>
            </w:pPr>
          </w:p>
        </w:tc>
        <w:tc>
          <w:tcPr>
            <w:tcW w:w="6333" w:type="dxa"/>
            <w:vAlign w:val="center"/>
          </w:tcPr>
          <w:p w14:paraId="443A705A">
            <w:pPr>
              <w:spacing w:line="400" w:lineRule="exact"/>
              <w:ind w:firstLine="420" w:firstLineChars="200"/>
              <w:rPr>
                <w:rFonts w:ascii="宋体" w:hAnsi="宋体"/>
                <w:szCs w:val="21"/>
                <w:highlight w:val="none"/>
              </w:rPr>
            </w:pPr>
            <w:r>
              <w:rPr>
                <w:rFonts w:hint="eastAsia" w:ascii="宋体" w:hAnsi="宋体"/>
                <w:szCs w:val="21"/>
                <w:highlight w:val="none"/>
              </w:rPr>
              <w:t>A-18暂列金额、暂估价、安全文明施工费等暂定金额必须按照招标文件给定的金额填报，否则由评标委员会作否决投标处理。</w:t>
            </w:r>
          </w:p>
        </w:tc>
      </w:tr>
      <w:tr w14:paraId="28AC5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B1C2EB0">
            <w:pPr>
              <w:spacing w:line="400" w:lineRule="exact"/>
              <w:jc w:val="center"/>
              <w:rPr>
                <w:rFonts w:ascii="宋体" w:hAnsi="宋体"/>
                <w:szCs w:val="21"/>
                <w:highlight w:val="none"/>
              </w:rPr>
            </w:pPr>
          </w:p>
        </w:tc>
        <w:tc>
          <w:tcPr>
            <w:tcW w:w="1899" w:type="dxa"/>
            <w:vMerge w:val="continue"/>
            <w:vAlign w:val="center"/>
          </w:tcPr>
          <w:p w14:paraId="39CBBC80">
            <w:pPr>
              <w:spacing w:line="400" w:lineRule="exact"/>
              <w:jc w:val="center"/>
              <w:rPr>
                <w:rFonts w:ascii="宋体" w:hAnsi="宋体"/>
                <w:szCs w:val="21"/>
                <w:highlight w:val="none"/>
              </w:rPr>
            </w:pPr>
          </w:p>
        </w:tc>
        <w:tc>
          <w:tcPr>
            <w:tcW w:w="6333" w:type="dxa"/>
            <w:vAlign w:val="center"/>
          </w:tcPr>
          <w:p w14:paraId="640D5C41">
            <w:pPr>
              <w:spacing w:line="400" w:lineRule="exact"/>
              <w:ind w:firstLine="420" w:firstLineChars="200"/>
              <w:rPr>
                <w:rFonts w:ascii="宋体" w:hAnsi="宋体"/>
                <w:szCs w:val="21"/>
                <w:highlight w:val="none"/>
              </w:rPr>
            </w:pPr>
            <w:r>
              <w:rPr>
                <w:rFonts w:hint="eastAsia" w:ascii="宋体" w:hAnsi="宋体"/>
                <w:szCs w:val="21"/>
                <w:highlight w:val="none"/>
              </w:rPr>
              <w:t>A-19投标内容符合第二章“</w:t>
            </w:r>
            <w:r>
              <w:rPr>
                <w:rFonts w:hint="eastAsia" w:ascii="宋体" w:hAnsi="宋体"/>
                <w:szCs w:val="21"/>
                <w:highlight w:val="none"/>
                <w:lang w:eastAsia="zh-CN"/>
              </w:rPr>
              <w:t>竞选人</w:t>
            </w:r>
            <w:r>
              <w:rPr>
                <w:rFonts w:hint="eastAsia" w:ascii="宋体" w:hAnsi="宋体"/>
                <w:szCs w:val="21"/>
                <w:highlight w:val="none"/>
              </w:rPr>
              <w:t>须知”第1.3.1项规定，否则由评标委员会作否决投标处理。</w:t>
            </w:r>
          </w:p>
        </w:tc>
      </w:tr>
      <w:tr w14:paraId="21FF17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EE9595">
            <w:pPr>
              <w:spacing w:line="400" w:lineRule="exact"/>
              <w:jc w:val="center"/>
              <w:rPr>
                <w:rFonts w:ascii="宋体" w:hAnsi="宋体"/>
                <w:szCs w:val="21"/>
                <w:highlight w:val="none"/>
              </w:rPr>
            </w:pPr>
          </w:p>
        </w:tc>
        <w:tc>
          <w:tcPr>
            <w:tcW w:w="1899" w:type="dxa"/>
            <w:vMerge w:val="continue"/>
            <w:vAlign w:val="center"/>
          </w:tcPr>
          <w:p w14:paraId="5767F9B0">
            <w:pPr>
              <w:spacing w:line="400" w:lineRule="exact"/>
              <w:jc w:val="center"/>
              <w:rPr>
                <w:rFonts w:ascii="宋体" w:hAnsi="宋体"/>
                <w:szCs w:val="21"/>
                <w:highlight w:val="none"/>
              </w:rPr>
            </w:pPr>
          </w:p>
        </w:tc>
        <w:tc>
          <w:tcPr>
            <w:tcW w:w="6333" w:type="dxa"/>
            <w:vAlign w:val="center"/>
          </w:tcPr>
          <w:p w14:paraId="5CC36F89">
            <w:pPr>
              <w:spacing w:line="400" w:lineRule="exact"/>
              <w:ind w:firstLine="420" w:firstLineChars="200"/>
              <w:rPr>
                <w:rFonts w:ascii="宋体" w:hAnsi="宋体"/>
                <w:szCs w:val="21"/>
                <w:highlight w:val="none"/>
              </w:rPr>
            </w:pPr>
            <w:r>
              <w:rPr>
                <w:rFonts w:hint="eastAsia" w:ascii="宋体" w:hAnsi="宋体"/>
                <w:szCs w:val="21"/>
                <w:highlight w:val="none"/>
              </w:rPr>
              <w:t>A-20工期符合第二章“</w:t>
            </w:r>
            <w:r>
              <w:rPr>
                <w:rFonts w:hint="eastAsia" w:ascii="宋体" w:hAnsi="宋体"/>
                <w:szCs w:val="21"/>
                <w:highlight w:val="none"/>
                <w:lang w:eastAsia="zh-CN"/>
              </w:rPr>
              <w:t>竞选人</w:t>
            </w:r>
            <w:r>
              <w:rPr>
                <w:rFonts w:hint="eastAsia" w:ascii="宋体" w:hAnsi="宋体"/>
                <w:szCs w:val="21"/>
                <w:highlight w:val="none"/>
              </w:rPr>
              <w:t>须知”第1.3.2项规定，否则由评标委员会作否决投标处理。</w:t>
            </w:r>
          </w:p>
        </w:tc>
      </w:tr>
      <w:tr w14:paraId="287EBA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7E9B9A">
            <w:pPr>
              <w:spacing w:line="400" w:lineRule="exact"/>
              <w:jc w:val="center"/>
              <w:rPr>
                <w:rFonts w:ascii="宋体" w:hAnsi="宋体"/>
                <w:szCs w:val="21"/>
                <w:highlight w:val="none"/>
              </w:rPr>
            </w:pPr>
          </w:p>
        </w:tc>
        <w:tc>
          <w:tcPr>
            <w:tcW w:w="1899" w:type="dxa"/>
            <w:vMerge w:val="continue"/>
            <w:vAlign w:val="center"/>
          </w:tcPr>
          <w:p w14:paraId="4AB5220C">
            <w:pPr>
              <w:spacing w:line="400" w:lineRule="exact"/>
              <w:jc w:val="center"/>
              <w:rPr>
                <w:rFonts w:ascii="宋体" w:hAnsi="宋体"/>
                <w:szCs w:val="21"/>
                <w:highlight w:val="none"/>
              </w:rPr>
            </w:pPr>
          </w:p>
        </w:tc>
        <w:tc>
          <w:tcPr>
            <w:tcW w:w="6333" w:type="dxa"/>
            <w:vAlign w:val="center"/>
          </w:tcPr>
          <w:p w14:paraId="2D437248">
            <w:pPr>
              <w:spacing w:line="400" w:lineRule="exact"/>
              <w:ind w:firstLine="420" w:firstLineChars="200"/>
              <w:rPr>
                <w:rFonts w:ascii="宋体" w:hAnsi="宋体"/>
                <w:szCs w:val="21"/>
                <w:highlight w:val="none"/>
              </w:rPr>
            </w:pPr>
            <w:r>
              <w:rPr>
                <w:rFonts w:hint="eastAsia" w:ascii="宋体" w:hAnsi="宋体"/>
                <w:szCs w:val="21"/>
                <w:highlight w:val="none"/>
              </w:rPr>
              <w:t>A-21工程质量符合第二章“</w:t>
            </w:r>
            <w:r>
              <w:rPr>
                <w:rFonts w:hint="eastAsia" w:ascii="宋体" w:hAnsi="宋体"/>
                <w:szCs w:val="21"/>
                <w:highlight w:val="none"/>
                <w:lang w:eastAsia="zh-CN"/>
              </w:rPr>
              <w:t>竞选人</w:t>
            </w:r>
            <w:r>
              <w:rPr>
                <w:rFonts w:hint="eastAsia" w:ascii="宋体" w:hAnsi="宋体"/>
                <w:szCs w:val="21"/>
                <w:highlight w:val="none"/>
              </w:rPr>
              <w:t>须知”第1.3.3项规定，否则由评标委员会作否决投标处理。</w:t>
            </w:r>
          </w:p>
        </w:tc>
      </w:tr>
      <w:tr w14:paraId="56DBD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8CB54C">
            <w:pPr>
              <w:spacing w:line="400" w:lineRule="exact"/>
              <w:jc w:val="center"/>
              <w:rPr>
                <w:rFonts w:ascii="宋体" w:hAnsi="宋体"/>
                <w:szCs w:val="21"/>
                <w:highlight w:val="none"/>
              </w:rPr>
            </w:pPr>
          </w:p>
        </w:tc>
        <w:tc>
          <w:tcPr>
            <w:tcW w:w="1899" w:type="dxa"/>
            <w:vMerge w:val="continue"/>
            <w:vAlign w:val="center"/>
          </w:tcPr>
          <w:p w14:paraId="6DF818F9">
            <w:pPr>
              <w:spacing w:line="400" w:lineRule="exact"/>
              <w:jc w:val="center"/>
              <w:rPr>
                <w:rFonts w:ascii="宋体" w:hAnsi="宋体"/>
                <w:szCs w:val="21"/>
                <w:highlight w:val="none"/>
              </w:rPr>
            </w:pPr>
          </w:p>
        </w:tc>
        <w:tc>
          <w:tcPr>
            <w:tcW w:w="6333" w:type="dxa"/>
            <w:vAlign w:val="center"/>
          </w:tcPr>
          <w:p w14:paraId="093EAB92">
            <w:pPr>
              <w:spacing w:line="400" w:lineRule="exact"/>
              <w:ind w:firstLine="420" w:firstLineChars="200"/>
              <w:rPr>
                <w:rFonts w:ascii="宋体" w:hAnsi="宋体"/>
                <w:szCs w:val="21"/>
                <w:highlight w:val="none"/>
              </w:rPr>
            </w:pPr>
            <w:r>
              <w:rPr>
                <w:rFonts w:hint="eastAsia" w:ascii="宋体" w:hAnsi="宋体"/>
                <w:szCs w:val="21"/>
                <w:highlight w:val="none"/>
              </w:rPr>
              <w:t>A-22投标有效期符合第二章“</w:t>
            </w:r>
            <w:r>
              <w:rPr>
                <w:rFonts w:hint="eastAsia" w:ascii="宋体" w:hAnsi="宋体"/>
                <w:szCs w:val="21"/>
                <w:highlight w:val="none"/>
                <w:lang w:eastAsia="zh-CN"/>
              </w:rPr>
              <w:t>竞选人</w:t>
            </w:r>
            <w:r>
              <w:rPr>
                <w:rFonts w:hint="eastAsia" w:ascii="宋体" w:hAnsi="宋体"/>
                <w:szCs w:val="21"/>
                <w:highlight w:val="none"/>
              </w:rPr>
              <w:t>须知”第3.3.1项规定，否则由评标委员会作否决投标处理。</w:t>
            </w:r>
          </w:p>
        </w:tc>
      </w:tr>
      <w:tr w14:paraId="7D137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79B0F5">
            <w:pPr>
              <w:spacing w:line="400" w:lineRule="exact"/>
              <w:jc w:val="center"/>
              <w:rPr>
                <w:rFonts w:ascii="宋体" w:hAnsi="宋体"/>
                <w:szCs w:val="21"/>
                <w:highlight w:val="none"/>
              </w:rPr>
            </w:pPr>
          </w:p>
        </w:tc>
        <w:tc>
          <w:tcPr>
            <w:tcW w:w="1899" w:type="dxa"/>
            <w:vMerge w:val="continue"/>
            <w:vAlign w:val="center"/>
          </w:tcPr>
          <w:p w14:paraId="68EC272C">
            <w:pPr>
              <w:spacing w:line="400" w:lineRule="exact"/>
              <w:jc w:val="center"/>
              <w:rPr>
                <w:rFonts w:ascii="宋体" w:hAnsi="宋体"/>
                <w:szCs w:val="21"/>
                <w:highlight w:val="none"/>
              </w:rPr>
            </w:pPr>
          </w:p>
        </w:tc>
        <w:tc>
          <w:tcPr>
            <w:tcW w:w="6333" w:type="dxa"/>
            <w:vAlign w:val="center"/>
          </w:tcPr>
          <w:p w14:paraId="0E80FDF7">
            <w:pPr>
              <w:spacing w:line="400" w:lineRule="exact"/>
              <w:ind w:firstLine="420" w:firstLineChars="200"/>
              <w:rPr>
                <w:rFonts w:ascii="宋体" w:hAnsi="宋体"/>
                <w:szCs w:val="21"/>
                <w:highlight w:val="none"/>
              </w:rPr>
            </w:pPr>
            <w:r>
              <w:rPr>
                <w:rFonts w:hint="eastAsia" w:ascii="宋体" w:hAnsi="宋体"/>
                <w:szCs w:val="21"/>
                <w:highlight w:val="none"/>
              </w:rPr>
              <w:t>A-23</w:t>
            </w:r>
            <w:r>
              <w:rPr>
                <w:rFonts w:hint="eastAsia" w:ascii="宋体" w:hAnsi="宋体"/>
                <w:szCs w:val="21"/>
                <w:highlight w:val="none"/>
                <w:lang w:eastAsia="zh-CN"/>
              </w:rPr>
              <w:t>竞选人</w:t>
            </w:r>
            <w:r>
              <w:rPr>
                <w:rFonts w:ascii="宋体" w:hAnsi="宋体"/>
                <w:szCs w:val="21"/>
                <w:highlight w:val="none"/>
              </w:rPr>
              <w:t>应按</w:t>
            </w:r>
            <w:r>
              <w:rPr>
                <w:rFonts w:hint="eastAsia" w:ascii="宋体" w:hAnsi="宋体"/>
                <w:szCs w:val="21"/>
                <w:highlight w:val="none"/>
                <w:lang w:eastAsia="zh-CN"/>
              </w:rPr>
              <w:t>竞选人</w:t>
            </w:r>
            <w:r>
              <w:rPr>
                <w:rFonts w:ascii="宋体" w:hAnsi="宋体"/>
                <w:szCs w:val="21"/>
                <w:highlight w:val="none"/>
              </w:rPr>
              <w:t>须知前附表</w:t>
            </w:r>
            <w:r>
              <w:rPr>
                <w:rFonts w:hint="eastAsia" w:ascii="宋体" w:hAnsi="宋体"/>
                <w:szCs w:val="21"/>
                <w:highlight w:val="none"/>
              </w:rPr>
              <w:t>第3.4款的</w:t>
            </w:r>
            <w:r>
              <w:rPr>
                <w:rFonts w:ascii="宋体" w:hAnsi="宋体"/>
                <w:szCs w:val="21"/>
                <w:highlight w:val="none"/>
              </w:rPr>
              <w:t>规定递交投标保证金，并作为其</w:t>
            </w:r>
            <w:r>
              <w:rPr>
                <w:rFonts w:hint="eastAsia" w:ascii="宋体" w:hAnsi="宋体"/>
                <w:szCs w:val="21"/>
                <w:highlight w:val="none"/>
                <w:lang w:eastAsia="zh-CN"/>
              </w:rPr>
              <w:t>竞选文件</w:t>
            </w:r>
            <w:r>
              <w:rPr>
                <w:rFonts w:ascii="宋体" w:hAnsi="宋体"/>
                <w:szCs w:val="21"/>
                <w:highlight w:val="none"/>
              </w:rPr>
              <w:t>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04E077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3437AE">
            <w:pPr>
              <w:spacing w:line="400" w:lineRule="exact"/>
              <w:jc w:val="center"/>
              <w:rPr>
                <w:rFonts w:ascii="宋体" w:hAnsi="宋体"/>
                <w:szCs w:val="21"/>
                <w:highlight w:val="none"/>
              </w:rPr>
            </w:pPr>
          </w:p>
        </w:tc>
        <w:tc>
          <w:tcPr>
            <w:tcW w:w="1899" w:type="dxa"/>
            <w:vMerge w:val="continue"/>
            <w:vAlign w:val="center"/>
          </w:tcPr>
          <w:p w14:paraId="34623084">
            <w:pPr>
              <w:spacing w:line="400" w:lineRule="exact"/>
              <w:jc w:val="center"/>
              <w:rPr>
                <w:rFonts w:ascii="宋体" w:hAnsi="宋体"/>
                <w:szCs w:val="21"/>
                <w:highlight w:val="none"/>
              </w:rPr>
            </w:pPr>
          </w:p>
        </w:tc>
        <w:tc>
          <w:tcPr>
            <w:tcW w:w="6333" w:type="dxa"/>
            <w:vAlign w:val="center"/>
          </w:tcPr>
          <w:p w14:paraId="0E8BECA7">
            <w:pPr>
              <w:spacing w:line="400" w:lineRule="exact"/>
              <w:ind w:firstLine="420" w:firstLineChars="200"/>
              <w:rPr>
                <w:rFonts w:ascii="宋体" w:hAnsi="宋体"/>
                <w:szCs w:val="21"/>
                <w:highlight w:val="none"/>
              </w:rPr>
            </w:pPr>
            <w:r>
              <w:rPr>
                <w:rFonts w:hint="eastAsia" w:ascii="宋体" w:hAnsi="宋体"/>
                <w:szCs w:val="21"/>
                <w:highlight w:val="none"/>
              </w:rPr>
              <w:t>A-24符合第四章“合同条款及格式”规定，</w:t>
            </w:r>
            <w:r>
              <w:rPr>
                <w:rFonts w:hint="eastAsia" w:ascii="宋体" w:hAnsi="宋体"/>
                <w:szCs w:val="21"/>
                <w:highlight w:val="none"/>
                <w:lang w:eastAsia="zh-CN"/>
              </w:rPr>
              <w:t>竞选文件</w:t>
            </w:r>
            <w:r>
              <w:rPr>
                <w:rFonts w:hint="eastAsia" w:ascii="宋体" w:hAnsi="宋体"/>
                <w:szCs w:val="21"/>
                <w:highlight w:val="none"/>
              </w:rPr>
              <w:t>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承诺，承诺书格式详见第八章</w:t>
            </w:r>
            <w:r>
              <w:rPr>
                <w:rFonts w:hint="eastAsia" w:ascii="宋体" w:hAnsi="宋体"/>
                <w:szCs w:val="21"/>
                <w:highlight w:val="none"/>
                <w:lang w:eastAsia="zh-CN"/>
              </w:rPr>
              <w:t>竞选文件</w:t>
            </w:r>
            <w:r>
              <w:rPr>
                <w:rFonts w:hint="eastAsia" w:ascii="宋体" w:hAnsi="宋体"/>
                <w:szCs w:val="21"/>
                <w:highlight w:val="none"/>
              </w:rPr>
              <w:t>格式。）</w:t>
            </w:r>
          </w:p>
        </w:tc>
      </w:tr>
      <w:tr w14:paraId="1CF5C7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6652AB">
            <w:pPr>
              <w:spacing w:line="400" w:lineRule="exact"/>
              <w:jc w:val="center"/>
              <w:rPr>
                <w:rFonts w:ascii="宋体" w:hAnsi="宋体"/>
                <w:szCs w:val="21"/>
                <w:highlight w:val="none"/>
              </w:rPr>
            </w:pPr>
          </w:p>
        </w:tc>
        <w:tc>
          <w:tcPr>
            <w:tcW w:w="1899" w:type="dxa"/>
            <w:vMerge w:val="continue"/>
            <w:vAlign w:val="center"/>
          </w:tcPr>
          <w:p w14:paraId="0FAADE82">
            <w:pPr>
              <w:spacing w:line="400" w:lineRule="exact"/>
              <w:jc w:val="center"/>
              <w:rPr>
                <w:rFonts w:ascii="宋体" w:hAnsi="宋体"/>
                <w:szCs w:val="21"/>
                <w:highlight w:val="none"/>
              </w:rPr>
            </w:pPr>
          </w:p>
        </w:tc>
        <w:tc>
          <w:tcPr>
            <w:tcW w:w="6333" w:type="dxa"/>
            <w:vAlign w:val="center"/>
          </w:tcPr>
          <w:p w14:paraId="059F973F">
            <w:pPr>
              <w:spacing w:line="400" w:lineRule="exact"/>
              <w:ind w:firstLine="420" w:firstLineChars="200"/>
              <w:rPr>
                <w:rFonts w:ascii="宋体" w:hAnsi="宋体"/>
                <w:szCs w:val="21"/>
                <w:highlight w:val="none"/>
              </w:rPr>
            </w:pPr>
            <w:r>
              <w:rPr>
                <w:rFonts w:hint="eastAsia" w:ascii="宋体" w:hAnsi="宋体"/>
                <w:szCs w:val="21"/>
                <w:highlight w:val="none"/>
              </w:rPr>
              <w:t>A-25符合第七章“技术标准和要求”规定。否则由评标委员会作否决投标处理（如有）。（由</w:t>
            </w:r>
            <w:r>
              <w:rPr>
                <w:rFonts w:hint="eastAsia" w:ascii="宋体" w:hAnsi="宋体"/>
                <w:szCs w:val="21"/>
                <w:highlight w:val="none"/>
                <w:lang w:eastAsia="zh-CN"/>
              </w:rPr>
              <w:t>竞选人</w:t>
            </w:r>
            <w:r>
              <w:rPr>
                <w:rFonts w:hint="eastAsia" w:ascii="宋体" w:hAnsi="宋体"/>
                <w:szCs w:val="21"/>
                <w:highlight w:val="none"/>
              </w:rPr>
              <w:t>承诺，承诺书格式详见第八章</w:t>
            </w:r>
            <w:r>
              <w:rPr>
                <w:rFonts w:hint="eastAsia" w:ascii="宋体" w:hAnsi="宋体"/>
                <w:szCs w:val="21"/>
                <w:highlight w:val="none"/>
                <w:lang w:eastAsia="zh-CN"/>
              </w:rPr>
              <w:t>竞选文件</w:t>
            </w:r>
            <w:r>
              <w:rPr>
                <w:rFonts w:hint="eastAsia" w:ascii="宋体" w:hAnsi="宋体"/>
                <w:szCs w:val="21"/>
                <w:highlight w:val="none"/>
              </w:rPr>
              <w:t>格式。）</w:t>
            </w:r>
          </w:p>
        </w:tc>
      </w:tr>
      <w:tr w14:paraId="1A5CD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D8A74C">
            <w:pPr>
              <w:spacing w:line="400" w:lineRule="exact"/>
              <w:jc w:val="center"/>
              <w:rPr>
                <w:rFonts w:ascii="宋体" w:hAnsi="宋体"/>
                <w:szCs w:val="21"/>
                <w:highlight w:val="none"/>
              </w:rPr>
            </w:pPr>
          </w:p>
        </w:tc>
        <w:tc>
          <w:tcPr>
            <w:tcW w:w="1899" w:type="dxa"/>
            <w:vMerge w:val="continue"/>
            <w:vAlign w:val="center"/>
          </w:tcPr>
          <w:p w14:paraId="666F5383">
            <w:pPr>
              <w:spacing w:line="400" w:lineRule="exact"/>
              <w:jc w:val="center"/>
              <w:rPr>
                <w:rFonts w:ascii="宋体" w:hAnsi="宋体"/>
                <w:szCs w:val="21"/>
                <w:highlight w:val="none"/>
              </w:rPr>
            </w:pPr>
          </w:p>
        </w:tc>
        <w:tc>
          <w:tcPr>
            <w:tcW w:w="6333" w:type="dxa"/>
            <w:vAlign w:val="center"/>
          </w:tcPr>
          <w:p w14:paraId="67CD9951">
            <w:pPr>
              <w:spacing w:line="400" w:lineRule="exact"/>
              <w:ind w:firstLine="420" w:firstLineChars="200"/>
              <w:rPr>
                <w:rFonts w:ascii="宋体" w:hAnsi="宋体"/>
                <w:szCs w:val="21"/>
                <w:highlight w:val="none"/>
              </w:rPr>
            </w:pPr>
            <w:r>
              <w:rPr>
                <w:rFonts w:hint="eastAsia" w:ascii="宋体" w:hAnsi="宋体"/>
                <w:szCs w:val="21"/>
                <w:highlight w:val="none"/>
              </w:rPr>
              <w:t>A-26</w:t>
            </w:r>
            <w:r>
              <w:rPr>
                <w:rFonts w:hint="eastAsia" w:ascii="宋体" w:hAnsi="宋体"/>
                <w:szCs w:val="21"/>
                <w:highlight w:val="none"/>
                <w:lang w:eastAsia="zh-CN"/>
              </w:rPr>
              <w:t>竞选人</w:t>
            </w:r>
            <w:r>
              <w:rPr>
                <w:rFonts w:hint="eastAsia" w:ascii="宋体" w:hAnsi="宋体"/>
                <w:szCs w:val="21"/>
                <w:highlight w:val="none"/>
              </w:rPr>
              <w:t>提供的关于已标价工程量清单的承诺符合招标文件的要求，</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69D32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ABD4CC">
            <w:pPr>
              <w:spacing w:line="400" w:lineRule="exact"/>
              <w:jc w:val="center"/>
              <w:rPr>
                <w:rFonts w:ascii="宋体" w:hAnsi="宋体"/>
                <w:szCs w:val="21"/>
                <w:highlight w:val="none"/>
              </w:rPr>
            </w:pPr>
          </w:p>
        </w:tc>
        <w:tc>
          <w:tcPr>
            <w:tcW w:w="1899" w:type="dxa"/>
            <w:vMerge w:val="continue"/>
            <w:vAlign w:val="center"/>
          </w:tcPr>
          <w:p w14:paraId="017CE0A4">
            <w:pPr>
              <w:spacing w:line="400" w:lineRule="exact"/>
              <w:jc w:val="center"/>
              <w:rPr>
                <w:rFonts w:ascii="宋体" w:hAnsi="宋体"/>
                <w:szCs w:val="21"/>
                <w:highlight w:val="none"/>
              </w:rPr>
            </w:pPr>
          </w:p>
        </w:tc>
        <w:tc>
          <w:tcPr>
            <w:tcW w:w="6333" w:type="dxa"/>
            <w:vAlign w:val="center"/>
          </w:tcPr>
          <w:p w14:paraId="62EB4EF9">
            <w:pPr>
              <w:spacing w:line="400" w:lineRule="exact"/>
              <w:ind w:firstLine="420" w:firstLineChars="200"/>
              <w:rPr>
                <w:rFonts w:ascii="宋体" w:hAnsi="宋体"/>
                <w:szCs w:val="21"/>
                <w:highlight w:val="none"/>
              </w:rPr>
            </w:pPr>
            <w:r>
              <w:rPr>
                <w:rFonts w:hint="eastAsia" w:ascii="宋体" w:hAnsi="宋体"/>
                <w:szCs w:val="21"/>
                <w:highlight w:val="none"/>
              </w:rPr>
              <w:t>A-27投标报价有算术错误的，按照第三章“评标办法”第3.1.3项规定执行，否则由评标委员会作否决投标处理</w:t>
            </w:r>
            <w:r>
              <w:rPr>
                <w:rFonts w:ascii="宋体" w:hAnsi="宋体"/>
                <w:szCs w:val="21"/>
                <w:highlight w:val="none"/>
              </w:rPr>
              <w:t>。</w:t>
            </w:r>
          </w:p>
        </w:tc>
      </w:tr>
      <w:tr w14:paraId="18EF75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47544A7">
            <w:pPr>
              <w:spacing w:line="400" w:lineRule="exact"/>
              <w:jc w:val="center"/>
              <w:rPr>
                <w:rFonts w:ascii="宋体" w:hAnsi="宋体"/>
                <w:szCs w:val="21"/>
                <w:highlight w:val="none"/>
              </w:rPr>
            </w:pPr>
          </w:p>
        </w:tc>
        <w:tc>
          <w:tcPr>
            <w:tcW w:w="1899" w:type="dxa"/>
            <w:vMerge w:val="continue"/>
            <w:vAlign w:val="center"/>
          </w:tcPr>
          <w:p w14:paraId="5D18F808">
            <w:pPr>
              <w:spacing w:line="400" w:lineRule="exact"/>
              <w:jc w:val="center"/>
              <w:rPr>
                <w:rFonts w:ascii="宋体" w:hAnsi="宋体"/>
                <w:szCs w:val="21"/>
                <w:highlight w:val="none"/>
              </w:rPr>
            </w:pPr>
          </w:p>
        </w:tc>
        <w:tc>
          <w:tcPr>
            <w:tcW w:w="6333" w:type="dxa"/>
            <w:vAlign w:val="center"/>
          </w:tcPr>
          <w:p w14:paraId="1FD90DD4">
            <w:pPr>
              <w:spacing w:line="400" w:lineRule="exact"/>
              <w:ind w:firstLine="420" w:firstLineChars="200"/>
              <w:rPr>
                <w:rFonts w:ascii="宋体" w:hAnsi="宋体"/>
                <w:szCs w:val="21"/>
                <w:highlight w:val="none"/>
              </w:rPr>
            </w:pPr>
            <w:r>
              <w:rPr>
                <w:rFonts w:hint="eastAsia" w:ascii="宋体" w:hAnsi="宋体"/>
                <w:szCs w:val="21"/>
                <w:highlight w:val="none"/>
              </w:rPr>
              <w:t>A-28</w:t>
            </w:r>
            <w:r>
              <w:rPr>
                <w:rFonts w:hint="eastAsia" w:ascii="宋体" w:hAnsi="宋体"/>
                <w:szCs w:val="21"/>
                <w:highlight w:val="none"/>
                <w:lang w:eastAsia="zh-CN"/>
              </w:rPr>
              <w:t>竞选人</w:t>
            </w:r>
            <w:r>
              <w:rPr>
                <w:rFonts w:hint="eastAsia" w:ascii="宋体" w:hAnsi="宋体"/>
                <w:szCs w:val="21"/>
                <w:highlight w:val="none"/>
              </w:rPr>
              <w:t>有以下情形之一的，其</w:t>
            </w:r>
            <w:r>
              <w:rPr>
                <w:rFonts w:hint="eastAsia" w:ascii="宋体" w:hAnsi="宋体"/>
                <w:szCs w:val="21"/>
                <w:highlight w:val="none"/>
                <w:lang w:eastAsia="zh-CN"/>
              </w:rPr>
              <w:t>竞选文件</w:t>
            </w:r>
            <w:r>
              <w:rPr>
                <w:rFonts w:hint="eastAsia" w:ascii="宋体" w:hAnsi="宋体"/>
                <w:szCs w:val="21"/>
                <w:highlight w:val="none"/>
              </w:rPr>
              <w:t>由评标委员会</w:t>
            </w:r>
            <w:r>
              <w:rPr>
                <w:rFonts w:ascii="宋体" w:hAnsi="宋体"/>
                <w:szCs w:val="21"/>
                <w:highlight w:val="none"/>
              </w:rPr>
              <w:t>作否决投标处理</w:t>
            </w:r>
            <w:r>
              <w:rPr>
                <w:rFonts w:hint="eastAsia" w:ascii="宋体" w:hAnsi="宋体"/>
                <w:szCs w:val="21"/>
                <w:highlight w:val="none"/>
              </w:rPr>
              <w:t>：</w:t>
            </w:r>
          </w:p>
          <w:p w14:paraId="1E4D372F">
            <w:pPr>
              <w:spacing w:line="400" w:lineRule="exact"/>
              <w:ind w:firstLine="420" w:firstLineChars="200"/>
              <w:rPr>
                <w:rFonts w:ascii="宋体" w:hAnsi="宋体"/>
                <w:szCs w:val="21"/>
                <w:highlight w:val="none"/>
              </w:rPr>
            </w:pPr>
            <w:r>
              <w:rPr>
                <w:rFonts w:hint="eastAsia" w:ascii="宋体" w:hAnsi="宋体"/>
                <w:szCs w:val="21"/>
                <w:highlight w:val="none"/>
              </w:rPr>
              <w:t>1.第二章“</w:t>
            </w:r>
            <w:r>
              <w:rPr>
                <w:rFonts w:hint="eastAsia" w:ascii="宋体" w:hAnsi="宋体"/>
                <w:szCs w:val="21"/>
                <w:highlight w:val="none"/>
                <w:lang w:eastAsia="zh-CN"/>
              </w:rPr>
              <w:t>竞选人</w:t>
            </w:r>
            <w:r>
              <w:rPr>
                <w:rFonts w:hint="eastAsia" w:ascii="宋体" w:hAnsi="宋体"/>
                <w:szCs w:val="21"/>
                <w:highlight w:val="none"/>
              </w:rPr>
              <w:t>须知”第1.4.3项规定的任何一种情形的；</w:t>
            </w:r>
          </w:p>
          <w:p w14:paraId="16F17153">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420CFBA5">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14:paraId="550C9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C1CF342">
            <w:pPr>
              <w:spacing w:line="400" w:lineRule="exact"/>
              <w:jc w:val="center"/>
              <w:rPr>
                <w:rFonts w:ascii="宋体" w:hAnsi="宋体"/>
                <w:szCs w:val="21"/>
                <w:highlight w:val="none"/>
              </w:rPr>
            </w:pPr>
            <w:r>
              <w:rPr>
                <w:rFonts w:ascii="宋体" w:hAnsi="宋体"/>
                <w:szCs w:val="21"/>
                <w:highlight w:val="none"/>
              </w:rPr>
              <w:t>其他</w:t>
            </w:r>
          </w:p>
        </w:tc>
        <w:tc>
          <w:tcPr>
            <w:tcW w:w="1899" w:type="dxa"/>
            <w:vAlign w:val="center"/>
          </w:tcPr>
          <w:p w14:paraId="65C76342">
            <w:pPr>
              <w:spacing w:line="400" w:lineRule="exact"/>
              <w:jc w:val="center"/>
              <w:rPr>
                <w:rFonts w:ascii="宋体" w:hAnsi="宋体"/>
                <w:szCs w:val="21"/>
                <w:highlight w:val="none"/>
              </w:rPr>
            </w:pPr>
          </w:p>
        </w:tc>
        <w:tc>
          <w:tcPr>
            <w:tcW w:w="6333" w:type="dxa"/>
          </w:tcPr>
          <w:p w14:paraId="53305DD4">
            <w:pPr>
              <w:spacing w:line="400" w:lineRule="exact"/>
              <w:ind w:firstLine="420" w:firstLineChars="200"/>
              <w:rPr>
                <w:rFonts w:ascii="宋体" w:hAnsi="宋体"/>
                <w:i/>
                <w:szCs w:val="21"/>
                <w:highlight w:val="none"/>
              </w:rPr>
            </w:pPr>
            <w:r>
              <w:rPr>
                <w:rFonts w:hint="eastAsia" w:ascii="宋体" w:hAnsi="宋体"/>
                <w:i/>
                <w:szCs w:val="21"/>
                <w:highlight w:val="none"/>
              </w:rPr>
              <w:t>[提示：</w:t>
            </w:r>
            <w:r>
              <w:rPr>
                <w:rFonts w:hint="eastAsia" w:ascii="宋体" w:hAnsi="宋体"/>
                <w:i/>
                <w:szCs w:val="21"/>
                <w:highlight w:val="none"/>
                <w:lang w:eastAsia="zh-CN"/>
              </w:rPr>
              <w:t>比选人</w:t>
            </w:r>
            <w:r>
              <w:rPr>
                <w:rFonts w:hint="eastAsia" w:ascii="宋体" w:hAnsi="宋体"/>
                <w:i/>
                <w:szCs w:val="21"/>
                <w:highlight w:val="none"/>
              </w:rPr>
              <w:t>必须将所有否决投标条款集中罗列于此表，若无其他否决投标条款则在该条写无。]</w:t>
            </w:r>
          </w:p>
        </w:tc>
      </w:tr>
    </w:tbl>
    <w:p w14:paraId="02988ED3">
      <w:pPr>
        <w:autoSpaceDE w:val="0"/>
        <w:autoSpaceDN w:val="0"/>
        <w:adjustRightInd w:val="0"/>
        <w:snapToGrid w:val="0"/>
        <w:spacing w:line="360" w:lineRule="auto"/>
        <w:jc w:val="left"/>
        <w:rPr>
          <w:rFonts w:ascii="宋体" w:hAnsi="宋体"/>
          <w:b/>
          <w:kern w:val="0"/>
          <w:sz w:val="20"/>
          <w:szCs w:val="20"/>
          <w:highlight w:val="none"/>
        </w:rPr>
      </w:pPr>
    </w:p>
    <w:p w14:paraId="665BFC6A">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14:paraId="0D32FEDF">
      <w:pPr>
        <w:pStyle w:val="3"/>
        <w:spacing w:line="360" w:lineRule="auto"/>
        <w:jc w:val="center"/>
        <w:rPr>
          <w:rFonts w:ascii="宋体" w:hAnsi="宋体"/>
          <w:kern w:val="0"/>
          <w:highlight w:val="none"/>
        </w:rPr>
      </w:pPr>
      <w:r>
        <w:rPr>
          <w:rFonts w:hint="eastAsia" w:ascii="宋体" w:hAnsi="宋体"/>
          <w:kern w:val="0"/>
          <w:highlight w:val="none"/>
        </w:rPr>
        <w:t>第四章  合同条款及格式</w:t>
      </w:r>
      <w:bookmarkEnd w:id="300"/>
      <w:bookmarkEnd w:id="301"/>
      <w:bookmarkEnd w:id="302"/>
      <w:bookmarkEnd w:id="303"/>
      <w:bookmarkEnd w:id="304"/>
    </w:p>
    <w:p w14:paraId="627C143F">
      <w:pPr>
        <w:keepNext w:val="0"/>
        <w:keepLines w:val="0"/>
        <w:pageBreakBefore w:val="0"/>
        <w:widowControl w:val="0"/>
        <w:shd w:val="clear" w:color="auto" w:fill="FFFFFF"/>
        <w:kinsoku/>
        <w:wordWrap/>
        <w:overflowPunct/>
        <w:topLinePunct w:val="0"/>
        <w:autoSpaceDE/>
        <w:autoSpaceDN/>
        <w:bidi w:val="0"/>
        <w:adjustRightInd/>
        <w:snapToGrid/>
        <w:spacing w:line="594" w:lineRule="exact"/>
        <w:ind w:left="0" w:leftChars="0" w:right="0"/>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ascii="宋体" w:hAnsi="宋体"/>
          <w:highlight w:val="none"/>
        </w:rPr>
        <w:br w:type="page"/>
      </w:r>
      <w:bookmarkStart w:id="393" w:name="_Toc509218852"/>
      <w:bookmarkStart w:id="394" w:name="_Toc287620812"/>
      <w:bookmarkStart w:id="395" w:name="_Toc23843"/>
      <w:bookmarkStart w:id="396" w:name="_Toc430530528"/>
      <w:bookmarkStart w:id="397" w:name="_Toc287607865"/>
      <w:bookmarkStart w:id="398" w:name="_Toc24390"/>
      <w:bookmarkStart w:id="399" w:name="_Toc534185829"/>
      <w:bookmarkStart w:id="400" w:name="_Toc3098"/>
      <w:bookmarkStart w:id="401" w:name="_Toc351203480"/>
      <w:bookmarkStart w:id="402" w:name="_Toc296503025"/>
      <w:bookmarkStart w:id="403" w:name="_Toc296890982"/>
      <w:r>
        <w:rPr>
          <w:rFonts w:hint="eastAsia" w:ascii="方正小标宋_GBK" w:hAnsi="方正小标宋_GBK" w:eastAsia="方正小标宋_GBK" w:cs="方正小标宋_GBK"/>
          <w:b w:val="0"/>
          <w:bCs w:val="0"/>
          <w:color w:val="000000"/>
          <w:sz w:val="44"/>
          <w:szCs w:val="44"/>
          <w:shd w:val="clear" w:color="auto" w:fill="FFFFFF"/>
        </w:rPr>
        <w:t>经开</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color w:val="000000"/>
          <w:sz w:val="44"/>
          <w:szCs w:val="44"/>
          <w:shd w:val="clear" w:color="auto" w:fill="FFFFFF"/>
        </w:rPr>
        <w:t>博睿庭（人才公寓）项目</w:t>
      </w:r>
    </w:p>
    <w:p w14:paraId="562E4085">
      <w:pPr>
        <w:keepNext w:val="0"/>
        <w:keepLines w:val="0"/>
        <w:pageBreakBefore w:val="0"/>
        <w:widowControl w:val="0"/>
        <w:shd w:val="clear" w:color="auto" w:fill="FFFFFF"/>
        <w:kinsoku/>
        <w:wordWrap/>
        <w:overflowPunct/>
        <w:topLinePunct w:val="0"/>
        <w:autoSpaceDE/>
        <w:autoSpaceDN/>
        <w:bidi w:val="0"/>
        <w:adjustRightInd/>
        <w:snapToGrid/>
        <w:spacing w:line="594" w:lineRule="exact"/>
        <w:ind w:left="0" w:leftChars="0" w:right="0"/>
        <w:jc w:val="center"/>
        <w:textAlignment w:val="auto"/>
        <w:rPr>
          <w:rStyle w:val="316"/>
          <w:rFonts w:hint="eastAsia" w:ascii="方正小标宋_GBK" w:hAnsi="方正小标宋_GBK" w:eastAsia="方正小标宋_GBK" w:cs="方正小标宋_GBK"/>
          <w:b w:val="0"/>
          <w:bCs w:val="0"/>
          <w:color w:val="000000"/>
          <w:spacing w:val="-15"/>
          <w:kern w:val="0"/>
          <w:sz w:val="36"/>
          <w:szCs w:val="36"/>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正式</w:t>
      </w:r>
      <w:r>
        <w:rPr>
          <w:rFonts w:hint="eastAsia" w:ascii="方正小标宋_GBK" w:hAnsi="方正小标宋_GBK" w:eastAsia="方正小标宋_GBK" w:cs="方正小标宋_GBK"/>
          <w:b w:val="0"/>
          <w:bCs w:val="0"/>
          <w:color w:val="000000"/>
          <w:sz w:val="44"/>
          <w:szCs w:val="44"/>
          <w:shd w:val="clear" w:color="auto" w:fill="FFFFFF"/>
        </w:rPr>
        <w:t>用电工程</w:t>
      </w:r>
      <w:r>
        <w:rPr>
          <w:rFonts w:hint="eastAsia" w:ascii="方正小标宋_GBK" w:hAnsi="方正小标宋_GBK" w:eastAsia="方正小标宋_GBK" w:cs="方正小标宋_GBK"/>
          <w:b w:val="0"/>
          <w:bCs w:val="0"/>
          <w:color w:val="000000"/>
          <w:sz w:val="44"/>
          <w:szCs w:val="44"/>
          <w:shd w:val="clear" w:color="auto" w:fill="FFFFFF"/>
          <w:lang w:eastAsia="zh-CN"/>
        </w:rPr>
        <w:t>（</w:t>
      </w:r>
      <w:r>
        <w:rPr>
          <w:rFonts w:hint="eastAsia" w:ascii="方正小标宋_GBK" w:hAnsi="方正小标宋_GBK" w:eastAsia="方正小标宋_GBK" w:cs="方正小标宋_GBK"/>
          <w:b w:val="0"/>
          <w:bCs w:val="0"/>
          <w:color w:val="000000"/>
          <w:sz w:val="44"/>
          <w:szCs w:val="44"/>
          <w:shd w:val="clear" w:color="auto" w:fill="FFFFFF"/>
          <w:lang w:val="en-US" w:eastAsia="zh-CN"/>
        </w:rPr>
        <w:t>外线</w:t>
      </w:r>
      <w:r>
        <w:rPr>
          <w:rFonts w:hint="eastAsia" w:ascii="方正小标宋_GBK" w:hAnsi="方正小标宋_GBK" w:eastAsia="方正小标宋_GBK" w:cs="方正小标宋_GBK"/>
          <w:b w:val="0"/>
          <w:bCs w:val="0"/>
          <w:color w:val="000000"/>
          <w:sz w:val="44"/>
          <w:szCs w:val="44"/>
          <w:shd w:val="clear" w:color="auto" w:fill="FFFFFF"/>
          <w:lang w:eastAsia="zh-CN"/>
        </w:rPr>
        <w:t>）</w:t>
      </w:r>
      <w:r>
        <w:rPr>
          <w:rFonts w:hint="eastAsia" w:ascii="方正小标宋_GBK" w:hAnsi="方正小标宋_GBK" w:eastAsia="方正小标宋_GBK" w:cs="方正小标宋_GBK"/>
          <w:b w:val="0"/>
          <w:bCs w:val="0"/>
          <w:color w:val="000000"/>
          <w:sz w:val="44"/>
          <w:szCs w:val="44"/>
          <w:shd w:val="clear" w:color="auto" w:fill="FFFFFF"/>
          <w:lang w:val="en-US" w:eastAsia="zh-CN"/>
        </w:rPr>
        <w:t>施工合同</w:t>
      </w:r>
    </w:p>
    <w:p w14:paraId="16EC973C">
      <w:pPr>
        <w:keepNext w:val="0"/>
        <w:keepLines w:val="0"/>
        <w:pageBreakBefore w:val="0"/>
        <w:widowControl w:val="0"/>
        <w:kinsoku/>
        <w:wordWrap/>
        <w:overflowPunct/>
        <w:topLinePunct w:val="0"/>
        <w:autoSpaceDE/>
        <w:autoSpaceDN/>
        <w:bidi w:val="0"/>
        <w:adjustRightInd/>
        <w:snapToGrid/>
        <w:spacing w:line="594" w:lineRule="exact"/>
        <w:ind w:left="0" w:leftChars="0" w:right="0"/>
        <w:jc w:val="left"/>
        <w:textAlignment w:val="auto"/>
        <w:rPr>
          <w:rFonts w:hint="default" w:ascii="Times New Roman" w:hAnsi="Times New Roman" w:eastAsia="方正仿宋_GBK" w:cs="Times New Roman"/>
          <w:sz w:val="32"/>
        </w:rPr>
      </w:pPr>
    </w:p>
    <w:p w14:paraId="6B63A0AB">
      <w:pPr>
        <w:pStyle w:val="2"/>
        <w:rPr>
          <w:rFonts w:hint="default" w:ascii="Times New Roman" w:hAnsi="Times New Roman" w:eastAsia="方正仿宋_GBK" w:cs="Times New Roman"/>
        </w:rPr>
      </w:pPr>
    </w:p>
    <w:p w14:paraId="2A67E33D">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u w:val="single"/>
          <w:lang w:val="en-US" w:eastAsia="zh-CN"/>
        </w:rPr>
      </w:pPr>
      <w:r>
        <w:rPr>
          <w:rFonts w:hint="default" w:ascii="Times New Roman" w:hAnsi="Times New Roman" w:eastAsia="方正仿宋_GBK" w:cs="Times New Roman"/>
          <w:sz w:val="32"/>
        </w:rPr>
        <w:t>甲方</w:t>
      </w:r>
      <w:r>
        <w:rPr>
          <w:rFonts w:hint="eastAsia" w:ascii="Times New Roman" w:hAnsi="Times New Roman" w:eastAsia="方正仿宋_GBK" w:cs="Times New Roman"/>
          <w:sz w:val="32"/>
          <w:lang w:eastAsia="zh-CN"/>
        </w:rPr>
        <w:t>（发包人）</w:t>
      </w:r>
      <w:r>
        <w:rPr>
          <w:rFonts w:hint="default" w:ascii="Times New Roman" w:hAnsi="Times New Roman" w:eastAsia="方正仿宋_GBK" w:cs="Times New Roman"/>
          <w:sz w:val="32"/>
        </w:rPr>
        <w:t>：</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u w:val="single"/>
          <w:lang w:val="en-US" w:eastAsia="zh-CN"/>
        </w:rPr>
        <w:t xml:space="preserve">                          </w:t>
      </w:r>
    </w:p>
    <w:p w14:paraId="1C3C0F99">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i/>
          <w:iCs/>
          <w:sz w:val="32"/>
          <w:u w:val="none"/>
          <w:lang w:val="en-US" w:eastAsia="zh-CN"/>
        </w:rPr>
      </w:pPr>
      <w:r>
        <w:rPr>
          <w:rFonts w:hint="default" w:ascii="Times New Roman" w:hAnsi="Times New Roman" w:eastAsia="方正仿宋_GBK" w:cs="Times New Roman"/>
          <w:sz w:val="32"/>
        </w:rPr>
        <w:t>乙方</w:t>
      </w:r>
      <w:r>
        <w:rPr>
          <w:rFonts w:hint="eastAsia" w:ascii="Times New Roman" w:hAnsi="Times New Roman" w:eastAsia="方正仿宋_GBK" w:cs="Times New Roman"/>
          <w:sz w:val="32"/>
          <w:lang w:eastAsia="zh-CN"/>
        </w:rPr>
        <w:t>（承包人）</w:t>
      </w:r>
      <w:r>
        <w:rPr>
          <w:rFonts w:hint="default" w:ascii="Times New Roman" w:hAnsi="Times New Roman" w:eastAsia="方正仿宋_GBK" w:cs="Times New Roman"/>
          <w:sz w:val="32"/>
        </w:rPr>
        <w:t>：</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u w:val="single"/>
          <w:lang w:val="en-US" w:eastAsia="zh-CN"/>
        </w:rPr>
        <w:t xml:space="preserve">                          </w:t>
      </w:r>
    </w:p>
    <w:p w14:paraId="7BC6B062">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color w:val="222222"/>
          <w:kern w:val="0"/>
          <w:sz w:val="28"/>
          <w:szCs w:val="28"/>
        </w:rPr>
      </w:pPr>
      <w:r>
        <w:rPr>
          <w:rFonts w:hint="default" w:ascii="Times New Roman" w:hAnsi="Times New Roman" w:eastAsia="方正仿宋_GBK" w:cs="Times New Roman"/>
          <w:sz w:val="32"/>
        </w:rPr>
        <w:t>根据《中华人民共和国</w:t>
      </w:r>
      <w:r>
        <w:rPr>
          <w:rFonts w:hint="default" w:ascii="Times New Roman" w:hAnsi="Times New Roman" w:eastAsia="方正仿宋_GBK" w:cs="Times New Roman"/>
          <w:sz w:val="32"/>
          <w:lang w:eastAsia="zh-Hans"/>
        </w:rPr>
        <w:t>民法典</w:t>
      </w:r>
      <w:r>
        <w:rPr>
          <w:rFonts w:hint="default" w:ascii="Times New Roman" w:hAnsi="Times New Roman" w:eastAsia="方正仿宋_GBK" w:cs="Times New Roman"/>
          <w:sz w:val="32"/>
        </w:rPr>
        <w:t>》以及国家有关法规、规定，并结合本工程实际情况，甲乙双方经过友好协商就经开</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 xml:space="preserve">博睿庭（人才公寓）项目一期用电外线改造工程施工事宜达成一致意见，并定立本合同，以资共同遵守。  </w:t>
      </w:r>
    </w:p>
    <w:p w14:paraId="297456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lang w:val="en-US" w:eastAsia="zh-CN"/>
        </w:rPr>
        <w:t>一、</w:t>
      </w:r>
      <w:r>
        <w:rPr>
          <w:rFonts w:hint="default" w:ascii="Times New Roman" w:hAnsi="Times New Roman" w:eastAsia="方正仿宋_GBK" w:cs="Times New Roman"/>
          <w:b/>
          <w:bCs/>
          <w:sz w:val="32"/>
        </w:rPr>
        <w:t>工程名称</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经开·博睿庭（人才公寓）项目正式用电工程（外线）</w:t>
      </w:r>
    </w:p>
    <w:p w14:paraId="024107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lang w:val="en-US" w:eastAsia="zh-CN"/>
        </w:rPr>
        <w:t>二、</w:t>
      </w:r>
      <w:r>
        <w:rPr>
          <w:rFonts w:hint="default" w:ascii="Times New Roman" w:hAnsi="Times New Roman" w:eastAsia="方正仿宋_GBK" w:cs="Times New Roman"/>
          <w:b/>
          <w:bCs/>
          <w:sz w:val="32"/>
        </w:rPr>
        <w:t>工程地点</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峡口变电站至</w:t>
      </w:r>
      <w:r>
        <w:rPr>
          <w:rFonts w:hint="default" w:ascii="Times New Roman" w:hAnsi="Times New Roman" w:eastAsia="方正仿宋_GBK" w:cs="Times New Roman"/>
          <w:sz w:val="32"/>
        </w:rPr>
        <w:t>经开</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博睿庭（人才公寓）</w:t>
      </w:r>
      <w:r>
        <w:rPr>
          <w:rFonts w:hint="default" w:ascii="Times New Roman" w:hAnsi="Times New Roman" w:eastAsia="方正仿宋_GBK" w:cs="Times New Roman"/>
          <w:sz w:val="32"/>
          <w:lang w:val="en-US" w:eastAsia="zh-CN"/>
        </w:rPr>
        <w:t>项目</w:t>
      </w:r>
    </w:p>
    <w:p w14:paraId="6B7408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rPr>
        <w:t>三、工程范围</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包括</w:t>
      </w:r>
    </w:p>
    <w:p w14:paraId="2A9E728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1.完成</w:t>
      </w:r>
      <w:r>
        <w:rPr>
          <w:rFonts w:hint="default" w:ascii="Times New Roman" w:hAnsi="Times New Roman" w:eastAsia="方正仿宋_GBK" w:cs="Times New Roman"/>
          <w:sz w:val="32"/>
        </w:rPr>
        <w:t>峡药一回#969间隔出线电缆及峡药二回#987间隔出线电缆的高压线路走廊、电缆通道、竖井等供电配套设施</w:t>
      </w:r>
      <w:r>
        <w:rPr>
          <w:rFonts w:hint="default" w:ascii="Times New Roman" w:hAnsi="Times New Roman" w:eastAsia="方正仿宋_GBK" w:cs="Times New Roman"/>
          <w:sz w:val="32"/>
          <w:lang w:val="en-US" w:eastAsia="zh-CN"/>
        </w:rPr>
        <w:t>设备</w:t>
      </w:r>
      <w:r>
        <w:rPr>
          <w:rFonts w:hint="default" w:ascii="Times New Roman" w:hAnsi="Times New Roman" w:eastAsia="方正仿宋_GBK" w:cs="Times New Roman"/>
          <w:sz w:val="32"/>
        </w:rPr>
        <w:t>及线路</w:t>
      </w:r>
      <w:r>
        <w:rPr>
          <w:rFonts w:hint="default" w:ascii="Times New Roman" w:hAnsi="Times New Roman" w:eastAsia="方正仿宋_GBK" w:cs="Times New Roman"/>
          <w:sz w:val="32"/>
          <w:lang w:val="en-US" w:eastAsia="zh-CN"/>
        </w:rPr>
        <w:t>进行改造升级</w:t>
      </w:r>
      <w:r>
        <w:rPr>
          <w:rFonts w:hint="default" w:ascii="Times New Roman" w:hAnsi="Times New Roman" w:eastAsia="方正仿宋_GBK" w:cs="Times New Roman"/>
          <w:sz w:val="32"/>
        </w:rPr>
        <w:t>；</w:t>
      </w:r>
    </w:p>
    <w:p w14:paraId="77F0A5F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完成峡药一回#969间隔出线电缆及峡药二回#987间隔出线电缆的高压线路走廊、电缆通道、竖井等供电配套设施</w:t>
      </w:r>
      <w:r>
        <w:rPr>
          <w:rFonts w:hint="default" w:ascii="Times New Roman" w:hAnsi="Times New Roman" w:eastAsia="方正仿宋_GBK" w:cs="Times New Roman"/>
          <w:sz w:val="32"/>
          <w:lang w:val="en-US" w:eastAsia="zh-CN"/>
        </w:rPr>
        <w:t>设备</w:t>
      </w:r>
      <w:r>
        <w:rPr>
          <w:rFonts w:hint="default" w:ascii="Times New Roman" w:hAnsi="Times New Roman" w:eastAsia="方正仿宋_GBK" w:cs="Times New Roman"/>
          <w:sz w:val="32"/>
        </w:rPr>
        <w:t>及线路资产移交由南岸供电分公司</w:t>
      </w:r>
      <w:r>
        <w:rPr>
          <w:rFonts w:hint="default" w:ascii="Times New Roman" w:hAnsi="Times New Roman" w:eastAsia="方正仿宋_GBK" w:cs="Times New Roman"/>
          <w:sz w:val="32"/>
          <w:lang w:eastAsia="zh-CN"/>
        </w:rPr>
        <w:t>。</w:t>
      </w:r>
    </w:p>
    <w:p w14:paraId="7C0870AB">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rPr>
        <w:t>四、</w:t>
      </w:r>
      <w:commentRangeStart w:id="0"/>
      <w:r>
        <w:rPr>
          <w:rFonts w:hint="default" w:ascii="Times New Roman" w:hAnsi="Times New Roman" w:eastAsia="方正仿宋_GBK" w:cs="Times New Roman"/>
          <w:b/>
          <w:bCs/>
          <w:sz w:val="32"/>
        </w:rPr>
        <w:t>工程设备及材料的采购</w:t>
      </w:r>
      <w:commentRangeEnd w:id="0"/>
      <w:r>
        <w:commentReference w:id="0"/>
      </w:r>
    </w:p>
    <w:p w14:paraId="4A333F6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sz w:val="32"/>
        </w:rPr>
        <w:t>工程中的设备及材料由乙方采购，</w:t>
      </w:r>
      <w:r>
        <w:rPr>
          <w:rFonts w:hint="default" w:ascii="Times New Roman" w:hAnsi="Times New Roman" w:eastAsia="方正仿宋_GBK" w:cs="Times New Roman"/>
          <w:sz w:val="32"/>
          <w:lang w:eastAsia="zh-Hans"/>
        </w:rPr>
        <w:t>全部</w:t>
      </w:r>
      <w:r>
        <w:rPr>
          <w:rFonts w:hint="default" w:ascii="Times New Roman" w:hAnsi="Times New Roman" w:eastAsia="方正仿宋_GBK" w:cs="Times New Roman"/>
          <w:sz w:val="32"/>
        </w:rPr>
        <w:t>设备及材料的质量由乙方负责。</w:t>
      </w:r>
      <w:r>
        <w:rPr>
          <w:rFonts w:hint="default" w:ascii="Times New Roman" w:hAnsi="Times New Roman" w:eastAsia="方正仿宋_GBK" w:cs="Times New Roman"/>
          <w:bCs/>
          <w:sz w:val="32"/>
        </w:rPr>
        <w:t xml:space="preserve">   </w:t>
      </w:r>
    </w:p>
    <w:p w14:paraId="021DB845">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rPr>
        <w:t>五、合同工期：</w:t>
      </w:r>
    </w:p>
    <w:p w14:paraId="4C09583D">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合同</w:t>
      </w:r>
      <w:r>
        <w:rPr>
          <w:rFonts w:hint="eastAsia" w:ascii="Times New Roman" w:hAnsi="Times New Roman" w:eastAsia="方正仿宋_GBK" w:cs="Times New Roman"/>
          <w:sz w:val="32"/>
          <w:lang w:eastAsia="zh-CN"/>
        </w:rPr>
        <w:t>生效</w:t>
      </w:r>
      <w:r>
        <w:rPr>
          <w:rFonts w:hint="default" w:ascii="Times New Roman" w:hAnsi="Times New Roman" w:eastAsia="方正仿宋_GBK" w:cs="Times New Roman"/>
          <w:sz w:val="32"/>
        </w:rPr>
        <w:t>后</w:t>
      </w:r>
      <w:r>
        <w:rPr>
          <w:rFonts w:hint="default" w:ascii="Times New Roman" w:hAnsi="Times New Roman" w:eastAsia="方正仿宋_GBK" w:cs="Times New Roman"/>
          <w:sz w:val="32"/>
          <w:u w:val="single"/>
          <w:lang w:val="en-US" w:eastAsia="zh-CN"/>
        </w:rPr>
        <w:t>30</w:t>
      </w:r>
      <w:r>
        <w:rPr>
          <w:rFonts w:hint="default" w:ascii="Times New Roman" w:hAnsi="Times New Roman" w:eastAsia="方正仿宋_GBK" w:cs="Times New Roman"/>
          <w:sz w:val="32"/>
          <w:u w:val="single"/>
        </w:rPr>
        <w:t xml:space="preserve"> </w:t>
      </w:r>
      <w:r>
        <w:rPr>
          <w:rFonts w:hint="default" w:ascii="Times New Roman" w:hAnsi="Times New Roman" w:eastAsia="方正仿宋_GBK" w:cs="Times New Roman"/>
          <w:sz w:val="32"/>
        </w:rPr>
        <w:t>个工作日（如不可抗</w:t>
      </w:r>
      <w:r>
        <w:rPr>
          <w:rFonts w:hint="default" w:ascii="Times New Roman" w:hAnsi="Times New Roman" w:eastAsia="方正仿宋_GBK" w:cs="Times New Roman"/>
          <w:sz w:val="32"/>
          <w:lang w:eastAsia="zh-Hans"/>
        </w:rPr>
        <w:t>力</w:t>
      </w:r>
      <w:r>
        <w:rPr>
          <w:rFonts w:hint="default" w:ascii="Times New Roman" w:hAnsi="Times New Roman" w:eastAsia="方正仿宋_GBK" w:cs="Times New Roman"/>
          <w:sz w:val="32"/>
        </w:rPr>
        <w:t>的自然因素，特殊情况除外，工期顺延）</w:t>
      </w:r>
      <w:r>
        <w:rPr>
          <w:rFonts w:hint="eastAsia" w:ascii="Times New Roman" w:hAnsi="Times New Roman" w:eastAsia="方正仿宋_GBK" w:cs="Times New Roman"/>
          <w:sz w:val="32"/>
          <w:lang w:eastAsia="zh-CN"/>
        </w:rPr>
        <w:t>，以甲方实际通知开工之日起算</w:t>
      </w:r>
      <w:r>
        <w:rPr>
          <w:rFonts w:hint="default" w:ascii="Times New Roman" w:hAnsi="Times New Roman" w:eastAsia="方正仿宋_GBK" w:cs="Times New Roman"/>
          <w:sz w:val="32"/>
        </w:rPr>
        <w:t>。</w:t>
      </w:r>
    </w:p>
    <w:p w14:paraId="2B7EC459">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rPr>
        <w:t>六、合同价款：</w:t>
      </w:r>
    </w:p>
    <w:p w14:paraId="3F3C24B9">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工程为</w:t>
      </w:r>
      <w:r>
        <w:rPr>
          <w:rFonts w:hint="default" w:ascii="Times New Roman" w:hAnsi="Times New Roman" w:eastAsia="方正仿宋_GBK" w:cs="Times New Roman"/>
          <w:sz w:val="32"/>
          <w:lang w:val="en-US" w:eastAsia="zh-CN"/>
        </w:rPr>
        <w:t>清单计价</w:t>
      </w:r>
      <w:r>
        <w:rPr>
          <w:rFonts w:hint="default" w:ascii="Times New Roman" w:hAnsi="Times New Roman" w:eastAsia="方正仿宋_GBK" w:cs="Times New Roman"/>
          <w:sz w:val="32"/>
        </w:rPr>
        <w:t>，合同价款</w:t>
      </w:r>
      <w:r>
        <w:rPr>
          <w:rFonts w:hint="default" w:ascii="Times New Roman" w:hAnsi="Times New Roman" w:eastAsia="方正仿宋_GBK" w:cs="Times New Roman"/>
          <w:sz w:val="32"/>
          <w:lang w:val="en-US" w:eastAsia="zh-CN"/>
        </w:rPr>
        <w:t>暂定</w:t>
      </w:r>
      <w:r>
        <w:rPr>
          <w:rFonts w:hint="default" w:ascii="Times New Roman" w:hAnsi="Times New Roman" w:eastAsia="方正仿宋_GBK" w:cs="Times New Roman"/>
          <w:sz w:val="32"/>
        </w:rPr>
        <w:t>为人民币</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元（大写</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）（含税</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税率   %，</w:t>
      </w:r>
      <w:r>
        <w:rPr>
          <w:rFonts w:hint="eastAsia" w:ascii="Times New Roman" w:hAnsi="Times New Roman" w:eastAsia="方正仿宋_GBK" w:cs="Times New Roman"/>
          <w:sz w:val="32"/>
          <w:lang w:eastAsia="zh-CN"/>
        </w:rPr>
        <w:t>不含税金额为</w:t>
      </w:r>
      <w:r>
        <w:rPr>
          <w:rFonts w:hint="eastAsia" w:ascii="Times New Roman" w:hAnsi="Times New Roman" w:eastAsia="方正仿宋_GBK" w:cs="Times New Roman"/>
          <w:sz w:val="32"/>
          <w:lang w:val="en-US" w:eastAsia="zh-CN"/>
        </w:rPr>
        <w:t xml:space="preserve">    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最终结算总金额不超过合同价   元</w:t>
      </w:r>
      <w:r>
        <w:rPr>
          <w:rFonts w:hint="default" w:ascii="Times New Roman" w:hAnsi="Times New Roman" w:eastAsia="方正仿宋_GBK" w:cs="Times New Roman"/>
          <w:sz w:val="32"/>
        </w:rPr>
        <w:t>（大写</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该合同价款</w:t>
      </w:r>
      <w:r>
        <w:rPr>
          <w:rFonts w:hint="default" w:ascii="Times New Roman" w:hAnsi="Times New Roman" w:eastAsia="方正仿宋_GBK" w:cs="Times New Roman"/>
          <w:sz w:val="32"/>
        </w:rPr>
        <w:t>包括停送电业务手续的办理，施工安装，验收合格通电</w:t>
      </w:r>
      <w:r>
        <w:rPr>
          <w:rFonts w:hint="eastAsia" w:eastAsia="方正仿宋_GBK" w:cs="Times New Roman"/>
          <w:sz w:val="32"/>
          <w:lang w:eastAsia="zh-CN"/>
        </w:rPr>
        <w:t>、</w:t>
      </w:r>
      <w:r>
        <w:rPr>
          <w:rFonts w:hint="eastAsia" w:eastAsia="方正仿宋_GBK" w:cs="Times New Roman"/>
          <w:sz w:val="32"/>
          <w:lang w:val="en-US" w:eastAsia="zh-CN"/>
        </w:rPr>
        <w:t>取得移交手续</w:t>
      </w:r>
      <w:r>
        <w:rPr>
          <w:rFonts w:hint="default" w:ascii="Times New Roman" w:hAnsi="Times New Roman" w:eastAsia="方正仿宋_GBK" w:cs="Times New Roman"/>
          <w:sz w:val="32"/>
          <w:lang w:val="en-US" w:eastAsia="zh-CN"/>
        </w:rPr>
        <w:t>等</w:t>
      </w:r>
      <w:r>
        <w:rPr>
          <w:rFonts w:hint="default" w:ascii="Times New Roman" w:hAnsi="Times New Roman" w:eastAsia="方正仿宋_GBK" w:cs="Times New Roman"/>
          <w:sz w:val="32"/>
        </w:rPr>
        <w:t>。</w:t>
      </w:r>
    </w:p>
    <w:p w14:paraId="2234470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如遇国家税率调整，本协议不含税金额保持不变，税率按照最新政策执行。</w:t>
      </w:r>
    </w:p>
    <w:p w14:paraId="23C39FB7">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lang w:val="en-US" w:eastAsia="zh-CN"/>
        </w:rPr>
        <w:t>七</w:t>
      </w:r>
      <w:r>
        <w:rPr>
          <w:rFonts w:hint="default" w:ascii="Times New Roman" w:hAnsi="Times New Roman" w:eastAsia="方正仿宋_GBK" w:cs="Times New Roman"/>
          <w:b/>
          <w:bCs/>
          <w:sz w:val="32"/>
        </w:rPr>
        <w:t>、合同价款的支付：</w:t>
      </w:r>
    </w:p>
    <w:p w14:paraId="5C33E04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安全文明施工费：合同</w:t>
      </w:r>
      <w:r>
        <w:rPr>
          <w:rFonts w:hint="eastAsia" w:ascii="Times New Roman" w:hAnsi="Times New Roman" w:eastAsia="方正仿宋_GBK" w:cs="Times New Roman"/>
          <w:sz w:val="32"/>
          <w:lang w:eastAsia="zh-CN"/>
        </w:rPr>
        <w:t>生效</w:t>
      </w:r>
      <w:r>
        <w:rPr>
          <w:rFonts w:hint="default" w:ascii="Times New Roman" w:hAnsi="Times New Roman" w:eastAsia="方正仿宋_GBK" w:cs="Times New Roman"/>
          <w:sz w:val="32"/>
        </w:rPr>
        <w:t>后，发包人在开工前按签约合同价中安全文明施工费</w:t>
      </w:r>
      <w:r>
        <w:rPr>
          <w:rFonts w:hint="eastAsia" w:ascii="Times New Roman" w:hAnsi="Times New Roman" w:eastAsia="方正仿宋_GBK" w:cs="Times New Roman"/>
          <w:sz w:val="32"/>
          <w:lang w:val="en-US" w:eastAsia="zh-CN"/>
        </w:rPr>
        <w:t xml:space="preserve">    元（大写     ）</w:t>
      </w:r>
      <w:r>
        <w:rPr>
          <w:rFonts w:hint="default" w:ascii="Times New Roman" w:hAnsi="Times New Roman" w:eastAsia="方正仿宋_GBK" w:cs="Times New Roman"/>
          <w:sz w:val="32"/>
        </w:rPr>
        <w:t>的50％支付承包人，用于现场安全文明施工建设，余下安全文明施工费按施工进度支付。</w:t>
      </w:r>
    </w:p>
    <w:p w14:paraId="3B74858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2.工程完工后，承包人需完成国网重庆市电力公司南岸供电分公司对该项目专用产权转公用产权的验收、交付，并取得移交函件。</w:t>
      </w:r>
      <w:r>
        <w:rPr>
          <w:rFonts w:hint="eastAsia" w:ascii="Times New Roman" w:hAnsi="Times New Roman" w:eastAsia="方正仿宋_GBK" w:cs="Times New Roman"/>
          <w:sz w:val="32"/>
          <w:lang w:val="en-US" w:eastAsia="zh-CN"/>
        </w:rPr>
        <w:t>承包人完成上述交付并取得函件后，</w:t>
      </w:r>
      <w:r>
        <w:rPr>
          <w:rFonts w:hint="default" w:ascii="Times New Roman" w:hAnsi="Times New Roman" w:eastAsia="方正仿宋_GBK" w:cs="Times New Roman"/>
          <w:sz w:val="32"/>
          <w:lang w:val="en-US" w:eastAsia="zh-CN"/>
        </w:rPr>
        <w:t>发包人向承包人支付</w:t>
      </w:r>
      <w:r>
        <w:rPr>
          <w:rFonts w:hint="eastAsia" w:ascii="Times New Roman" w:hAnsi="Times New Roman" w:eastAsia="方正仿宋_GBK" w:cs="Times New Roman"/>
          <w:sz w:val="32"/>
          <w:lang w:val="en-US" w:eastAsia="zh-CN"/>
        </w:rPr>
        <w:t>至</w:t>
      </w:r>
      <w:r>
        <w:rPr>
          <w:rFonts w:hint="default" w:ascii="Times New Roman" w:hAnsi="Times New Roman" w:eastAsia="方正仿宋_GBK" w:cs="Times New Roman"/>
          <w:sz w:val="32"/>
          <w:lang w:val="en-US" w:eastAsia="zh-CN"/>
        </w:rPr>
        <w:t>合同总价款的70%。</w:t>
      </w:r>
    </w:p>
    <w:p w14:paraId="26265A2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3.承包人配合发包人完成将峡药一回#969间隔出线电缆及峡药二回#987间隔出线电缆申请为经开·博睿庭项目一期公用供电电源后办理结算，发包人委托的全过程造价咨询单位结算审核完成后支付至审核金额的85%。</w:t>
      </w:r>
    </w:p>
    <w:p w14:paraId="4483338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发包人或集团审核完毕后</w:t>
      </w:r>
      <w:commentRangeStart w:id="1"/>
      <w:r>
        <w:rPr>
          <w:rFonts w:hint="default" w:ascii="Times New Roman" w:hAnsi="Times New Roman" w:eastAsia="方正仿宋_GBK" w:cs="Times New Roman"/>
          <w:sz w:val="32"/>
        </w:rPr>
        <w:t>支付至审定金额的</w:t>
      </w:r>
      <w:r>
        <w:rPr>
          <w:rFonts w:hint="default" w:ascii="Times New Roman" w:hAnsi="Times New Roman" w:eastAsia="方正仿宋_GBK" w:cs="Times New Roman"/>
          <w:sz w:val="32"/>
          <w:lang w:val="en-US" w:eastAsia="zh-CN"/>
        </w:rPr>
        <w:t>100</w:t>
      </w:r>
      <w:r>
        <w:rPr>
          <w:rFonts w:hint="default" w:ascii="Times New Roman" w:hAnsi="Times New Roman" w:eastAsia="方正仿宋_GBK" w:cs="Times New Roman"/>
          <w:sz w:val="32"/>
        </w:rPr>
        <w:t>%</w:t>
      </w:r>
      <w:commentRangeEnd w:id="1"/>
      <w:r>
        <w:commentReference w:id="1"/>
      </w:r>
      <w:r>
        <w:rPr>
          <w:rFonts w:hint="default" w:ascii="Times New Roman" w:hAnsi="Times New Roman" w:eastAsia="方正仿宋_GBK" w:cs="Times New Roman"/>
          <w:sz w:val="32"/>
        </w:rPr>
        <w:t>（不计利息）。</w:t>
      </w:r>
    </w:p>
    <w:p w14:paraId="52CB330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eastAsia="zh-Hans"/>
        </w:rPr>
      </w:pP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lang w:eastAsia="zh-Hans"/>
        </w:rPr>
        <w:t>承包人上报的结算工程量要求准确，不得高估冒算，若经结算审核单位审核，审减金额超过5％，超过部分的结算审核费用由承包人承担。</w:t>
      </w:r>
    </w:p>
    <w:p w14:paraId="0EC5BC7E">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6.</w:t>
      </w:r>
      <w:r>
        <w:rPr>
          <w:rFonts w:hint="eastAsia" w:ascii="Times New Roman" w:hAnsi="Times New Roman" w:eastAsia="方正仿宋_GBK" w:cs="Times New Roman"/>
          <w:sz w:val="32"/>
          <w:lang w:val="en-US" w:eastAsia="zh-CN"/>
        </w:rPr>
        <w:t>每次</w:t>
      </w:r>
      <w:r>
        <w:rPr>
          <w:rFonts w:hint="default" w:ascii="Times New Roman" w:hAnsi="Times New Roman" w:eastAsia="方正仿宋_GBK" w:cs="Times New Roman"/>
          <w:sz w:val="32"/>
          <w:lang w:val="en-US" w:eastAsia="zh-CN"/>
        </w:rPr>
        <w:t>付款前承包人需向</w:t>
      </w:r>
      <w:r>
        <w:rPr>
          <w:rFonts w:hint="eastAsia" w:ascii="Times New Roman" w:hAnsi="Times New Roman" w:eastAsia="方正仿宋_GBK" w:cs="Times New Roman"/>
          <w:sz w:val="32"/>
          <w:lang w:val="en-US" w:eastAsia="zh-CN"/>
        </w:rPr>
        <w:t>发包人</w:t>
      </w:r>
      <w:r>
        <w:rPr>
          <w:rFonts w:hint="default" w:ascii="Times New Roman" w:hAnsi="Times New Roman" w:eastAsia="方正仿宋_GBK" w:cs="Times New Roman"/>
          <w:sz w:val="32"/>
          <w:lang w:val="en-US" w:eastAsia="zh-CN"/>
        </w:rPr>
        <w:t>提交</w:t>
      </w:r>
      <w:r>
        <w:rPr>
          <w:rFonts w:hint="eastAsia" w:ascii="Times New Roman" w:hAnsi="Times New Roman" w:eastAsia="方正仿宋_GBK" w:cs="Times New Roman"/>
          <w:sz w:val="32"/>
          <w:lang w:val="en-US" w:eastAsia="zh-CN"/>
        </w:rPr>
        <w:t>合法有效</w:t>
      </w:r>
      <w:r>
        <w:rPr>
          <w:rFonts w:hint="default" w:ascii="Times New Roman" w:hAnsi="Times New Roman" w:eastAsia="方正仿宋_GBK" w:cs="Times New Roman"/>
          <w:sz w:val="32"/>
          <w:lang w:val="en-US" w:eastAsia="zh-CN"/>
        </w:rPr>
        <w:t>足额的增值税专用发票，否则发包人有权延迟付款并不承担任何违约责任，承包人不得因此拒绝履行合同义务或延迟履行合同义务。</w:t>
      </w:r>
    </w:p>
    <w:p w14:paraId="31E31E8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7.承包人</w:t>
      </w:r>
      <w:r>
        <w:rPr>
          <w:rFonts w:hint="eastAsia" w:ascii="Times New Roman" w:hAnsi="Times New Roman" w:eastAsia="方正仿宋_GBK" w:cs="Times New Roman"/>
          <w:sz w:val="32"/>
          <w:lang w:val="en-US" w:eastAsia="zh-CN"/>
        </w:rPr>
        <w:t>超出</w:t>
      </w:r>
      <w:r>
        <w:rPr>
          <w:rFonts w:hint="default" w:ascii="Times New Roman" w:hAnsi="Times New Roman" w:eastAsia="方正仿宋_GBK" w:cs="Times New Roman"/>
          <w:sz w:val="32"/>
          <w:lang w:val="en-US" w:eastAsia="zh-CN"/>
        </w:rPr>
        <w:t>本项目约定工期</w:t>
      </w:r>
      <w:r>
        <w:rPr>
          <w:rFonts w:hint="eastAsia" w:ascii="Times New Roman" w:hAnsi="Times New Roman" w:eastAsia="方正仿宋_GBK" w:cs="Times New Roman"/>
          <w:sz w:val="32"/>
          <w:lang w:val="en-US" w:eastAsia="zh-CN"/>
        </w:rPr>
        <w:t>完成</w:t>
      </w:r>
      <w:r>
        <w:rPr>
          <w:rFonts w:hint="default" w:ascii="Times New Roman" w:hAnsi="Times New Roman" w:eastAsia="方正仿宋_GBK" w:cs="Times New Roman"/>
          <w:sz w:val="32"/>
          <w:lang w:val="en-US" w:eastAsia="zh-CN"/>
        </w:rPr>
        <w:t>的，每逾期一日按照合同</w:t>
      </w:r>
      <w:r>
        <w:rPr>
          <w:rFonts w:hint="eastAsia" w:ascii="Times New Roman" w:hAnsi="Times New Roman" w:eastAsia="方正仿宋_GBK" w:cs="Times New Roman"/>
          <w:sz w:val="32"/>
          <w:lang w:val="en-US" w:eastAsia="zh-CN"/>
        </w:rPr>
        <w:t>第六条合同价款的</w:t>
      </w:r>
      <w:commentRangeStart w:id="2"/>
      <w:r>
        <w:rPr>
          <w:rFonts w:hint="default" w:ascii="Times New Roman" w:hAnsi="Times New Roman" w:eastAsia="方正仿宋_GBK" w:cs="Times New Roman"/>
          <w:sz w:val="32"/>
          <w:lang w:val="en-US" w:eastAsia="zh-CN"/>
        </w:rPr>
        <w:t>0.2%</w:t>
      </w:r>
      <w:commentRangeEnd w:id="2"/>
      <w:r>
        <w:commentReference w:id="2"/>
      </w:r>
      <w:r>
        <w:rPr>
          <w:rFonts w:hint="default" w:ascii="Times New Roman" w:hAnsi="Times New Roman" w:eastAsia="方正仿宋_GBK" w:cs="Times New Roman"/>
          <w:sz w:val="32"/>
          <w:lang w:val="en-US" w:eastAsia="zh-CN"/>
        </w:rPr>
        <w:t>支付违约金，逾期超过15日，发包人有权解除合同且</w:t>
      </w:r>
      <w:commentRangeStart w:id="3"/>
      <w:r>
        <w:rPr>
          <w:rFonts w:hint="default" w:ascii="Times New Roman" w:hAnsi="Times New Roman" w:eastAsia="方正仿宋_GBK" w:cs="Times New Roman"/>
          <w:sz w:val="32"/>
          <w:lang w:val="en-US" w:eastAsia="zh-CN"/>
        </w:rPr>
        <w:t>不予支付任何费用</w:t>
      </w:r>
      <w:commentRangeEnd w:id="3"/>
      <w:r>
        <w:commentReference w:id="3"/>
      </w:r>
      <w:r>
        <w:rPr>
          <w:rFonts w:hint="default" w:ascii="Times New Roman" w:hAnsi="Times New Roman" w:eastAsia="方正仿宋_GBK" w:cs="Times New Roman"/>
          <w:sz w:val="32"/>
          <w:lang w:val="en-US" w:eastAsia="zh-CN"/>
        </w:rPr>
        <w:t>，同时承包人应承担合同</w:t>
      </w:r>
      <w:r>
        <w:rPr>
          <w:rFonts w:hint="eastAsia" w:ascii="Times New Roman" w:hAnsi="Times New Roman" w:eastAsia="方正仿宋_GBK" w:cs="Times New Roman"/>
          <w:sz w:val="32"/>
          <w:lang w:val="en-US" w:eastAsia="zh-CN"/>
        </w:rPr>
        <w:t>第六条合同价款的</w:t>
      </w:r>
      <w:r>
        <w:rPr>
          <w:rFonts w:hint="default" w:ascii="Times New Roman" w:hAnsi="Times New Roman" w:eastAsia="方正仿宋_GBK" w:cs="Times New Roman"/>
          <w:sz w:val="32"/>
          <w:lang w:val="en-US" w:eastAsia="zh-CN"/>
        </w:rPr>
        <w:t>20%的违约责任</w:t>
      </w:r>
      <w:r>
        <w:rPr>
          <w:rFonts w:hint="eastAsia" w:ascii="Times New Roman" w:hAnsi="Times New Roman" w:eastAsia="方正仿宋_GBK" w:cs="Times New Roman"/>
          <w:sz w:val="32"/>
          <w:lang w:val="en-US" w:eastAsia="zh-CN"/>
        </w:rPr>
        <w:t>并承担因此给发包人造成的损失</w:t>
      </w:r>
      <w:r>
        <w:rPr>
          <w:rFonts w:hint="default" w:ascii="Times New Roman" w:hAnsi="Times New Roman" w:eastAsia="方正仿宋_GBK" w:cs="Times New Roman"/>
          <w:sz w:val="32"/>
          <w:lang w:val="en-US" w:eastAsia="zh-CN"/>
        </w:rPr>
        <w:t>。</w:t>
      </w:r>
    </w:p>
    <w:p w14:paraId="0C5C0135">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八、 价格调整：</w:t>
      </w:r>
    </w:p>
    <w:p w14:paraId="5FDB38C9">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640" w:firstLineChars="200"/>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1、市场价格波动引起的调整</w:t>
      </w:r>
    </w:p>
    <w:p w14:paraId="7E9242CB">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市场价格波动是否调整合同价格的约定：合同工期一年以上（含一年），且市场价格波动幅度符合〔人工费价差调整办法〕和（或）〔材料费价差调整办法〕约定的，按〔人工费价差调整办法〕和（或）〔材料费价差调整办法〕约定调整合同价格；〔人工费价差调整办法〕和（或）〔材料费价差调整办法〕约定的调差条件之外的市场价格波动风险不调整合同价格，风险费用由承包人自行考虑后纳入签约合同价格中，包干使用。</w:t>
      </w:r>
    </w:p>
    <w:p w14:paraId="381D17D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因市场价格波动调整合同价格，采用以下第3种方式对合同价格进行调整：</w:t>
      </w:r>
    </w:p>
    <w:p w14:paraId="384F470E">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第1种方式：采用价格指数进行价格调整。</w:t>
      </w:r>
    </w:p>
    <w:p w14:paraId="5CC43AA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关于各可调因子、定值和变值权重，以及基本价格指数及其来源的约定： / ；</w:t>
      </w:r>
    </w:p>
    <w:p w14:paraId="0E93CDF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第2种方式：采用造价信息进行价格调整，调整方法如下：</w:t>
      </w:r>
    </w:p>
    <w:p w14:paraId="17963662">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1.1人工费价差调整办法</w:t>
      </w:r>
    </w:p>
    <w:p w14:paraId="0B96DB22">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（1）自实际开工时间起至合同约定的工期结束时间止，期间《重庆工程造价信息》发布人工单价的算术平均值较开标当期《重庆工程造价信息》发布的人工单价变化超过±5%时，按以下约定调整：</w:t>
      </w:r>
    </w:p>
    <w:p w14:paraId="358EF3DE">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①已标价工程量清单中载明人工单价不高于开标当期《重庆工程造价信息》发布的人工单价的：按期间《重庆工程造价信息》发布人工单价的算术平均值减去开标当期《重庆工程造价信息》发布的人工单价乘以（1±5%）调差。</w:t>
      </w:r>
    </w:p>
    <w:p w14:paraId="3E0C08A1">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②已标价工程量清单中载明人工单价高于开标当期《重庆工程造价信息》发布的人工单价的，按期间《重庆工程造价信息》发布人工单价的算术平均值减去已标价工程量清单中载明人工单价乘以（1±5%）调差。</w:t>
      </w:r>
    </w:p>
    <w:p w14:paraId="56DC641C">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（2）工程量按照〔计量原则〕约定计算，单位工程的人工消耗量按承包人投标报价的消耗量执行（承包人投标报价的单位工程人工消耗量高于定额单位工程人工消耗量的，按定额单位工程的人工消耗量执行）。</w:t>
      </w:r>
    </w:p>
    <w:p w14:paraId="1DA2395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1.2 材料费价差调整办法</w:t>
      </w:r>
    </w:p>
    <w:p w14:paraId="005AFB1F">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可调价差材料：水泥、商品砼、碎石、砂、钢筋、型钢、条石、片石、预应力钢绞线、沥青混凝土、水泥稳定碎石拌和料、预拌商品砂浆、砌筑材料等主要材料（可按工程使用的具体材料确定）。</w:t>
      </w:r>
    </w:p>
    <w:p w14:paraId="05198803">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可调价差材料的价差调整办法如下：</w:t>
      </w:r>
    </w:p>
    <w:p w14:paraId="5BFE8DBC">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（1）自实际开工时间起至合同约定的工期结束时间止，期间《重庆工程造价信息》发布的信息价的算术平均值较开标当期《重庆工程造价信息》发布的信息价变化超过±5%时，按以下约定调整：</w:t>
      </w:r>
    </w:p>
    <w:p w14:paraId="7E99787D">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①已标价工程量清单中载明材料单价不高于开标当期《重庆工程造价信息》发布的信息价的按期间《重庆工程造价信息》发布信息价的算术平均值减去开标当期《重庆工程造价信息》发布的信息价乘以（1±5%）调差。</w:t>
      </w:r>
    </w:p>
    <w:p w14:paraId="517FDF92">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②已标价工程量清单中载明材料单价高于开标当期《重庆工程造价信息》发布的信息价的，按期间《重庆工程造价信息》发布信息价的算术平均值减去已标价工程量清单中载明材料单价乘以（1±5%）调差。</w:t>
      </w:r>
    </w:p>
    <w:p w14:paraId="26721DA6">
      <w:pPr>
        <w:keepNext w:val="0"/>
        <w:keepLines w:val="0"/>
        <w:pageBreakBefore w:val="0"/>
        <w:tabs>
          <w:tab w:val="left" w:pos="711"/>
          <w:tab w:val="left" w:pos="2580"/>
        </w:tabs>
        <w:kinsoku/>
        <w:wordWrap/>
        <w:overflowPunct/>
        <w:topLinePunct w:val="0"/>
        <w:autoSpaceDE/>
        <w:autoSpaceDN/>
        <w:bidi w:val="0"/>
        <w:adjustRightInd/>
        <w:snapToGrid/>
        <w:spacing w:line="240" w:lineRule="auto"/>
        <w:ind w:left="0" w:firstLine="640" w:firstLineChars="200"/>
        <w:jc w:val="left"/>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（2）工程量按照〔计量原则〕约定计算，单位工程的材料消耗量按承包人投标报价的消耗量执行（承包人投标报价的单位工程材料消耗量高于定额单位工程材料消耗量的，按定额单位工程的材料消耗量执行）。</w:t>
      </w:r>
    </w:p>
    <w:p w14:paraId="5A49269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第3种方式：其他价格调整方式： 不调整 。</w:t>
      </w:r>
    </w:p>
    <w:p w14:paraId="51542A47">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640" w:firstLineChars="200"/>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2、法律变化引起的调整</w:t>
      </w:r>
    </w:p>
    <w:p w14:paraId="375BCD7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项目投标基准日至竣工验收合格之日，国家或相关行政主管部门发布直接影响项目的新法规、新政策、新文件、新标准，属强制执行的，自执行之日执行，由此增减的费用由发包人承担，估价照第〔变更估价原则〕执行；属选择性执行的，发包人与承包人协商解决。</w:t>
      </w:r>
    </w:p>
    <w:p w14:paraId="10997D6E">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640" w:firstLineChars="200"/>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3、严重不平衡报价引起的调整</w:t>
      </w:r>
    </w:p>
    <w:p w14:paraId="0F2B200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合同履行期间，当按〔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变更估价原则〕目约定执行。</w:t>
      </w:r>
    </w:p>
    <w:p w14:paraId="5C5017AE">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color w:val="auto"/>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严重不平衡报价是指：清单子目综合单价与发包人按照第〔变更估价原则〕目约定确定的综合单价相比，高于50%（即严重不平衡报价清单子目综合单价 - 按照〔变更估价原则〕目约定确定的综合单价）/按照〔变更估价原则〕目约定确定的综合单价×</w:t>
      </w:r>
      <w:r>
        <w:rPr>
          <w:rFonts w:hint="default" w:ascii="Times New Roman" w:hAnsi="Times New Roman" w:eastAsia="方正仿宋_GBK" w:cs="Times New Roman"/>
          <w:b w:val="0"/>
          <w:bCs w:val="0"/>
          <w:color w:val="auto"/>
          <w:kern w:val="2"/>
          <w:sz w:val="32"/>
          <w:szCs w:val="24"/>
          <w:lang w:val="en-US" w:eastAsia="zh-CN" w:bidi="ar-SA"/>
        </w:rPr>
        <w:t>100%。</w:t>
      </w:r>
    </w:p>
    <w:p w14:paraId="0D2C385B">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九、变更估价：</w:t>
      </w:r>
    </w:p>
    <w:p w14:paraId="703892AB">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1、变更估价原则：</w:t>
      </w:r>
    </w:p>
    <w:p w14:paraId="7292271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发生设计变更或新增项时，必须经发包人认可并以书面文件盖章的形式批准后方可变更，工程量由发包人、承包人、监理单位和第三方跟审单位（若有）共同签证认可，发包人及监理工程师按照GB50500-2013《建设工程工程量计价规范》及2018年《重庆市建设工程费用定额》</w:t>
      </w:r>
      <w:r>
        <w:rPr>
          <w:rFonts w:hint="default" w:ascii="Times New Roman" w:hAnsi="Times New Roman" w:eastAsia="方正仿宋_GBK" w:cs="Times New Roman"/>
          <w:b w:val="0"/>
          <w:bCs w:val="0"/>
          <w:kern w:val="2"/>
          <w:sz w:val="32"/>
          <w:szCs w:val="24"/>
          <w:lang w:val="en-US" w:eastAsia="zh-CN" w:bidi="ar-SA"/>
        </w:rPr>
        <w:t>的计算规则计算。</w:t>
      </w:r>
    </w:p>
    <w:p w14:paraId="56B3603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结算原则如下：</w:t>
      </w:r>
    </w:p>
    <w:p w14:paraId="2BF155D8">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1.1已标价工程量清单中有相同项目的，按照相同项目单价计算；</w:t>
      </w:r>
    </w:p>
    <w:p w14:paraId="4F0DA10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1.2已标价工程量清单中有类似项目的，参考类似项目单价计算，仅对该子目材料价格进行调整。价格调整原则：中标清单中的分部分项工程量中有的材料按中标清单中的材料单价和《重庆工程造价信息》开标公告发布当月《重庆工程造价信息》公布的信息价的低值，且不背离市场；中标清单中的分部分项工程量及开标当期《重庆工程造价信息》中没有的材料，按发包人结合市场行情核定确定的价格执行，并不高于施工同期《重庆工程造价信息》公布的信息价和背离市场行情。</w:t>
      </w:r>
    </w:p>
    <w:p w14:paraId="1DF531E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1.3已标价工程量清单中无相同项目亦无类似项目的，按照以下原则执行：</w:t>
      </w:r>
    </w:p>
    <w:p w14:paraId="62A0FD7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p>
    <w:p w14:paraId="0ED0D8D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承包人报价浮动率按下列公式计算：承包人报价浮动率=（1-中标价/最高限价）×100%。</w:t>
      </w:r>
    </w:p>
    <w:p w14:paraId="1022AB1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（1）人工单价：按开标当期《重庆工程造价信息》发布的项目所在地的人工单价执行。</w:t>
      </w:r>
    </w:p>
    <w:p w14:paraId="4D2D824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（2）材料单价：</w:t>
      </w:r>
    </w:p>
    <w:p w14:paraId="4163A78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①按开标当期《重庆工程造价信息》发布的项目所在地的信息价执行；</w:t>
      </w:r>
    </w:p>
    <w:p w14:paraId="63E70E6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②开标当期《重庆工程造价信息》中没有的，承包人投标报价中有的，按承包人投标报价中相同材料单价的最低值执行；</w:t>
      </w:r>
    </w:p>
    <w:p w14:paraId="0FD9BCB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③开标当期《重庆工程造价信息》和承包人投标报价没有的，由承包人申报、监理人会同跟审单位、发包人根据市场行情认质核价确定。（本文中所指的《重庆工程造价信息》均指由重庆市建设工程造价管理总站发布）。材料价格均为不含税价格，包括材料原价、运杂费、运输损耗费、采购及保管费等所有费用，变更中的材料、设备在采购前承包人应将需要认质核价的材料、设备的厂家、技术参数、品牌、质量等级等指标以书面形式报送发包人，发包人收到承包人的书面报告后予以认质、封样、核价后，承包人方可采购进场；对需要认质核价的材料、设备若承包人在发包人核价后5个工作日内，承包人拒绝签字确认发包人核定的价格或拒绝按发包人核定的价格采购的，则该种材料或设备改为第三方供货，发包人收取承包人该类材料或设备费的20%作为违约金，并按发包人实际支付的货款从承包人的进度款中扣除，同时并不解除承包人对工程质量保修责任。</w:t>
      </w:r>
    </w:p>
    <w:p w14:paraId="3D1C382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（3）安全文明施工费：按《重庆市建设工程费用定额》（CQFYDE-2018）规定及南岸区相关部门审定的金额结算，不得浮动。安全文明施工综合评定结果为不合格，则不计取。</w:t>
      </w:r>
    </w:p>
    <w:p w14:paraId="2558217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（4）规费：按规定费率结算，为不可竞争费，按照《重庆市建设工程费用定额》（CQFYDE-2018）所规定费率，不得浮动。</w:t>
      </w:r>
    </w:p>
    <w:p w14:paraId="43C9ECB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5）税金：为不可竞争费用，包含增值税、城市维护建设税、教育费附加、地方教育附加以及环境保护税。按照《重庆市建设工程费用定额》（CQFYDE-2018）、《重庆市城乡建设委员会关于适用增值税新税率调整建设工程计价依据的通知》（渝建〔2019〕143号）所规定费率，不得浮动。包含增值税、城市维护建设税、教育费附加、地方教育附加以及环境保护税。</w:t>
      </w:r>
    </w:p>
    <w:p w14:paraId="43B4D59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6）企业管理费和利润：按承包人投标报价中相同工程分类的费用标准执行（投标报价中费用标准高于《重庆市建设工程费用定额》（CQFYDE-2018）费用标准的，按《重庆市建设工程费用定额》（CQFYDE-2018）费用标准执行）。</w:t>
      </w:r>
    </w:p>
    <w:p w14:paraId="17C35BB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变更估价1.3条约定执行；或参照重庆市场相同工作的市场价格上报监理人，最终价格按承包人、监理人、跟审单位、发包人共同询价确认的价格执行。</w:t>
      </w:r>
    </w:p>
    <w:p w14:paraId="6D9EC882">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2E4D0324">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（1）安全文明施工费应按照实际发生变化的措施项目依据现行安全文明施工费计取及管理政策规定及《重庆市建设工程费用定额》（CQFYDE-2018）规定及南岸区相关部门审定的金额执行，不得浮动；</w:t>
      </w:r>
    </w:p>
    <w:p w14:paraId="35662A2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（2）施工组织措施项目费：无论因设计变更或施工工艺变化等任何因素而引起实际措施费的变化，均按中标清单中相应的施工组织措施项目费率进行结算。</w:t>
      </w:r>
    </w:p>
    <w:p w14:paraId="45C8D00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施工技术措施项目费：以项为计量单位的措施项目费（安全文明施工费除外）无论因设计变更或施工工艺变化等任何因素而引起实际措施费的变化，均按中标清单中相应的施工技术措施项目费进行结算；不以项为计量单位的措施项目费应按照实际发生变化的措施项目费按承包人报价浮动率下浮后的金额计算。承包人报价浮动率按下列公式计算：承包人报价浮动率=（1-中标价/最高限价）×100%。</w:t>
      </w:r>
    </w:p>
    <w:p w14:paraId="5B14A822">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4）为完成该工程发生的其他措施费由承包人自行考虑纳入投标报价或投标报价比例中，包括但不限于以下其他措施费及发包人委托承包人办理的其他工作费用。由承包人自行承担并纳入投标报价或投标报价比例中的其他措施费用约定如下：</w:t>
      </w:r>
    </w:p>
    <w:p w14:paraId="30CD530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A）保证工程质量、安全、工期应采取的其他措施费用。</w:t>
      </w:r>
    </w:p>
    <w:p w14:paraId="45E73418">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B）承包人施工的临时设施等用地费用。</w:t>
      </w:r>
    </w:p>
    <w:p w14:paraId="746818D4">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C）材料及半成品的下车、堆放、仓储保管及多次转运至安装地点等全部费用；施工范围及周边建筑物、构筑物保护费用；与周边单位、居民等其他工作产生的配合及协调管理等费用。</w:t>
      </w:r>
    </w:p>
    <w:p w14:paraId="7953B7A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D）办理环卫、噪音、防尘等相关手续的费用（包含《技术标准和要求》中载明的防尘和降噪要求）。本工程建筑垃圾外运（如果有）必须执行市政府2004年第164号文《关于对主城区易撒漏物质实行密闭运输的通知》和2005年渝府令188号《重庆市主城尘污染防治办法》的规定执行。</w:t>
      </w:r>
    </w:p>
    <w:p w14:paraId="7A17FAB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E） 承包人进场装修后，应按照项目实施地点物业管理公司的规定进行相关备案以及登记，并根据物业公司的要求进行相关费用的缴纳。</w:t>
      </w:r>
    </w:p>
    <w:p w14:paraId="571B060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（5）如果承包人未事前将拟实施的方案提交给发包人确认，则应视为工程变更不引起措施项目费的调整或承包人放弃调整措施项目费的权利。</w:t>
      </w:r>
    </w:p>
    <w:p w14:paraId="7A2D76D3">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kern w:val="2"/>
          <w:sz w:val="32"/>
          <w:szCs w:val="24"/>
          <w:lang w:val="en-US" w:eastAsia="zh-CN" w:bidi="ar-SA"/>
        </w:rPr>
      </w:pPr>
      <w:r>
        <w:rPr>
          <w:rFonts w:hint="eastAsia" w:ascii="Times New Roman" w:hAnsi="Times New Roman" w:eastAsia="方正仿宋_GBK" w:cs="Times New Roman"/>
          <w:b/>
          <w:bCs/>
          <w:kern w:val="2"/>
          <w:sz w:val="32"/>
          <w:szCs w:val="24"/>
          <w:lang w:val="en-US" w:eastAsia="zh-CN" w:bidi="ar-SA"/>
        </w:rPr>
        <w:t>十</w:t>
      </w:r>
      <w:r>
        <w:rPr>
          <w:rFonts w:hint="default" w:ascii="Times New Roman" w:hAnsi="Times New Roman" w:eastAsia="方正仿宋_GBK" w:cs="Times New Roman"/>
          <w:b/>
          <w:bCs/>
          <w:kern w:val="2"/>
          <w:sz w:val="32"/>
          <w:szCs w:val="24"/>
          <w:lang w:val="en-US" w:eastAsia="zh-CN" w:bidi="ar-SA"/>
        </w:rPr>
        <w:t>、竣工结算审核：</w:t>
      </w:r>
    </w:p>
    <w:p w14:paraId="1F92C90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1、竣工结算办法</w:t>
      </w:r>
    </w:p>
    <w:p w14:paraId="1E6F972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1.1计量原则</w:t>
      </w:r>
    </w:p>
    <w:p w14:paraId="0C927129">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3799BEC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1.2计价原则</w:t>
      </w:r>
    </w:p>
    <w:p w14:paraId="4A5ED73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（1）承包人严格按照施工图施工，在施工过程中，施工图纸外的所有变化，须经四方签证认可（承包人、监理、发包人、全过程跟踪审计），未签证认可的有效变更不予结算。</w:t>
      </w:r>
    </w:p>
    <w:p w14:paraId="7F73478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（2）结算总价＝各分部分项工程量清单结算价+措施项目费（除安全文明施工费外）+安全文明施工费+规费+税金+变更部分结算价款±合同约定的其它费用-违约处理金，并以发包人或集团审定金额为准。</w:t>
      </w:r>
    </w:p>
    <w:p w14:paraId="1BB515D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结算原则如下：</w:t>
      </w:r>
    </w:p>
    <w:p w14:paraId="17B2144E">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1）各分部分项工程量清单结算价：分部分项工程量清单中子项综合单价×子项工程量。</w:t>
      </w:r>
    </w:p>
    <w:p w14:paraId="09AE40B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①子项工程量：根据施工图和建设单位、监理签证的竣工图，有效签证资料（签字并盖章），按《建设工程工程量清单计价规范》（GB50500-2013）、《重庆市建设工程工程量计算规则》（CQJLGZ-2013）、《园林绿化工程工程量计算规范》（GB 50858-2013）、《市政工程工程量计算规范》（GB50857-2013）、《房屋建筑工程与装饰工程工程量计算规范》（GB50854-2013）、《通用安装工程工程量计算规范》（GB50856-2013）、《重庆市建设工程工程量清单计价规则》（CQJJGZ-2013）约定的计量规则计算的实际合格工程量。</w:t>
      </w:r>
    </w:p>
    <w:p w14:paraId="365E377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②子项综合单价为中标清单中的分部分项工程量清单中子项综合单价。</w:t>
      </w:r>
    </w:p>
    <w:p w14:paraId="69E46C6B">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2）措施费（除安全文明施工费外）：</w:t>
      </w:r>
    </w:p>
    <w:p w14:paraId="0A8379F2">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施工组织措施项目费：无论因设计变更或施工工艺变化等任何因素而引起实际措施费的变化，均按中标清单中的施工组织措施项目费用进行结算。</w:t>
      </w:r>
    </w:p>
    <w:p w14:paraId="5A036DF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施工技术措施项目费：中标清单范围内以项为计量单位的措施项目费（安全文明施工费除外）无论因设计变更或施工工艺变化等任何因素而引起实际措施费的变化，均按中标清单的施工技术措施项目费进行结算；不以项为计量单位的措施项目费应按照实际发生变化的措施项目费按承包人报价浮动率下浮后的金额计算。承包人报价浮动率按下列公式计算：承包人报价浮动率=（1-中标价/最高限价）×100%。</w:t>
      </w:r>
    </w:p>
    <w:p w14:paraId="2592717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为完成该工程发生的其他措施费由承包人自行考虑纳入投标报价或投标报价比例中，包括但不限于以下其他措施费及发包人委托承包人办理的其他工作费用。由承包人自行承担并纳入投标报价或投标报价比例中的其他措施费用约定如下：</w:t>
      </w:r>
    </w:p>
    <w:p w14:paraId="200338A4">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A）保证工程质量、安全、工期应采取的其他措施费用。</w:t>
      </w:r>
    </w:p>
    <w:p w14:paraId="6E66411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B）承包人施工的临时设施等用地费用。</w:t>
      </w:r>
    </w:p>
    <w:p w14:paraId="1832040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C）材料及半成品的下车、堆放、仓储保管及多次转运至安装地点等全部费用；施工范围及周边建筑物、构筑物保护费用；与周边单位、居民等其他工作产生的配合及协调管理等费用。</w:t>
      </w:r>
    </w:p>
    <w:p w14:paraId="310EF0AB">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D）办理环卫、噪音、防尘等相关手续的费用（包含《技术标准和要求》中载明的防尘和降噪要求）。本工程建筑垃圾外运（如果有）必须执行市政府2004年第164号文《关于对主城区易撒漏物质实行密闭运输的通知》和2005年渝府令188号《重庆市主城尘污染防治办法》的规定执行。</w:t>
      </w:r>
    </w:p>
    <w:p w14:paraId="1A538BB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E） 承包人进场装修后，应按照项目实施地点物业管理公司的规定进行相关备案以及登记，并根据物业公司的要求进行相关费用的缴纳。</w:t>
      </w:r>
    </w:p>
    <w:p w14:paraId="7789511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3）安全文明施工费：按《重庆市建设工程费用定额》（CQFYDE-2018）规定及南岸区相关部门审定的金额结算，不得浮动。安全文明施工综合评定结果为不合格，则不计取。</w:t>
      </w:r>
    </w:p>
    <w:p w14:paraId="01DBFA5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4）规费：按规定费率结算，为不可竞争费，按照《重庆市建设工程费用定额》（CQFYDE-2018）所规定费率，不得浮动。</w:t>
      </w:r>
    </w:p>
    <w:p w14:paraId="4553D2B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5）税金：为不可竞争费用，包含增值税、城市维护建设税、教育费附加、地方教育附加以及环境保护税。按照《重庆市建设工程费用定额》（CQFYDE-2018）、《重庆市城乡建设委员会关于适用增值税新税率调整建设工程计价依据的通知》（渝建〔2019〕143号）所规定费率，不得浮动。包含增值税、城市维护建设税、教育费附加、地方教育附加以及环境保护税。</w:t>
      </w:r>
    </w:p>
    <w:p w14:paraId="3C67E85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6）变更部分结算价款</w:t>
      </w:r>
    </w:p>
    <w:p w14:paraId="355B78E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按照〔变更估价原则〕约定执行</w:t>
      </w:r>
    </w:p>
    <w:p w14:paraId="28E9C14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7）本工程如下费用已综合考虑在投标取费比例或投标报价中，中标后发包人不再另行支付。具体如下：</w:t>
      </w:r>
    </w:p>
    <w:p w14:paraId="5834CF3B">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7.1为保证本工程的合同工期所发生的抢工措施费(如使用砼早强剂、周转材料和机具设备以及人工的大量投入等)，以及抢工状况下的工程质量和安全保证措施费。</w:t>
      </w:r>
    </w:p>
    <w:p w14:paraId="12D0BD58">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7.2因发包人变更、认质认价不及时造成的停、窝工损失。</w:t>
      </w:r>
    </w:p>
    <w:p w14:paraId="3842EAB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7.3本工程临时施工用地的占用及恢复费(含施工便道、作业场地建设)包括因工程建设需要（如施工便道、作业场地）的占道、设备及材料运输、附着物及青苗补偿、建（构）筑物拆除、道路及重要设施的保护与修复（不低于原标准）、土地租用（如需要）、用地及协调等相关费用。</w:t>
      </w:r>
    </w:p>
    <w:p w14:paraId="3EF7A1C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7.4承包人应充分调查招标工程范围内及周边的现有地方路网并踏勘现场，自行考虑进场道路和施工便道布设方案（含到弃渣场的道路），如使用现有道路造成道路破坏的恢复费用。</w:t>
      </w:r>
    </w:p>
    <w:p w14:paraId="0360CC7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7.5承包人施工期间，各种来源的水、场外水流入施工现场所采取的各种排水措施及施工降效等所发生的费用，但不包括承包人获得“合同竣工验收日确认书”之后的抽排水费用。</w:t>
      </w:r>
    </w:p>
    <w:p w14:paraId="576E0A4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7.6施工条件的改变包括承包人对施工现场的了解不够等而改变施工组织设计的施工方法所增加的各种费用。</w:t>
      </w:r>
    </w:p>
    <w:p w14:paraId="1354F4A4">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7.7承包人实际发生的安全文明施工费用超出文件规定的安全文明施工费用。</w:t>
      </w:r>
    </w:p>
    <w:p w14:paraId="4906967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7.8施工中如遇施工场地建筑物(构筑物)等(除专项保护措施外)的探测及保护费用；</w:t>
      </w:r>
    </w:p>
    <w:p w14:paraId="32699AD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7.9与在场其它施工单位配合所发生的施工交叉、挡、停工、安全防护等所增加的费用。由于施工措施或防护不当造成的关联工程问题处理。</w:t>
      </w:r>
    </w:p>
    <w:p w14:paraId="31B3E72A">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7.10工程竣工验收和工程移交前承包人对整个施工现场各项工程（包括专业分包工程等在内）的安全保卫、成品保护的费用和交工前清理现场达到发包人移交要求而发生的费用，以及因提前提交专业分包工程施工场地和工作面而使承包人所增加的费用。</w:t>
      </w:r>
    </w:p>
    <w:p w14:paraId="7D15824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7.11承包人承担配合工程的配合责任所发生的费用超出本合同规定的费用。</w:t>
      </w:r>
    </w:p>
    <w:p w14:paraId="3C79554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7.12承包人施工用水、电的价格变化价差以及承包人自行解决场内施工用水电设施所发生的费用。</w:t>
      </w:r>
    </w:p>
    <w:p w14:paraId="1E26084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7.13承包人按物业公司的规定办理并取得道路通行权，按要求对道路和交通设施维修、维护、养护和管理，同时承包人还需按有关规定对超大件和超重件运输临时加固改造以及办理相关手续等；承包人应遵守政府有关主管部门和物业公司对施工噪音以及环境保护和安全生产等的管理规定，并按规定办理有关手续；由此发生的费用。</w:t>
      </w:r>
    </w:p>
    <w:p w14:paraId="5D0E71A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7.14承包人为迎接相关职能、主管部门的检查、参观学习由承包人完成的安全文明措施费用；承包人为发包人、咨询单位等提供的临时办公设施；大门及装饰的费用。</w:t>
      </w:r>
    </w:p>
    <w:p w14:paraId="223012E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7.15发包人指定水、电接口，施工所需水、电线路由承包人自行向供水、供电部门以及物业公司申请安装，项目完工后由承包人自行拆除和回收，相关费用（设备及安装费、土建费、协调费、拆除和回收费等）综合考虑在投标取费比例报价中，中标后发包人不再另行支付。</w:t>
      </w:r>
    </w:p>
    <w:p w14:paraId="2668E3B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7.16因承包人以及其它原因造成临时设施及围墙、施工道路等二次及多次安拆、搬运、搭设等内容的费用。</w:t>
      </w:r>
    </w:p>
    <w:p w14:paraId="0A38747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7.17承包人施工场地以及相邻出入口的施工道路的维修、场地和道路的排水、维修，宣传工作和标准化的现场制作标牌以及发生的费用。</w:t>
      </w:r>
    </w:p>
    <w:p w14:paraId="639FB06E">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7.18远地施工增加费、施工机构迁移费，工程施工的周转性材料、中小型机械30公里以上超定额规定运距的费用；材料、设备场内外运输超定额规定运距增加的费用。</w:t>
      </w:r>
    </w:p>
    <w:p w14:paraId="481BF67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7.19夏季高温施工补贴费用《关于建筑工程计取和发放高温补贴费用的通知》渝建发（2013）77号文的相关费用。</w:t>
      </w:r>
    </w:p>
    <w:p w14:paraId="6858BA2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7.20编制完成三套以上的施工图、竣工档案以及所有工程的档案汇总及移交费用；工程竣工验收的相关费用）。</w:t>
      </w:r>
    </w:p>
    <w:p w14:paraId="4861990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7.21本工程定额风险费以外连续停水、停电7天造成承包人增加的费用，发包人不承担任何费用索赔。因市网停水、停电，承包人应自备发电机和储水设备，且其配置的发电机和储水设备应满足工程的需要，承包人不得因市网停水、停电而停工。</w:t>
      </w:r>
    </w:p>
    <w:p w14:paraId="493287C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7.22由于施工场地制约导致承包人在场外租用其他场地搭设或租用设施的一切费用(不管何种原因)。</w:t>
      </w:r>
    </w:p>
    <w:p w14:paraId="53ED777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7.23材料、成品、半成品必须发生的多次搬运费用。</w:t>
      </w:r>
    </w:p>
    <w:p w14:paraId="3BA291E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7.24承包人进场后与该栋大楼物业公司之间需要协商并交纳的所有相关费用。</w:t>
      </w:r>
    </w:p>
    <w:p w14:paraId="710A80D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7.25提交室内环境空气质量报告涉及的监测费等，未达到室内环境污染、甲醛释放限量等相关环保标准，所采取的治理、整改等措施费用。</w:t>
      </w:r>
    </w:p>
    <w:p w14:paraId="131964B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7.26材料设备检验试验、检测、工程质量鉴定、空气检测、消防验收评定所产生的相关费用（包括使用单位要求进行空气治理的相关费用）。</w:t>
      </w:r>
    </w:p>
    <w:p w14:paraId="0EBCA5AF">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8 工程一切险和第三方责任险，由承包人自行投保，费用已包含在取费比例中，不再单独结算，并由承包人负责理赔事宜。承包人装备险和承包人职工的（人身）事故险由承包人自行投保，保险费由承包人承担并支付，并包含在取费比例中不再另行结算。</w:t>
      </w:r>
    </w:p>
    <w:p w14:paraId="5B0837DE">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（3）其他项目：</w:t>
      </w:r>
    </w:p>
    <w:p w14:paraId="3C8AAA6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①材料（工程设备）暂估价：按照〔计量原则〕约定及对应定额消耗量确定的数量乘以监理人、跟审单位、发包人根据市场行情认质核价确定的价格进行结算。</w:t>
      </w:r>
    </w:p>
    <w:p w14:paraId="58FBDA3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②专业工程暂估价：</w:t>
      </w:r>
    </w:p>
    <w:p w14:paraId="0094B937">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1）对于不属于依法必须招标的暂估价项目：按发包人审定的价格进行结算。</w:t>
      </w:r>
    </w:p>
    <w:p w14:paraId="3F4CA105">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2）对于依法必须招标的暂估价项目：达到招标规模标准的暂估价内容，包括专业工程暂估价和材料设备暂估价均应招标确定，并按暂估价招标文件约定结算。</w:t>
      </w:r>
    </w:p>
    <w:p w14:paraId="04F8D1B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3）总承包服务费：总承包服务费已包含在投标报价或投标比例中包干使用，结算时不作调整且不再计取。</w:t>
      </w:r>
    </w:p>
    <w:p w14:paraId="1D6B4E2D">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（4）价格调整：按照〔价格调整〕约定执行。</w:t>
      </w:r>
    </w:p>
    <w:p w14:paraId="7F63789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（5）工程变更、索赔与现场签证：</w:t>
      </w:r>
    </w:p>
    <w:p w14:paraId="3B19556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工程变更：按照第〔变更估价原则〕约定确定为总价包干的，按审定包干总价计入结算；其余项目按照有效的竣工结算资料和〔计量原则〕约定确定的工程量乘以相应的按照第〔变更估价原则〕约定确定综合单价来确定该部分结算价。</w:t>
      </w:r>
    </w:p>
    <w:p w14:paraId="17396FA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2）索赔：按照第〔变更估价原则〕和〔竣工结算办法〕约定执行。</w:t>
      </w:r>
    </w:p>
    <w:p w14:paraId="24592EFC">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3）现场签证：按照第〔变更估价原则〕和〔竣工结算办法〕约定执行。</w:t>
      </w:r>
    </w:p>
    <w:p w14:paraId="4B802D39">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（6）罚金、违约金及其他费用：根据合同约定按实进行结算。</w:t>
      </w:r>
    </w:p>
    <w:p w14:paraId="199BA2B9">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十</w:t>
      </w:r>
      <w:r>
        <w:rPr>
          <w:rFonts w:hint="eastAsia" w:ascii="Times New Roman" w:hAnsi="Times New Roman" w:eastAsia="方正仿宋_GBK" w:cs="Times New Roman"/>
          <w:b/>
          <w:bCs/>
          <w:kern w:val="2"/>
          <w:sz w:val="32"/>
          <w:szCs w:val="24"/>
          <w:lang w:val="en-US" w:eastAsia="zh-CN" w:bidi="ar-SA"/>
        </w:rPr>
        <w:t>一</w:t>
      </w:r>
      <w:r>
        <w:rPr>
          <w:rFonts w:hint="default" w:ascii="Times New Roman" w:hAnsi="Times New Roman" w:eastAsia="方正仿宋_GBK" w:cs="Times New Roman"/>
          <w:b/>
          <w:bCs/>
          <w:kern w:val="2"/>
          <w:sz w:val="32"/>
          <w:szCs w:val="24"/>
          <w:lang w:val="en-US" w:eastAsia="zh-CN" w:bidi="ar-SA"/>
        </w:rPr>
        <w:t>、其它约定：</w:t>
      </w:r>
    </w:p>
    <w:p w14:paraId="6C033500">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1.工程由乙方负责组织完成工程施工，协调电力部门对工程进行竣工验收。同时承办有关停送电业务手续，最后割接搭头通电。</w:t>
      </w:r>
    </w:p>
    <w:p w14:paraId="0845618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2.乙方必须按照电力行业规程及建筑电气设备安装工程施工验收规范组织施工，如发生返工，由乙方负责。工程质量及施工中的安全责任由乙方负责。</w:t>
      </w:r>
    </w:p>
    <w:p w14:paraId="0DBE0093">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3.割接通电前供电局要求完善的运行设施由乙方备齐。</w:t>
      </w:r>
    </w:p>
    <w:p w14:paraId="040FF1D6">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4.甲方应按照合同约定支付工程款。</w:t>
      </w:r>
    </w:p>
    <w:p w14:paraId="04EC8E31">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5.工程完毕后，乙方向甲方移交配电竣工资料。</w:t>
      </w:r>
    </w:p>
    <w:p w14:paraId="58910504">
      <w:pPr>
        <w:keepNext w:val="0"/>
        <w:keepLines w:val="0"/>
        <w:pageBreakBefore w:val="0"/>
        <w:kinsoku/>
        <w:wordWrap/>
        <w:overflowPunct/>
        <w:topLinePunct w:val="0"/>
        <w:autoSpaceDE/>
        <w:autoSpaceDN/>
        <w:bidi w:val="0"/>
        <w:adjustRightInd/>
        <w:snapToGrid/>
        <w:spacing w:line="240" w:lineRule="auto"/>
        <w:ind w:left="0"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b w:val="0"/>
          <w:bCs w:val="0"/>
          <w:kern w:val="2"/>
          <w:sz w:val="32"/>
          <w:szCs w:val="24"/>
          <w:lang w:val="en-US" w:eastAsia="zh-CN" w:bidi="ar-SA"/>
        </w:rPr>
        <w:t>6.乙方需配合甲方完成将峡药一回#969间隔出线电缆及峡药二回#987间隔出线电缆申请为经开·博睿庭项目一期公用供电电</w:t>
      </w:r>
      <w:r>
        <w:rPr>
          <w:rFonts w:hint="default" w:ascii="Times New Roman" w:hAnsi="Times New Roman" w:eastAsia="方正仿宋_GBK" w:cs="Times New Roman"/>
          <w:sz w:val="32"/>
        </w:rPr>
        <w:t>源。</w:t>
      </w:r>
    </w:p>
    <w:p w14:paraId="61D71DDF">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违约责任：</w:t>
      </w:r>
    </w:p>
    <w:p w14:paraId="25C09E9F">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双方必须严格执行合同中的各项条款，如有违约，严格按照《</w:t>
      </w:r>
      <w:r>
        <w:rPr>
          <w:rFonts w:hint="default" w:ascii="Times New Roman" w:hAnsi="Times New Roman" w:eastAsia="方正仿宋_GBK" w:cs="Times New Roman"/>
          <w:sz w:val="32"/>
          <w:lang w:eastAsia="zh-Hans"/>
        </w:rPr>
        <w:t>民法典</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Hans"/>
        </w:rPr>
        <w:t>的相关约定</w:t>
      </w:r>
      <w:r>
        <w:rPr>
          <w:rFonts w:hint="default" w:ascii="Times New Roman" w:hAnsi="Times New Roman" w:eastAsia="方正仿宋_GBK" w:cs="Times New Roman"/>
          <w:sz w:val="32"/>
        </w:rPr>
        <w:t>赔偿对方损失。</w:t>
      </w:r>
    </w:p>
    <w:p w14:paraId="64C6D819">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firstLine="640" w:firstLineChars="200"/>
        <w:jc w:val="both"/>
        <w:rPr>
          <w:rFonts w:hint="default" w:ascii="Times New Roman" w:hAnsi="Times New Roman" w:eastAsia="方正仿宋_GBK" w:cs="Times New Roman"/>
          <w:b w:val="0"/>
          <w:bCs w:val="0"/>
          <w:i w:val="0"/>
          <w:iCs w:val="0"/>
          <w:caps w:val="0"/>
          <w:color w:val="000000"/>
          <w:spacing w:val="0"/>
          <w:sz w:val="32"/>
        </w:rPr>
      </w:pPr>
      <w:r>
        <w:rPr>
          <w:rFonts w:hint="eastAsia" w:ascii="Times New Roman" w:hAnsi="Times New Roman" w:eastAsia="方正仿宋_GBK" w:cs="Times New Roman"/>
          <w:b w:val="0"/>
          <w:bCs w:val="0"/>
          <w:sz w:val="32"/>
          <w:lang w:val="en-US" w:eastAsia="zh-CN"/>
        </w:rPr>
        <w:t>8、送达地址约定：</w:t>
      </w:r>
      <w:r>
        <w:rPr>
          <w:rFonts w:hint="eastAsia" w:ascii="Times New Roman" w:hAnsi="Times New Roman" w:eastAsia="方正仿宋_GBK" w:cs="Times New Roman"/>
          <w:b w:val="0"/>
          <w:bCs w:val="0"/>
          <w:i w:val="0"/>
          <w:iCs w:val="0"/>
          <w:caps w:val="0"/>
          <w:color w:val="000000"/>
          <w:spacing w:val="0"/>
          <w:sz w:val="32"/>
        </w:rPr>
        <w:t> 本合同项下任何一方向对方发出的通知、信件、数据电文等，应当以书面形式发送至本合同下列约定的送达地址。</w:t>
      </w:r>
      <w:r>
        <w:rPr>
          <w:rFonts w:hint="eastAsia" w:ascii="Times New Roman" w:hAnsi="Times New Roman" w:eastAsia="方正仿宋_GBK" w:cs="Times New Roman"/>
          <w:b w:val="0"/>
          <w:bCs w:val="0"/>
          <w:i w:val="0"/>
          <w:iCs w:val="0"/>
          <w:caps w:val="0"/>
          <w:spacing w:val="0"/>
          <w:sz w:val="32"/>
          <w:lang w:eastAsia="zh-CN"/>
        </w:rPr>
        <w:t>甲方：</w:t>
      </w:r>
      <w:r>
        <w:rPr>
          <w:rFonts w:hint="eastAsia" w:ascii="Times New Roman" w:hAnsi="Times New Roman" w:eastAsia="方正仿宋_GBK" w:cs="Times New Roman"/>
          <w:b w:val="0"/>
          <w:bCs w:val="0"/>
          <w:i w:val="0"/>
          <w:iCs w:val="0"/>
          <w:caps w:val="0"/>
          <w:spacing w:val="0"/>
          <w:sz w:val="32"/>
          <w:lang w:val="en-US" w:eastAsia="zh-CN"/>
        </w:rPr>
        <w:t xml:space="preserve">   乙方：    </w:t>
      </w:r>
    </w:p>
    <w:p w14:paraId="7E034AB9">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firstLine="0"/>
        <w:jc w:val="both"/>
        <w:rPr>
          <w:rFonts w:hint="eastAsia" w:ascii="Times New Roman" w:hAnsi="Times New Roman" w:eastAsia="方正仿宋_GBK" w:cs="Times New Roman"/>
          <w:b w:val="0"/>
          <w:bCs w:val="0"/>
          <w:i w:val="0"/>
          <w:iCs w:val="0"/>
          <w:caps w:val="0"/>
          <w:spacing w:val="0"/>
          <w:sz w:val="32"/>
        </w:rPr>
      </w:pPr>
      <w:r>
        <w:rPr>
          <w:rFonts w:hint="eastAsia" w:ascii="Times New Roman" w:hAnsi="Times New Roman" w:eastAsia="方正仿宋_GBK" w:cs="Times New Roman"/>
          <w:b w:val="0"/>
          <w:bCs w:val="0"/>
          <w:i w:val="0"/>
          <w:iCs w:val="0"/>
          <w:caps w:val="0"/>
          <w:color w:val="000000"/>
          <w:spacing w:val="0"/>
          <w:sz w:val="32"/>
        </w:rPr>
        <w:t>一方当事人变更送达地址信息/电子送达信息的，应当在变更后 3 日内及时书面通知对方当事人，对方当事人实际收到变更通知前的送达仍为有效送达，电子送达与其他送达方式具有同等法律效力。</w:t>
      </w:r>
    </w:p>
    <w:p w14:paraId="48002476">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ind w:left="0" w:right="0" w:firstLine="640" w:firstLineChars="200"/>
        <w:jc w:val="both"/>
        <w:rPr>
          <w:rFonts w:hint="eastAsia" w:ascii="Times New Roman" w:hAnsi="Times New Roman" w:eastAsia="方正仿宋_GBK" w:cs="Times New Roman"/>
          <w:b w:val="0"/>
          <w:bCs w:val="0"/>
          <w:i w:val="0"/>
          <w:iCs w:val="0"/>
          <w:caps w:val="0"/>
          <w:color w:val="000000"/>
          <w:spacing w:val="0"/>
          <w:sz w:val="32"/>
        </w:rPr>
      </w:pPr>
      <w:r>
        <w:rPr>
          <w:rFonts w:hint="eastAsia" w:ascii="Times New Roman" w:hAnsi="Times New Roman" w:eastAsia="方正仿宋_GBK" w:cs="Times New Roman"/>
          <w:b w:val="0"/>
          <w:bCs w:val="0"/>
          <w:i w:val="0"/>
          <w:iCs w:val="0"/>
          <w:caps w:val="0"/>
          <w:spacing w:val="0"/>
          <w:sz w:val="32"/>
          <w:lang w:val="en-US" w:eastAsia="zh-CN"/>
        </w:rPr>
        <w:t>9、</w:t>
      </w:r>
      <w:r>
        <w:rPr>
          <w:rFonts w:hint="eastAsia" w:ascii="Times New Roman" w:hAnsi="Times New Roman" w:eastAsia="方正仿宋_GBK" w:cs="Times New Roman"/>
          <w:b w:val="0"/>
          <w:bCs w:val="0"/>
          <w:i w:val="0"/>
          <w:iCs w:val="0"/>
          <w:caps w:val="0"/>
          <w:color w:val="333333"/>
          <w:spacing w:val="0"/>
          <w:sz w:val="32"/>
          <w:szCs w:val="24"/>
          <w:shd w:val="clear" w:color="auto" w:fill="auto"/>
        </w:rPr>
        <w:t>凡因本协议引起的或与本协议有关的任何争议,由双方友好协商解决。协商不成时,双方均有权向</w:t>
      </w:r>
      <w:r>
        <w:rPr>
          <w:rFonts w:hint="eastAsia" w:ascii="Times New Roman" w:hAnsi="Times New Roman" w:eastAsia="方正仿宋_GBK" w:cs="Times New Roman"/>
          <w:b w:val="0"/>
          <w:bCs w:val="0"/>
          <w:i w:val="0"/>
          <w:iCs w:val="0"/>
          <w:caps w:val="0"/>
          <w:spacing w:val="0"/>
          <w:sz w:val="32"/>
          <w:szCs w:val="24"/>
          <w:shd w:val="clear" w:color="auto" w:fill="auto"/>
          <w:lang w:eastAsia="zh-CN"/>
        </w:rPr>
        <w:t>工程所在地</w:t>
      </w:r>
      <w:r>
        <w:rPr>
          <w:rFonts w:hint="eastAsia" w:ascii="Times New Roman" w:hAnsi="Times New Roman" w:eastAsia="方正仿宋_GBK" w:cs="Times New Roman"/>
          <w:b w:val="0"/>
          <w:bCs w:val="0"/>
          <w:i w:val="0"/>
          <w:iCs w:val="0"/>
          <w:caps w:val="0"/>
          <w:color w:val="333333"/>
          <w:spacing w:val="0"/>
          <w:sz w:val="32"/>
          <w:szCs w:val="24"/>
          <w:shd w:val="clear" w:color="auto" w:fill="auto"/>
        </w:rPr>
        <w:t>的人民法院提起诉讼。 </w:t>
      </w:r>
    </w:p>
    <w:p w14:paraId="2DDAC918">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九、本合同一式肆份，双方各执贰份，并经双方签字盖章后生效。</w:t>
      </w:r>
    </w:p>
    <w:p w14:paraId="2C978F6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rPr>
      </w:pPr>
    </w:p>
    <w:p w14:paraId="486C7DC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乙方：</w:t>
      </w:r>
    </w:p>
    <w:p w14:paraId="6AF7A673">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法定代表人：</w:t>
      </w:r>
    </w:p>
    <w:p w14:paraId="4E63FA2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szCs w:val="32"/>
        </w:rPr>
      </w:pPr>
    </w:p>
    <w:p w14:paraId="7594401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经办人：                             经办人：</w:t>
      </w:r>
    </w:p>
    <w:p w14:paraId="56A85EE1">
      <w:pPr>
        <w:pStyle w:val="3"/>
        <w:spacing w:before="0" w:after="0" w:line="360" w:lineRule="auto"/>
        <w:jc w:val="center"/>
        <w:rPr>
          <w:rFonts w:hint="eastAsia" w:ascii="宋体" w:hAnsi="宋体"/>
          <w:highlight w:val="none"/>
        </w:rPr>
        <w:sectPr>
          <w:footerReference r:id="rId9" w:type="default"/>
          <w:pgSz w:w="11906" w:h="16838"/>
          <w:pgMar w:top="1304" w:right="1134" w:bottom="1304" w:left="1304" w:header="851" w:footer="992" w:gutter="0"/>
          <w:cols w:space="720" w:num="1"/>
          <w:docGrid w:type="lines" w:linePitch="312" w:charSpace="0"/>
        </w:sectPr>
      </w:pPr>
      <w:r>
        <w:rPr>
          <w:rFonts w:hint="default" w:ascii="Times New Roman" w:hAnsi="Times New Roman" w:eastAsia="方正仿宋_GBK" w:cs="Times New Roman"/>
          <w:sz w:val="32"/>
          <w:szCs w:val="32"/>
        </w:rPr>
        <w:t xml:space="preserve">年   月   日                        年   月   </w:t>
      </w:r>
      <w:r>
        <w:rPr>
          <w:rFonts w:hint="eastAsia" w:ascii="Times New Roman" w:hAnsi="Times New Roman" w:eastAsia="方正仿宋_GBK" w:cs="Times New Roman"/>
          <w:sz w:val="32"/>
          <w:szCs w:val="32"/>
          <w:lang w:val="en-US" w:eastAsia="zh-CN"/>
        </w:rPr>
        <w:t>日</w:t>
      </w:r>
    </w:p>
    <w:p w14:paraId="52151997">
      <w:pPr>
        <w:pStyle w:val="3"/>
        <w:spacing w:before="0" w:after="0" w:line="360" w:lineRule="auto"/>
        <w:jc w:val="center"/>
        <w:rPr>
          <w:rFonts w:ascii="宋体" w:hAnsi="宋体"/>
          <w:highlight w:val="none"/>
        </w:rPr>
      </w:pPr>
      <w:r>
        <w:rPr>
          <w:rFonts w:hint="eastAsia" w:ascii="宋体" w:hAnsi="宋体"/>
          <w:highlight w:val="none"/>
        </w:rPr>
        <w:t>第五章  工程量清单</w:t>
      </w:r>
      <w:bookmarkStart w:id="404" w:name="招标文件05章工程量清单01"/>
      <w:bookmarkEnd w:id="404"/>
      <w:bookmarkStart w:id="405" w:name="_Toc287607856"/>
      <w:bookmarkStart w:id="406" w:name="_Toc224103477"/>
      <w:bookmarkStart w:id="407" w:name="_Toc277082638"/>
      <w:bookmarkStart w:id="408" w:name="_Toc430530514"/>
      <w:bookmarkStart w:id="409" w:name="_Toc287620798"/>
    </w:p>
    <w:bookmarkEnd w:id="405"/>
    <w:bookmarkEnd w:id="406"/>
    <w:bookmarkEnd w:id="407"/>
    <w:bookmarkEnd w:id="408"/>
    <w:bookmarkEnd w:id="409"/>
    <w:p w14:paraId="0D34AD4B">
      <w:pPr>
        <w:snapToGrid w:val="0"/>
        <w:spacing w:line="360" w:lineRule="auto"/>
        <w:jc w:val="center"/>
        <w:rPr>
          <w:rFonts w:ascii="宋体" w:hAnsi="宋体"/>
          <w:sz w:val="24"/>
          <w:highlight w:val="none"/>
        </w:rPr>
      </w:pPr>
    </w:p>
    <w:p w14:paraId="5F2783E4">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14:paraId="2BACBB32">
      <w:pPr>
        <w:ind w:right="561"/>
        <w:rPr>
          <w:rFonts w:ascii="宋体" w:hAnsi="宋体"/>
          <w:szCs w:val="21"/>
          <w:highlight w:val="none"/>
        </w:rPr>
      </w:pPr>
      <w:r>
        <w:rPr>
          <w:rFonts w:ascii="宋体" w:hAnsi="宋体"/>
          <w:sz w:val="24"/>
          <w:highlight w:val="none"/>
        </w:rPr>
        <w:br w:type="page"/>
      </w:r>
    </w:p>
    <w:p w14:paraId="7C9D6782">
      <w:pPr>
        <w:spacing w:line="360" w:lineRule="auto"/>
        <w:rPr>
          <w:rFonts w:ascii="宋体" w:hAnsi="宋体"/>
          <w:szCs w:val="20"/>
          <w:highlight w:val="none"/>
        </w:rPr>
      </w:pPr>
    </w:p>
    <w:p w14:paraId="563BD565">
      <w:pPr>
        <w:pStyle w:val="3"/>
        <w:spacing w:line="360" w:lineRule="auto"/>
        <w:jc w:val="center"/>
        <w:rPr>
          <w:rFonts w:hint="eastAsia" w:ascii="宋体" w:hAnsi="宋体" w:eastAsia="宋体"/>
          <w:highlight w:val="none"/>
          <w:lang w:eastAsia="zh-CN"/>
        </w:rPr>
      </w:pPr>
      <w:bookmarkStart w:id="410" w:name="招标文件06章图纸"/>
      <w:bookmarkEnd w:id="410"/>
      <w:bookmarkStart w:id="411" w:name="_Toc22154"/>
      <w:bookmarkStart w:id="412" w:name="_Toc287607861"/>
      <w:bookmarkStart w:id="413" w:name="_Toc287620803"/>
      <w:bookmarkStart w:id="414" w:name="_Toc8087"/>
      <w:bookmarkStart w:id="415" w:name="_Toc30298"/>
      <w:bookmarkStart w:id="416" w:name="_Toc509218846"/>
      <w:bookmarkStart w:id="417" w:name="_Toc430530519"/>
      <w:bookmarkStart w:id="418" w:name="_Toc534185825"/>
      <w:r>
        <w:rPr>
          <w:rFonts w:hint="eastAsia" w:ascii="宋体" w:hAnsi="宋体"/>
          <w:highlight w:val="none"/>
        </w:rPr>
        <w:t>第六章  图纸</w:t>
      </w:r>
      <w:bookmarkEnd w:id="411"/>
      <w:bookmarkEnd w:id="412"/>
      <w:bookmarkEnd w:id="413"/>
      <w:bookmarkEnd w:id="414"/>
      <w:bookmarkEnd w:id="415"/>
      <w:bookmarkEnd w:id="416"/>
      <w:bookmarkEnd w:id="417"/>
      <w:bookmarkEnd w:id="418"/>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p>
    <w:p w14:paraId="3372F192">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14:paraId="44EA8092">
      <w:pPr>
        <w:spacing w:line="360" w:lineRule="auto"/>
        <w:jc w:val="center"/>
        <w:rPr>
          <w:rFonts w:ascii="宋体" w:hAnsi="宋体"/>
          <w:szCs w:val="20"/>
          <w:highlight w:val="none"/>
        </w:rPr>
      </w:pPr>
    </w:p>
    <w:p w14:paraId="0998DB57">
      <w:pPr>
        <w:spacing w:line="360" w:lineRule="auto"/>
        <w:rPr>
          <w:rFonts w:ascii="宋体" w:hAnsi="宋体"/>
          <w:szCs w:val="20"/>
          <w:highlight w:val="none"/>
        </w:rPr>
      </w:pPr>
      <w:bookmarkStart w:id="419" w:name="招标文件06章图纸01"/>
      <w:bookmarkEnd w:id="419"/>
      <w:bookmarkStart w:id="420" w:name="_Toc287620804"/>
      <w:bookmarkStart w:id="421" w:name="_Toc430530520"/>
    </w:p>
    <w:bookmarkEnd w:id="420"/>
    <w:bookmarkEnd w:id="421"/>
    <w:p w14:paraId="0C359E4B">
      <w:pPr>
        <w:spacing w:line="360" w:lineRule="auto"/>
        <w:rPr>
          <w:rFonts w:ascii="宋体" w:hAnsi="宋体"/>
          <w:highlight w:val="none"/>
        </w:rPr>
      </w:pPr>
      <w:r>
        <w:rPr>
          <w:rFonts w:ascii="宋体" w:hAnsi="宋体"/>
          <w:szCs w:val="20"/>
          <w:highlight w:val="none"/>
        </w:rPr>
        <w:br w:type="page"/>
      </w:r>
    </w:p>
    <w:p w14:paraId="21D52971">
      <w:pPr>
        <w:pStyle w:val="3"/>
        <w:spacing w:line="360" w:lineRule="auto"/>
        <w:jc w:val="center"/>
        <w:rPr>
          <w:rFonts w:ascii="宋体" w:hAnsi="宋体"/>
          <w:highlight w:val="none"/>
        </w:rPr>
      </w:pPr>
      <w:bookmarkStart w:id="422" w:name="招标文件07章技术标准和要求"/>
      <w:bookmarkEnd w:id="422"/>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Start w:id="423" w:name="招标文件07章技术标准和要求01"/>
      <w:bookmarkEnd w:id="423"/>
      <w:bookmarkStart w:id="424" w:name="_Toc287620808"/>
      <w:bookmarkStart w:id="425" w:name="_Toc430530524"/>
    </w:p>
    <w:bookmarkEnd w:id="424"/>
    <w:bookmarkEnd w:id="425"/>
    <w:p w14:paraId="4A0B0794">
      <w:pPr>
        <w:spacing w:line="360" w:lineRule="auto"/>
        <w:jc w:val="center"/>
        <w:rPr>
          <w:rFonts w:ascii="宋体" w:hAnsi="宋体"/>
          <w:szCs w:val="21"/>
          <w:highlight w:val="none"/>
        </w:rPr>
      </w:pPr>
      <w:r>
        <w:rPr>
          <w:rFonts w:ascii="宋体" w:hAnsi="宋体"/>
          <w:szCs w:val="21"/>
          <w:highlight w:val="none"/>
        </w:rPr>
        <w:t>由</w:t>
      </w:r>
      <w:r>
        <w:rPr>
          <w:rFonts w:hint="eastAsia" w:ascii="宋体" w:hAnsi="宋体"/>
          <w:szCs w:val="21"/>
          <w:highlight w:val="none"/>
          <w:lang w:eastAsia="zh-CN"/>
        </w:rPr>
        <w:t>比选人</w:t>
      </w:r>
      <w:r>
        <w:rPr>
          <w:rFonts w:ascii="宋体" w:hAnsi="宋体"/>
          <w:szCs w:val="21"/>
          <w:highlight w:val="none"/>
        </w:rPr>
        <w:t>根据招标项目的实际情况编写</w:t>
      </w:r>
      <w:r>
        <w:rPr>
          <w:rFonts w:hint="eastAsia" w:ascii="宋体" w:hAnsi="宋体"/>
          <w:szCs w:val="21"/>
          <w:highlight w:val="none"/>
        </w:rPr>
        <w:t>（如有）。</w:t>
      </w:r>
    </w:p>
    <w:p w14:paraId="54F02DEE">
      <w:pPr>
        <w:spacing w:line="360" w:lineRule="auto"/>
        <w:rPr>
          <w:rFonts w:ascii="宋体" w:hAnsi="宋体"/>
          <w:highlight w:val="none"/>
        </w:rPr>
      </w:pPr>
      <w:r>
        <w:rPr>
          <w:rFonts w:ascii="宋体" w:hAnsi="宋体"/>
          <w:highlight w:val="none"/>
        </w:rPr>
        <w:br w:type="page"/>
      </w:r>
    </w:p>
    <w:p w14:paraId="40717AF8">
      <w:pPr>
        <w:pStyle w:val="3"/>
        <w:spacing w:line="360" w:lineRule="auto"/>
        <w:jc w:val="center"/>
        <w:rPr>
          <w:rFonts w:ascii="宋体" w:hAnsi="宋体"/>
          <w:highlight w:val="none"/>
        </w:rPr>
      </w:pPr>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p>
    <w:bookmarkEnd w:id="393"/>
    <w:bookmarkEnd w:id="394"/>
    <w:bookmarkEnd w:id="395"/>
    <w:bookmarkEnd w:id="396"/>
    <w:bookmarkEnd w:id="397"/>
    <w:bookmarkEnd w:id="398"/>
    <w:bookmarkEnd w:id="399"/>
    <w:bookmarkEnd w:id="400"/>
    <w:p w14:paraId="423ADB86">
      <w:pPr>
        <w:spacing w:line="360" w:lineRule="auto"/>
        <w:rPr>
          <w:rFonts w:ascii="宋体" w:hAnsi="宋体"/>
          <w:sz w:val="32"/>
          <w:szCs w:val="32"/>
          <w:highlight w:val="none"/>
        </w:rPr>
      </w:pPr>
    </w:p>
    <w:p w14:paraId="4799D34A">
      <w:pPr>
        <w:spacing w:line="360" w:lineRule="auto"/>
        <w:jc w:val="center"/>
        <w:rPr>
          <w:rFonts w:ascii="宋体" w:hAnsi="宋体"/>
          <w:sz w:val="36"/>
          <w:szCs w:val="36"/>
          <w:highlight w:val="none"/>
        </w:rPr>
      </w:pPr>
      <w:bookmarkStart w:id="426" w:name="_Toc224103493"/>
      <w:r>
        <w:rPr>
          <w:rFonts w:hint="eastAsia" w:ascii="宋体" w:hAnsi="宋体"/>
          <w:sz w:val="36"/>
          <w:szCs w:val="36"/>
          <w:highlight w:val="none"/>
        </w:rPr>
        <w:t>目  录</w:t>
      </w:r>
      <w:bookmarkEnd w:id="426"/>
    </w:p>
    <w:p w14:paraId="1ABDABFD">
      <w:pPr>
        <w:spacing w:line="360" w:lineRule="auto"/>
        <w:jc w:val="center"/>
        <w:rPr>
          <w:rFonts w:ascii="宋体" w:hAnsi="宋体"/>
          <w:szCs w:val="20"/>
          <w:highlight w:val="none"/>
        </w:rPr>
      </w:pPr>
    </w:p>
    <w:p w14:paraId="2029A233">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14:paraId="73337F6E">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14:paraId="20CB4930">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14:paraId="5080B188">
      <w:pPr>
        <w:spacing w:line="360" w:lineRule="auto"/>
        <w:ind w:firstLine="420" w:firstLineChars="200"/>
        <w:rPr>
          <w:rFonts w:hint="eastAsia"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bookmarkStart w:id="427" w:name="_Toc287620817"/>
      <w:bookmarkStart w:id="428" w:name="_Toc277082646"/>
      <w:bookmarkStart w:id="429" w:name="_Toc287607870"/>
      <w:bookmarkStart w:id="430" w:name="_Toc224103498"/>
      <w:bookmarkStart w:id="431" w:name="_Toc57905922"/>
      <w:bookmarkStart w:id="432" w:name="_Toc13933"/>
    </w:p>
    <w:p w14:paraId="3BCA4483">
      <w:pPr>
        <w:spacing w:line="360" w:lineRule="auto"/>
        <w:ind w:firstLine="420" w:firstLineChars="200"/>
      </w:pPr>
      <w:r>
        <w:rPr>
          <w:rFonts w:hint="eastAsia" w:ascii="宋体" w:hAnsi="宋体" w:eastAsia="宋体" w:cs="Times New Roman"/>
          <w:b w:val="0"/>
          <w:bCs w:val="0"/>
          <w:kern w:val="2"/>
          <w:sz w:val="21"/>
          <w:szCs w:val="24"/>
          <w:highlight w:val="none"/>
          <w:lang w:val="en-US" w:eastAsia="zh-CN" w:bidi="ar-SA"/>
        </w:rPr>
        <w:t>（四）</w:t>
      </w:r>
      <w:bookmarkEnd w:id="427"/>
      <w:bookmarkEnd w:id="428"/>
      <w:bookmarkEnd w:id="429"/>
      <w:bookmarkEnd w:id="430"/>
      <w:r>
        <w:rPr>
          <w:rFonts w:hint="eastAsia" w:ascii="宋体" w:hAnsi="宋体" w:eastAsia="宋体" w:cs="Times New Roman"/>
          <w:b w:val="0"/>
          <w:bCs w:val="0"/>
          <w:kern w:val="2"/>
          <w:sz w:val="21"/>
          <w:szCs w:val="24"/>
          <w:highlight w:val="none"/>
          <w:lang w:val="en-US" w:eastAsia="zh-CN" w:bidi="ar-SA"/>
        </w:rPr>
        <w:t>低价风险担保提交承诺书</w:t>
      </w:r>
      <w:bookmarkEnd w:id="431"/>
      <w:bookmarkEnd w:id="432"/>
    </w:p>
    <w:p w14:paraId="60647CB9">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p>
    <w:p w14:paraId="10EA4710">
      <w:pPr>
        <w:spacing w:line="360" w:lineRule="auto"/>
        <w:ind w:firstLine="420" w:firstLineChars="200"/>
        <w:rPr>
          <w:rFonts w:ascii="宋体" w:hAnsi="宋体"/>
          <w:highlight w:val="none"/>
        </w:rPr>
      </w:pPr>
      <w:r>
        <w:rPr>
          <w:rFonts w:ascii="宋体" w:hAnsi="宋体"/>
          <w:highlight w:val="none"/>
        </w:rPr>
        <w:t>已标价工程量清单</w:t>
      </w:r>
    </w:p>
    <w:p w14:paraId="4FF86EDA">
      <w:pPr>
        <w:spacing w:line="360" w:lineRule="auto"/>
        <w:rPr>
          <w:rFonts w:ascii="宋体" w:hAnsi="宋体"/>
          <w:b/>
          <w:highlight w:val="none"/>
        </w:rPr>
      </w:pPr>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p>
    <w:p w14:paraId="41B82E5D">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2B40F32A">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7BEF88A0">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1F370FA9">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14:paraId="126673CF">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72EFA978">
      <w:pPr>
        <w:spacing w:line="360" w:lineRule="auto"/>
        <w:rPr>
          <w:rFonts w:ascii="宋体" w:hAnsi="宋体"/>
          <w:highlight w:val="none"/>
        </w:rPr>
      </w:pPr>
    </w:p>
    <w:p w14:paraId="11709AA8">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433" w:name="_Toc287607866"/>
      <w:bookmarkStart w:id="434" w:name="_Toc224103494"/>
      <w:bookmarkStart w:id="435" w:name="_Toc430530529"/>
      <w:bookmarkStart w:id="436" w:name="_Toc287620813"/>
      <w:bookmarkStart w:id="437" w:name="_Toc277082642"/>
    </w:p>
    <w:p w14:paraId="28CCEAD3">
      <w:pPr>
        <w:pStyle w:val="4"/>
        <w:spacing w:line="360" w:lineRule="auto"/>
        <w:jc w:val="center"/>
        <w:rPr>
          <w:rFonts w:ascii="宋体" w:hAnsi="宋体"/>
          <w:b w:val="0"/>
          <w:bCs w:val="0"/>
          <w:sz w:val="44"/>
          <w:szCs w:val="44"/>
          <w:highlight w:val="none"/>
        </w:rPr>
      </w:pPr>
      <w:bookmarkStart w:id="438" w:name="_Toc19476"/>
      <w:bookmarkStart w:id="439" w:name="_Toc27035"/>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433"/>
      <w:bookmarkEnd w:id="434"/>
      <w:bookmarkEnd w:id="435"/>
      <w:bookmarkEnd w:id="436"/>
      <w:bookmarkEnd w:id="437"/>
      <w:bookmarkEnd w:id="438"/>
      <w:bookmarkEnd w:id="439"/>
    </w:p>
    <w:p w14:paraId="03A2B04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88EE387">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14:paraId="0823EA3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4235FB7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661EB2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0383991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C5AF39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D7E54A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0648736B">
      <w:pPr>
        <w:autoSpaceDE w:val="0"/>
        <w:autoSpaceDN w:val="0"/>
        <w:adjustRightInd w:val="0"/>
        <w:snapToGrid w:val="0"/>
        <w:spacing w:line="360" w:lineRule="auto"/>
        <w:jc w:val="left"/>
        <w:rPr>
          <w:rFonts w:ascii="宋体" w:hAnsi="宋体"/>
          <w:kern w:val="0"/>
          <w:sz w:val="16"/>
          <w:szCs w:val="16"/>
          <w:highlight w:val="none"/>
        </w:rPr>
      </w:pPr>
    </w:p>
    <w:p w14:paraId="16DF5328">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14:paraId="3A60774F">
      <w:pPr>
        <w:autoSpaceDE w:val="0"/>
        <w:autoSpaceDN w:val="0"/>
        <w:adjustRightInd w:val="0"/>
        <w:snapToGrid w:val="0"/>
        <w:spacing w:line="360" w:lineRule="auto"/>
        <w:jc w:val="left"/>
        <w:rPr>
          <w:rFonts w:ascii="宋体" w:hAnsi="宋体"/>
          <w:b/>
          <w:kern w:val="0"/>
          <w:sz w:val="20"/>
          <w:szCs w:val="20"/>
          <w:highlight w:val="none"/>
        </w:rPr>
      </w:pPr>
    </w:p>
    <w:p w14:paraId="656E4E6B">
      <w:pPr>
        <w:autoSpaceDE w:val="0"/>
        <w:autoSpaceDN w:val="0"/>
        <w:adjustRightInd w:val="0"/>
        <w:snapToGrid w:val="0"/>
        <w:spacing w:line="360" w:lineRule="auto"/>
        <w:jc w:val="left"/>
        <w:rPr>
          <w:rFonts w:ascii="宋体" w:hAnsi="宋体"/>
          <w:b/>
          <w:kern w:val="0"/>
          <w:sz w:val="20"/>
          <w:szCs w:val="20"/>
          <w:highlight w:val="none"/>
        </w:rPr>
      </w:pPr>
    </w:p>
    <w:p w14:paraId="41E0AD7B">
      <w:pPr>
        <w:autoSpaceDE w:val="0"/>
        <w:autoSpaceDN w:val="0"/>
        <w:adjustRightInd w:val="0"/>
        <w:snapToGrid w:val="0"/>
        <w:spacing w:line="360" w:lineRule="auto"/>
        <w:jc w:val="left"/>
        <w:rPr>
          <w:rFonts w:ascii="宋体" w:hAnsi="宋体"/>
          <w:b/>
          <w:kern w:val="0"/>
          <w:sz w:val="20"/>
          <w:szCs w:val="20"/>
          <w:highlight w:val="none"/>
        </w:rPr>
      </w:pPr>
    </w:p>
    <w:p w14:paraId="7A84C62B">
      <w:pPr>
        <w:autoSpaceDE w:val="0"/>
        <w:autoSpaceDN w:val="0"/>
        <w:adjustRightInd w:val="0"/>
        <w:snapToGrid w:val="0"/>
        <w:spacing w:line="360" w:lineRule="auto"/>
        <w:jc w:val="left"/>
        <w:rPr>
          <w:rFonts w:ascii="宋体" w:hAnsi="宋体"/>
          <w:b/>
          <w:kern w:val="0"/>
          <w:sz w:val="20"/>
          <w:szCs w:val="20"/>
          <w:highlight w:val="none"/>
        </w:rPr>
      </w:pPr>
    </w:p>
    <w:p w14:paraId="0C7C1734">
      <w:pPr>
        <w:autoSpaceDE w:val="0"/>
        <w:autoSpaceDN w:val="0"/>
        <w:adjustRightInd w:val="0"/>
        <w:snapToGrid w:val="0"/>
        <w:spacing w:line="360" w:lineRule="auto"/>
        <w:jc w:val="left"/>
        <w:rPr>
          <w:rFonts w:ascii="宋体" w:hAnsi="宋体"/>
          <w:b/>
          <w:kern w:val="0"/>
          <w:sz w:val="20"/>
          <w:szCs w:val="20"/>
          <w:highlight w:val="none"/>
        </w:rPr>
      </w:pPr>
    </w:p>
    <w:p w14:paraId="0C150843">
      <w:pPr>
        <w:autoSpaceDE w:val="0"/>
        <w:autoSpaceDN w:val="0"/>
        <w:adjustRightInd w:val="0"/>
        <w:snapToGrid w:val="0"/>
        <w:spacing w:line="360" w:lineRule="auto"/>
        <w:jc w:val="left"/>
        <w:rPr>
          <w:rFonts w:ascii="宋体" w:hAnsi="宋体"/>
          <w:b/>
          <w:kern w:val="0"/>
          <w:sz w:val="20"/>
          <w:szCs w:val="20"/>
          <w:highlight w:val="none"/>
        </w:rPr>
      </w:pPr>
    </w:p>
    <w:p w14:paraId="311F216F">
      <w:pPr>
        <w:autoSpaceDE w:val="0"/>
        <w:autoSpaceDN w:val="0"/>
        <w:adjustRightInd w:val="0"/>
        <w:snapToGrid w:val="0"/>
        <w:spacing w:line="360" w:lineRule="auto"/>
        <w:jc w:val="left"/>
        <w:rPr>
          <w:rFonts w:ascii="宋体" w:hAnsi="宋体"/>
          <w:b/>
          <w:kern w:val="0"/>
          <w:sz w:val="20"/>
          <w:szCs w:val="20"/>
          <w:highlight w:val="none"/>
        </w:rPr>
      </w:pPr>
    </w:p>
    <w:p w14:paraId="3B69BB37">
      <w:pPr>
        <w:autoSpaceDE w:val="0"/>
        <w:autoSpaceDN w:val="0"/>
        <w:adjustRightInd w:val="0"/>
        <w:snapToGrid w:val="0"/>
        <w:spacing w:line="360" w:lineRule="auto"/>
        <w:jc w:val="left"/>
        <w:rPr>
          <w:rFonts w:ascii="宋体" w:hAnsi="宋体"/>
          <w:b/>
          <w:kern w:val="0"/>
          <w:sz w:val="20"/>
          <w:szCs w:val="20"/>
          <w:highlight w:val="none"/>
        </w:rPr>
      </w:pPr>
    </w:p>
    <w:p w14:paraId="0EF9D5BF">
      <w:pPr>
        <w:autoSpaceDE w:val="0"/>
        <w:autoSpaceDN w:val="0"/>
        <w:adjustRightInd w:val="0"/>
        <w:snapToGrid w:val="0"/>
        <w:spacing w:line="360" w:lineRule="auto"/>
        <w:jc w:val="left"/>
        <w:rPr>
          <w:rFonts w:ascii="宋体" w:hAnsi="宋体"/>
          <w:b/>
          <w:kern w:val="0"/>
          <w:sz w:val="20"/>
          <w:szCs w:val="20"/>
          <w:highlight w:val="none"/>
        </w:rPr>
      </w:pPr>
    </w:p>
    <w:p w14:paraId="69A5BC81">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4C7372C2">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7DBAFE84">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3F73F54D">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1509BE83">
      <w:pPr>
        <w:autoSpaceDE w:val="0"/>
        <w:autoSpaceDN w:val="0"/>
        <w:adjustRightInd w:val="0"/>
        <w:snapToGrid w:val="0"/>
        <w:spacing w:line="360" w:lineRule="auto"/>
        <w:jc w:val="left"/>
        <w:rPr>
          <w:rFonts w:ascii="宋体" w:hAnsi="宋体"/>
          <w:kern w:val="0"/>
          <w:sz w:val="24"/>
          <w:szCs w:val="21"/>
          <w:highlight w:val="none"/>
        </w:rPr>
      </w:pPr>
    </w:p>
    <w:p w14:paraId="77BEAD77">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14:paraId="122EC777">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14:paraId="6B0A4D06">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1B4E1CEB">
      <w:pPr>
        <w:autoSpaceDE w:val="0"/>
        <w:autoSpaceDN w:val="0"/>
        <w:adjustRightInd w:val="0"/>
        <w:snapToGrid w:val="0"/>
        <w:spacing w:line="360" w:lineRule="auto"/>
        <w:jc w:val="left"/>
        <w:rPr>
          <w:rFonts w:ascii="宋体" w:hAnsi="宋体"/>
          <w:w w:val="99"/>
          <w:kern w:val="0"/>
          <w:sz w:val="28"/>
          <w:szCs w:val="28"/>
          <w:highlight w:val="none"/>
        </w:rPr>
      </w:pPr>
    </w:p>
    <w:p w14:paraId="6944BD6A">
      <w:pPr>
        <w:pStyle w:val="5"/>
        <w:spacing w:before="0" w:after="0" w:line="400" w:lineRule="exact"/>
        <w:jc w:val="center"/>
        <w:rPr>
          <w:rFonts w:hint="eastAsia" w:ascii="宋体" w:hAnsi="宋体" w:eastAsia="宋体"/>
          <w:b w:val="0"/>
          <w:highlight w:val="none"/>
          <w:lang w:eastAsia="zh-CN"/>
        </w:rPr>
      </w:pPr>
      <w:bookmarkStart w:id="440" w:name="_Toc534185831"/>
      <w:bookmarkStart w:id="441" w:name="_Toc509218854"/>
      <w:bookmarkStart w:id="442" w:name="_Toc287620814"/>
      <w:bookmarkStart w:id="443" w:name="_Toc224103495"/>
      <w:bookmarkStart w:id="444" w:name="_Toc277082643"/>
      <w:bookmarkStart w:id="445" w:name="_Toc430530530"/>
      <w:bookmarkStart w:id="446" w:name="_Toc287607867"/>
      <w:r>
        <w:rPr>
          <w:rFonts w:ascii="宋体" w:hAnsi="宋体"/>
          <w:highlight w:val="none"/>
        </w:rPr>
        <w:br w:type="page"/>
      </w:r>
      <w:bookmarkStart w:id="447" w:name="_Toc26071"/>
      <w:bookmarkStart w:id="448" w:name="_Toc882"/>
      <w:r>
        <w:rPr>
          <w:rFonts w:hint="eastAsia"/>
          <w:highlight w:val="none"/>
        </w:rPr>
        <w:t>（一）</w:t>
      </w:r>
      <w:bookmarkEnd w:id="440"/>
      <w:bookmarkEnd w:id="441"/>
      <w:bookmarkEnd w:id="442"/>
      <w:bookmarkEnd w:id="443"/>
      <w:bookmarkEnd w:id="444"/>
      <w:bookmarkEnd w:id="445"/>
      <w:bookmarkEnd w:id="446"/>
      <w:bookmarkEnd w:id="447"/>
      <w:r>
        <w:rPr>
          <w:rFonts w:hint="eastAsia"/>
          <w:highlight w:val="none"/>
          <w:lang w:eastAsia="zh-CN"/>
        </w:rPr>
        <w:t>竞选函</w:t>
      </w:r>
      <w:bookmarkEnd w:id="448"/>
    </w:p>
    <w:p w14:paraId="7504DF98">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5742303C">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其中安全文明施工费为</w:t>
      </w:r>
      <w:r>
        <w:rPr>
          <w:rFonts w:hint="eastAsia" w:ascii="宋体" w:hAnsi="宋体"/>
          <w:snapToGrid w:val="0"/>
          <w:kern w:val="0"/>
          <w:szCs w:val="21"/>
          <w:highlight w:val="none"/>
          <w:u w:val="single"/>
          <w:lang w:val="en-US" w:eastAsia="zh-CN"/>
        </w:rPr>
        <w:t xml:space="preserve">         元</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14:paraId="5438EC7D">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14:paraId="7869B654">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629A1D77">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4992485C">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14:paraId="705F0278">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1E06FB6C">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1D25E701">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14:paraId="65DD0752">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33700E5E">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77DA182B">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5E0CEA49">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549CB477">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4AF38944">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A959760">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1D46FDBD">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22F8E6F9">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60356932">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67B41273">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44AC7CD7">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22AE24A7">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0580F67F">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14:paraId="65C45EC9">
      <w:pPr>
        <w:pStyle w:val="5"/>
        <w:jc w:val="center"/>
        <w:rPr>
          <w:rFonts w:ascii="宋体" w:hAnsi="宋体"/>
          <w:snapToGrid w:val="0"/>
          <w:kern w:val="0"/>
          <w:szCs w:val="21"/>
          <w:highlight w:val="none"/>
        </w:rPr>
      </w:pPr>
      <w:bookmarkStart w:id="449" w:name="_Toc287607868"/>
      <w:bookmarkStart w:id="450" w:name="_Toc224103496"/>
      <w:bookmarkStart w:id="451" w:name="_Toc430530531"/>
      <w:bookmarkStart w:id="452" w:name="_Toc277082644"/>
      <w:bookmarkStart w:id="453" w:name="_Toc287620815"/>
      <w:r>
        <w:rPr>
          <w:rFonts w:ascii="宋体" w:hAnsi="宋体"/>
          <w:sz w:val="28"/>
          <w:highlight w:val="none"/>
        </w:rPr>
        <w:br w:type="page"/>
      </w:r>
      <w:bookmarkStart w:id="454" w:name="_Toc6045"/>
      <w:bookmarkStart w:id="455" w:name="_Toc30967"/>
      <w:bookmarkStart w:id="456" w:name="_Toc509218855"/>
      <w:bookmarkStart w:id="457" w:name="_Toc534185832"/>
      <w:r>
        <w:rPr>
          <w:highlight w:val="none"/>
        </w:rPr>
        <w:t>（二）</w:t>
      </w:r>
      <w:r>
        <w:rPr>
          <w:rFonts w:hint="eastAsia"/>
          <w:highlight w:val="none"/>
          <w:lang w:eastAsia="zh-CN"/>
        </w:rPr>
        <w:t>竞选函</w:t>
      </w:r>
      <w:r>
        <w:rPr>
          <w:highlight w:val="none"/>
        </w:rPr>
        <w:t>附录</w:t>
      </w:r>
      <w:bookmarkEnd w:id="449"/>
      <w:bookmarkEnd w:id="450"/>
      <w:bookmarkEnd w:id="451"/>
      <w:bookmarkEnd w:id="452"/>
      <w:bookmarkEnd w:id="453"/>
      <w:bookmarkEnd w:id="454"/>
      <w:bookmarkEnd w:id="455"/>
      <w:bookmarkEnd w:id="456"/>
      <w:bookmarkEnd w:id="457"/>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517A2B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3708B34">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280E9D0A">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60BC7AC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15C97D93">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7EEB62E9">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22225B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5248714">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14:paraId="4FF3DD28">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14:paraId="7B4F61C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14:paraId="015F7150">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14:paraId="6B5BF655">
            <w:pPr>
              <w:autoSpaceDE w:val="0"/>
              <w:autoSpaceDN w:val="0"/>
              <w:adjustRightInd w:val="0"/>
              <w:jc w:val="center"/>
              <w:rPr>
                <w:rFonts w:ascii="宋体" w:hAnsi="宋体"/>
                <w:snapToGrid w:val="0"/>
                <w:kern w:val="0"/>
                <w:szCs w:val="21"/>
                <w:highlight w:val="none"/>
              </w:rPr>
            </w:pPr>
          </w:p>
        </w:tc>
      </w:tr>
      <w:tr w14:paraId="0B42BC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1873AD1">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14:paraId="0C80120B">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14:paraId="462055A7">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14:paraId="6344175D">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14:paraId="2BB0361A">
            <w:pPr>
              <w:autoSpaceDE w:val="0"/>
              <w:autoSpaceDN w:val="0"/>
              <w:adjustRightInd w:val="0"/>
              <w:jc w:val="center"/>
              <w:rPr>
                <w:rFonts w:ascii="宋体" w:hAnsi="宋体"/>
                <w:snapToGrid w:val="0"/>
                <w:kern w:val="0"/>
                <w:szCs w:val="21"/>
                <w:highlight w:val="none"/>
              </w:rPr>
            </w:pPr>
          </w:p>
        </w:tc>
      </w:tr>
      <w:tr w14:paraId="619B62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61123A0">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14:paraId="498E55FC">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14:paraId="49C61A84">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14:paraId="3217A412">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14:paraId="2AEFDB26">
            <w:pPr>
              <w:autoSpaceDE w:val="0"/>
              <w:autoSpaceDN w:val="0"/>
              <w:adjustRightInd w:val="0"/>
              <w:jc w:val="center"/>
              <w:rPr>
                <w:rFonts w:ascii="宋体" w:hAnsi="宋体"/>
                <w:snapToGrid w:val="0"/>
                <w:kern w:val="0"/>
                <w:szCs w:val="21"/>
                <w:highlight w:val="none"/>
              </w:rPr>
            </w:pPr>
          </w:p>
        </w:tc>
      </w:tr>
      <w:tr w14:paraId="094341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45B0445">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14:paraId="613863B9">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226FFF8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14:paraId="3C3F6892">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14:paraId="5012D378">
            <w:pPr>
              <w:autoSpaceDE w:val="0"/>
              <w:autoSpaceDN w:val="0"/>
              <w:adjustRightInd w:val="0"/>
              <w:jc w:val="center"/>
              <w:rPr>
                <w:rFonts w:ascii="宋体" w:hAnsi="宋体"/>
                <w:snapToGrid w:val="0"/>
                <w:kern w:val="0"/>
                <w:szCs w:val="21"/>
                <w:highlight w:val="none"/>
              </w:rPr>
            </w:pPr>
          </w:p>
        </w:tc>
      </w:tr>
      <w:tr w14:paraId="3870A2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97DB617">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14:paraId="6B3627AE">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14:paraId="3307C019">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14:paraId="5B40384C">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14:paraId="17B99DB5">
            <w:pPr>
              <w:autoSpaceDE w:val="0"/>
              <w:autoSpaceDN w:val="0"/>
              <w:adjustRightInd w:val="0"/>
              <w:jc w:val="center"/>
              <w:rPr>
                <w:rFonts w:ascii="宋体" w:hAnsi="宋体"/>
                <w:snapToGrid w:val="0"/>
                <w:kern w:val="0"/>
                <w:szCs w:val="21"/>
                <w:highlight w:val="none"/>
              </w:rPr>
            </w:pPr>
          </w:p>
        </w:tc>
      </w:tr>
      <w:tr w14:paraId="3F35EF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747308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7848777D">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34FFA56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0C44E8DE">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723C7855">
            <w:pPr>
              <w:autoSpaceDE w:val="0"/>
              <w:autoSpaceDN w:val="0"/>
              <w:adjustRightInd w:val="0"/>
              <w:jc w:val="center"/>
              <w:rPr>
                <w:rFonts w:ascii="宋体" w:hAnsi="宋体"/>
                <w:snapToGrid w:val="0"/>
                <w:kern w:val="0"/>
                <w:szCs w:val="21"/>
                <w:highlight w:val="none"/>
              </w:rPr>
            </w:pPr>
          </w:p>
        </w:tc>
      </w:tr>
      <w:tr w14:paraId="419275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482D9B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646C901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6F6E83F9">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59A3E74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67C2A62C">
            <w:pPr>
              <w:autoSpaceDE w:val="0"/>
              <w:autoSpaceDN w:val="0"/>
              <w:adjustRightInd w:val="0"/>
              <w:jc w:val="center"/>
              <w:rPr>
                <w:rFonts w:ascii="宋体" w:hAnsi="宋体"/>
                <w:snapToGrid w:val="0"/>
                <w:kern w:val="0"/>
                <w:szCs w:val="21"/>
                <w:highlight w:val="none"/>
              </w:rPr>
            </w:pPr>
          </w:p>
        </w:tc>
      </w:tr>
    </w:tbl>
    <w:p w14:paraId="2C494F33">
      <w:pPr>
        <w:spacing w:line="360" w:lineRule="auto"/>
        <w:rPr>
          <w:rFonts w:ascii="宋体" w:hAnsi="宋体"/>
          <w:snapToGrid w:val="0"/>
          <w:w w:val="99"/>
          <w:highlight w:val="none"/>
        </w:rPr>
      </w:pPr>
    </w:p>
    <w:p w14:paraId="1A46D950">
      <w:pPr>
        <w:spacing w:line="360" w:lineRule="auto"/>
        <w:rPr>
          <w:rFonts w:ascii="宋体" w:hAnsi="宋体"/>
          <w:snapToGrid w:val="0"/>
          <w:highlight w:val="none"/>
        </w:rPr>
      </w:pPr>
    </w:p>
    <w:p w14:paraId="2EA7D68F">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5EA139FC">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14:paraId="1605ABF9">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65C8F22F">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2DF49001">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458" w:name="_Toc287607869"/>
      <w:bookmarkStart w:id="459" w:name="_Toc287620816"/>
      <w:bookmarkStart w:id="460" w:name="_Toc20860"/>
      <w:bookmarkStart w:id="461" w:name="_Toc277082645"/>
      <w:bookmarkStart w:id="462" w:name="_Toc224103497"/>
      <w:bookmarkStart w:id="463" w:name="_Toc8650"/>
      <w:bookmarkStart w:id="464" w:name="_Toc430530532"/>
      <w:r>
        <w:rPr>
          <w:sz w:val="30"/>
          <w:szCs w:val="30"/>
          <w:highlight w:val="none"/>
        </w:rPr>
        <w:t>（三）</w:t>
      </w:r>
      <w:r>
        <w:rPr>
          <w:rFonts w:hint="eastAsia"/>
          <w:sz w:val="30"/>
          <w:szCs w:val="30"/>
          <w:highlight w:val="none"/>
        </w:rPr>
        <w:t>法定代表人身份证明或附有法定代表人身份证明的授权委托书</w:t>
      </w:r>
      <w:bookmarkEnd w:id="458"/>
      <w:bookmarkEnd w:id="459"/>
      <w:bookmarkEnd w:id="460"/>
      <w:bookmarkEnd w:id="461"/>
      <w:bookmarkEnd w:id="462"/>
      <w:bookmarkEnd w:id="463"/>
      <w:bookmarkEnd w:id="464"/>
    </w:p>
    <w:p w14:paraId="7496C16D">
      <w:pPr>
        <w:spacing w:line="480" w:lineRule="auto"/>
        <w:jc w:val="center"/>
        <w:rPr>
          <w:rFonts w:ascii="宋体" w:hAnsi="宋体"/>
          <w:sz w:val="28"/>
          <w:highlight w:val="none"/>
        </w:rPr>
      </w:pPr>
      <w:r>
        <w:rPr>
          <w:rFonts w:hint="eastAsia" w:ascii="宋体" w:hAnsi="宋体"/>
          <w:sz w:val="28"/>
          <w:highlight w:val="none"/>
        </w:rPr>
        <w:t>法定代表人身份证明</w:t>
      </w:r>
    </w:p>
    <w:p w14:paraId="3FA45E24">
      <w:pPr>
        <w:spacing w:line="480" w:lineRule="auto"/>
        <w:jc w:val="center"/>
        <w:rPr>
          <w:rFonts w:ascii="宋体" w:hAnsi="宋体"/>
          <w:highlight w:val="none"/>
        </w:rPr>
      </w:pPr>
    </w:p>
    <w:p w14:paraId="668081C7">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5C2C886">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5D90018">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8571A79">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5A1EF9C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1B76D3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370DAAD">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6540CF8E">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794A120A">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2DA9B1BE">
      <w:pPr>
        <w:pStyle w:val="2"/>
        <w:spacing w:after="0" w:line="360" w:lineRule="auto"/>
        <w:rPr>
          <w:rFonts w:ascii="宋体" w:hAnsi="宋体"/>
          <w:szCs w:val="21"/>
          <w:highlight w:val="none"/>
        </w:rPr>
      </w:pPr>
    </w:p>
    <w:p w14:paraId="1AD186D1">
      <w:pPr>
        <w:pStyle w:val="2"/>
        <w:spacing w:after="0" w:line="360" w:lineRule="auto"/>
        <w:rPr>
          <w:rFonts w:ascii="宋体" w:hAnsi="宋体"/>
          <w:szCs w:val="21"/>
          <w:highlight w:val="none"/>
        </w:rPr>
      </w:pPr>
    </w:p>
    <w:p w14:paraId="08A9582F">
      <w:pPr>
        <w:pStyle w:val="2"/>
        <w:spacing w:after="0" w:line="360" w:lineRule="auto"/>
        <w:rPr>
          <w:rFonts w:ascii="宋体" w:hAnsi="宋体"/>
          <w:szCs w:val="21"/>
          <w:highlight w:val="none"/>
        </w:rPr>
      </w:pPr>
    </w:p>
    <w:p w14:paraId="14283387">
      <w:pPr>
        <w:pStyle w:val="2"/>
        <w:spacing w:after="0" w:line="360" w:lineRule="auto"/>
        <w:rPr>
          <w:rFonts w:ascii="宋体" w:hAnsi="宋体"/>
          <w:szCs w:val="21"/>
          <w:highlight w:val="none"/>
        </w:rPr>
      </w:pPr>
    </w:p>
    <w:p w14:paraId="15C5B7FE">
      <w:pPr>
        <w:pStyle w:val="2"/>
        <w:spacing w:after="0" w:line="360" w:lineRule="auto"/>
        <w:rPr>
          <w:rFonts w:ascii="宋体" w:hAnsi="宋体"/>
          <w:szCs w:val="21"/>
          <w:highlight w:val="none"/>
        </w:rPr>
      </w:pPr>
    </w:p>
    <w:p w14:paraId="6971AB05">
      <w:pPr>
        <w:pStyle w:val="2"/>
        <w:spacing w:after="0" w:line="360" w:lineRule="auto"/>
        <w:rPr>
          <w:rFonts w:ascii="宋体" w:hAnsi="宋体"/>
          <w:szCs w:val="21"/>
          <w:highlight w:val="none"/>
        </w:rPr>
      </w:pPr>
    </w:p>
    <w:p w14:paraId="305F8F10">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69B71FD1">
      <w:pPr>
        <w:autoSpaceDE w:val="0"/>
        <w:autoSpaceDN w:val="0"/>
        <w:adjustRightInd w:val="0"/>
        <w:snapToGrid w:val="0"/>
        <w:spacing w:line="480" w:lineRule="auto"/>
        <w:jc w:val="left"/>
        <w:rPr>
          <w:rFonts w:ascii="宋体" w:hAnsi="宋体"/>
          <w:kern w:val="0"/>
          <w:sz w:val="20"/>
          <w:szCs w:val="20"/>
          <w:highlight w:val="none"/>
        </w:rPr>
      </w:pPr>
    </w:p>
    <w:p w14:paraId="75E6A31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5051712B">
      <w:pPr>
        <w:autoSpaceDE w:val="0"/>
        <w:autoSpaceDN w:val="0"/>
        <w:adjustRightInd w:val="0"/>
        <w:snapToGrid w:val="0"/>
        <w:spacing w:line="360" w:lineRule="auto"/>
        <w:jc w:val="left"/>
        <w:rPr>
          <w:rFonts w:ascii="宋体" w:hAnsi="宋体"/>
          <w:kern w:val="0"/>
          <w:highlight w:val="none"/>
        </w:rPr>
      </w:pPr>
    </w:p>
    <w:p w14:paraId="0C1D8976">
      <w:pPr>
        <w:autoSpaceDE w:val="0"/>
        <w:autoSpaceDN w:val="0"/>
        <w:adjustRightInd w:val="0"/>
        <w:snapToGrid w:val="0"/>
        <w:spacing w:line="360" w:lineRule="auto"/>
        <w:jc w:val="left"/>
        <w:rPr>
          <w:rFonts w:ascii="宋体" w:hAnsi="宋体"/>
          <w:kern w:val="0"/>
          <w:highlight w:val="none"/>
        </w:rPr>
      </w:pPr>
    </w:p>
    <w:p w14:paraId="7940DE96">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5BF0AE8B">
      <w:pPr>
        <w:autoSpaceDE w:val="0"/>
        <w:autoSpaceDN w:val="0"/>
        <w:adjustRightInd w:val="0"/>
        <w:snapToGrid w:val="0"/>
        <w:spacing w:line="360" w:lineRule="auto"/>
        <w:jc w:val="left"/>
        <w:rPr>
          <w:rFonts w:ascii="宋体" w:hAnsi="宋体"/>
          <w:kern w:val="0"/>
          <w:highlight w:val="none"/>
        </w:rPr>
      </w:pPr>
    </w:p>
    <w:p w14:paraId="46FD67D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0E4B987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4A194D0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25597EA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1CFE40F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2B9FAA4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14A3792">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60D93EC7">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1ACB566C">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0AA12836">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72CAA5DE">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3A28F3E5">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435ACC6D">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7C1E468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DC5A9A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8C6E8D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4DF028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8E1AF8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388E7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30316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64C393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14:paraId="3C98553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7E1297E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A95B1E0">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18767BDB">
      <w:pPr>
        <w:spacing w:line="360" w:lineRule="auto"/>
        <w:ind w:firstLine="420" w:firstLineChars="200"/>
        <w:jc w:val="left"/>
        <w:rPr>
          <w:rFonts w:ascii="宋体" w:hAnsi="宋体"/>
          <w:highlight w:val="none"/>
        </w:rPr>
        <w:sectPr>
          <w:pgSz w:w="11906" w:h="16838"/>
          <w:pgMar w:top="1304" w:right="1134" w:bottom="1304" w:left="1304" w:header="851" w:footer="992" w:gutter="0"/>
          <w:cols w:space="720" w:num="1"/>
          <w:docGrid w:type="lines" w:linePitch="312" w:charSpace="0"/>
        </w:sect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7B21CA3A">
      <w:pPr>
        <w:pStyle w:val="5"/>
        <w:jc w:val="center"/>
        <w:rPr>
          <w:color w:val="auto"/>
          <w:highlight w:val="none"/>
        </w:rPr>
      </w:pPr>
      <w:r>
        <w:rPr>
          <w:color w:val="auto"/>
          <w:highlight w:val="none"/>
        </w:rPr>
        <w:t>（四）</w:t>
      </w:r>
      <w:r>
        <w:rPr>
          <w:rFonts w:hint="eastAsia"/>
          <w:color w:val="auto"/>
          <w:highlight w:val="none"/>
        </w:rPr>
        <w:t>低价风险担保提交承诺书</w:t>
      </w:r>
    </w:p>
    <w:p w14:paraId="738282E7">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710F69E4">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1B7AC29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1C2DF82">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5C5F07B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5572B8A">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1A7E710">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1FCEA5B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0D0761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F1656F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761A0B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2E6781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27473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4C710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801916B">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2E6DFFF1">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16A3D61B">
      <w:pPr>
        <w:pStyle w:val="2"/>
        <w:sectPr>
          <w:pgSz w:w="11906" w:h="16838"/>
          <w:pgMar w:top="1304" w:right="1134" w:bottom="1304" w:left="1304" w:header="851" w:footer="992" w:gutter="0"/>
          <w:cols w:space="720" w:num="1"/>
          <w:docGrid w:type="lines" w:linePitch="312" w:charSpace="0"/>
        </w:sectPr>
      </w:pPr>
    </w:p>
    <w:p w14:paraId="384E4ECF"/>
    <w:p w14:paraId="5172532E">
      <w:pPr>
        <w:spacing w:line="360" w:lineRule="auto"/>
        <w:jc w:val="center"/>
        <w:rPr>
          <w:rFonts w:ascii="宋体" w:hAnsi="宋体"/>
          <w:b w:val="0"/>
          <w:bCs w:val="0"/>
          <w:sz w:val="44"/>
          <w:szCs w:val="44"/>
          <w:highlight w:val="none"/>
        </w:rPr>
      </w:pPr>
      <w:bookmarkStart w:id="465" w:name="_Toc11887"/>
      <w:bookmarkStart w:id="466" w:name="_Toc23891"/>
      <w:bookmarkStart w:id="467" w:name="_Toc277082656"/>
      <w:bookmarkStart w:id="468" w:name="_Toc430530545"/>
      <w:bookmarkStart w:id="469" w:name="_Toc287620829"/>
      <w:bookmarkStart w:id="470" w:name="_Toc224103510"/>
      <w:bookmarkStart w:id="471" w:name="_Toc287607882"/>
      <w:bookmarkStart w:id="472" w:name="_Toc19372"/>
      <w:bookmarkStart w:id="473"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465"/>
      <w:bookmarkEnd w:id="466"/>
    </w:p>
    <w:p w14:paraId="263A5CB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79A4253">
      <w:pPr>
        <w:tabs>
          <w:tab w:val="left" w:pos="2580"/>
          <w:tab w:val="left" w:pos="5940"/>
        </w:tabs>
        <w:autoSpaceDE w:val="0"/>
        <w:autoSpaceDN w:val="0"/>
        <w:adjustRightInd w:val="0"/>
        <w:snapToGrid w:val="0"/>
        <w:spacing w:line="360" w:lineRule="auto"/>
        <w:ind w:firstLine="2240" w:firstLineChars="700"/>
        <w:jc w:val="left"/>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2BC6837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48C784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E43C33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66C6F6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D26DA2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2E66949D">
      <w:pPr>
        <w:autoSpaceDE w:val="0"/>
        <w:autoSpaceDN w:val="0"/>
        <w:adjustRightInd w:val="0"/>
        <w:snapToGrid w:val="0"/>
        <w:spacing w:line="360" w:lineRule="auto"/>
        <w:jc w:val="left"/>
        <w:rPr>
          <w:rFonts w:ascii="宋体" w:hAnsi="宋体"/>
          <w:kern w:val="0"/>
          <w:sz w:val="16"/>
          <w:szCs w:val="16"/>
          <w:highlight w:val="none"/>
        </w:rPr>
      </w:pPr>
    </w:p>
    <w:p w14:paraId="42D64637">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14:paraId="51052DCD">
      <w:pPr>
        <w:autoSpaceDE w:val="0"/>
        <w:autoSpaceDN w:val="0"/>
        <w:adjustRightInd w:val="0"/>
        <w:snapToGrid w:val="0"/>
        <w:spacing w:line="360" w:lineRule="auto"/>
        <w:jc w:val="left"/>
        <w:rPr>
          <w:rFonts w:ascii="宋体" w:hAnsi="宋体"/>
          <w:b/>
          <w:kern w:val="0"/>
          <w:sz w:val="20"/>
          <w:szCs w:val="20"/>
          <w:highlight w:val="none"/>
        </w:rPr>
      </w:pPr>
    </w:p>
    <w:p w14:paraId="520A9209">
      <w:pPr>
        <w:autoSpaceDE w:val="0"/>
        <w:autoSpaceDN w:val="0"/>
        <w:adjustRightInd w:val="0"/>
        <w:snapToGrid w:val="0"/>
        <w:spacing w:line="360" w:lineRule="auto"/>
        <w:jc w:val="left"/>
        <w:rPr>
          <w:rFonts w:ascii="宋体" w:hAnsi="宋体"/>
          <w:b/>
          <w:kern w:val="0"/>
          <w:sz w:val="20"/>
          <w:szCs w:val="20"/>
          <w:highlight w:val="none"/>
        </w:rPr>
      </w:pPr>
    </w:p>
    <w:p w14:paraId="3F4A7F9B">
      <w:pPr>
        <w:autoSpaceDE w:val="0"/>
        <w:autoSpaceDN w:val="0"/>
        <w:adjustRightInd w:val="0"/>
        <w:snapToGrid w:val="0"/>
        <w:spacing w:line="360" w:lineRule="auto"/>
        <w:jc w:val="left"/>
        <w:rPr>
          <w:rFonts w:ascii="宋体" w:hAnsi="宋体"/>
          <w:b/>
          <w:kern w:val="0"/>
          <w:sz w:val="20"/>
          <w:szCs w:val="20"/>
          <w:highlight w:val="none"/>
        </w:rPr>
      </w:pPr>
    </w:p>
    <w:p w14:paraId="7119FECE">
      <w:pPr>
        <w:autoSpaceDE w:val="0"/>
        <w:autoSpaceDN w:val="0"/>
        <w:adjustRightInd w:val="0"/>
        <w:snapToGrid w:val="0"/>
        <w:spacing w:line="360" w:lineRule="auto"/>
        <w:jc w:val="left"/>
        <w:rPr>
          <w:rFonts w:ascii="宋体" w:hAnsi="宋体"/>
          <w:b/>
          <w:kern w:val="0"/>
          <w:sz w:val="20"/>
          <w:szCs w:val="20"/>
          <w:highlight w:val="none"/>
        </w:rPr>
      </w:pPr>
    </w:p>
    <w:p w14:paraId="4437A9D7">
      <w:pPr>
        <w:autoSpaceDE w:val="0"/>
        <w:autoSpaceDN w:val="0"/>
        <w:adjustRightInd w:val="0"/>
        <w:snapToGrid w:val="0"/>
        <w:spacing w:line="360" w:lineRule="auto"/>
        <w:jc w:val="left"/>
        <w:rPr>
          <w:rFonts w:ascii="宋体" w:hAnsi="宋体"/>
          <w:b/>
          <w:kern w:val="0"/>
          <w:sz w:val="20"/>
          <w:szCs w:val="20"/>
          <w:highlight w:val="none"/>
        </w:rPr>
      </w:pPr>
    </w:p>
    <w:p w14:paraId="1EB4F32C">
      <w:pPr>
        <w:autoSpaceDE w:val="0"/>
        <w:autoSpaceDN w:val="0"/>
        <w:adjustRightInd w:val="0"/>
        <w:snapToGrid w:val="0"/>
        <w:spacing w:line="360" w:lineRule="auto"/>
        <w:jc w:val="left"/>
        <w:rPr>
          <w:rFonts w:ascii="宋体" w:hAnsi="宋体"/>
          <w:b/>
          <w:kern w:val="0"/>
          <w:sz w:val="20"/>
          <w:szCs w:val="20"/>
          <w:highlight w:val="none"/>
        </w:rPr>
      </w:pPr>
    </w:p>
    <w:p w14:paraId="71F71BE8">
      <w:pPr>
        <w:autoSpaceDE w:val="0"/>
        <w:autoSpaceDN w:val="0"/>
        <w:adjustRightInd w:val="0"/>
        <w:snapToGrid w:val="0"/>
        <w:spacing w:line="360" w:lineRule="auto"/>
        <w:jc w:val="left"/>
        <w:rPr>
          <w:rFonts w:ascii="宋体" w:hAnsi="宋体"/>
          <w:b/>
          <w:kern w:val="0"/>
          <w:sz w:val="20"/>
          <w:szCs w:val="20"/>
          <w:highlight w:val="none"/>
        </w:rPr>
      </w:pPr>
    </w:p>
    <w:p w14:paraId="5B56C6BC">
      <w:pPr>
        <w:autoSpaceDE w:val="0"/>
        <w:autoSpaceDN w:val="0"/>
        <w:adjustRightInd w:val="0"/>
        <w:snapToGrid w:val="0"/>
        <w:spacing w:line="360" w:lineRule="auto"/>
        <w:jc w:val="left"/>
        <w:rPr>
          <w:rFonts w:ascii="宋体" w:hAnsi="宋体"/>
          <w:b/>
          <w:kern w:val="0"/>
          <w:sz w:val="20"/>
          <w:szCs w:val="20"/>
          <w:highlight w:val="none"/>
        </w:rPr>
      </w:pPr>
    </w:p>
    <w:p w14:paraId="7558E9B5">
      <w:pPr>
        <w:autoSpaceDE w:val="0"/>
        <w:autoSpaceDN w:val="0"/>
        <w:adjustRightInd w:val="0"/>
        <w:snapToGrid w:val="0"/>
        <w:spacing w:line="360" w:lineRule="auto"/>
        <w:jc w:val="left"/>
        <w:rPr>
          <w:rFonts w:ascii="宋体" w:hAnsi="宋体"/>
          <w:b/>
          <w:kern w:val="0"/>
          <w:sz w:val="20"/>
          <w:szCs w:val="20"/>
          <w:highlight w:val="none"/>
        </w:rPr>
      </w:pPr>
    </w:p>
    <w:p w14:paraId="2E8D0AB7">
      <w:pPr>
        <w:autoSpaceDE w:val="0"/>
        <w:autoSpaceDN w:val="0"/>
        <w:adjustRightInd w:val="0"/>
        <w:snapToGrid w:val="0"/>
        <w:spacing w:line="360" w:lineRule="auto"/>
        <w:jc w:val="left"/>
        <w:rPr>
          <w:rFonts w:ascii="宋体" w:hAnsi="宋体"/>
          <w:b/>
          <w:kern w:val="0"/>
          <w:sz w:val="20"/>
          <w:szCs w:val="20"/>
          <w:highlight w:val="none"/>
        </w:rPr>
      </w:pPr>
    </w:p>
    <w:p w14:paraId="24EA8971">
      <w:pPr>
        <w:autoSpaceDE w:val="0"/>
        <w:autoSpaceDN w:val="0"/>
        <w:adjustRightInd w:val="0"/>
        <w:snapToGrid w:val="0"/>
        <w:spacing w:line="360" w:lineRule="auto"/>
        <w:jc w:val="left"/>
        <w:rPr>
          <w:rFonts w:ascii="宋体" w:hAnsi="宋体"/>
          <w:b/>
          <w:kern w:val="0"/>
          <w:sz w:val="20"/>
          <w:szCs w:val="20"/>
          <w:highlight w:val="none"/>
        </w:rPr>
      </w:pPr>
    </w:p>
    <w:p w14:paraId="0DB09092">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4AFB818A">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779560BC">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14:paraId="5F69A059">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14:paraId="1951242F">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14:paraId="2163E117">
      <w:pPr>
        <w:autoSpaceDE w:val="0"/>
        <w:autoSpaceDN w:val="0"/>
        <w:adjustRightInd w:val="0"/>
        <w:snapToGrid w:val="0"/>
        <w:spacing w:line="360" w:lineRule="auto"/>
        <w:jc w:val="left"/>
        <w:rPr>
          <w:rFonts w:ascii="宋体" w:hAnsi="宋体"/>
          <w:kern w:val="0"/>
          <w:szCs w:val="21"/>
          <w:highlight w:val="none"/>
        </w:rPr>
      </w:pPr>
    </w:p>
    <w:p w14:paraId="228E8FC5">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lang w:eastAsia="zh-CN"/>
        </w:rPr>
        <w:t>竞选人</w:t>
      </w:r>
      <w:r>
        <w:rPr>
          <w:rFonts w:ascii="宋体" w:hAnsi="宋体"/>
          <w:i/>
          <w:iCs/>
          <w:kern w:val="0"/>
          <w:szCs w:val="21"/>
          <w:highlight w:val="none"/>
        </w:rPr>
        <w:t>自行编制]</w:t>
      </w:r>
    </w:p>
    <w:p w14:paraId="1212471D">
      <w:pPr>
        <w:autoSpaceDE w:val="0"/>
        <w:autoSpaceDN w:val="0"/>
        <w:adjustRightInd w:val="0"/>
        <w:snapToGrid w:val="0"/>
        <w:spacing w:line="360" w:lineRule="auto"/>
        <w:jc w:val="left"/>
        <w:rPr>
          <w:rFonts w:ascii="宋体" w:hAnsi="宋体"/>
          <w:w w:val="99"/>
          <w:kern w:val="0"/>
          <w:sz w:val="28"/>
          <w:szCs w:val="28"/>
          <w:highlight w:val="none"/>
        </w:rPr>
      </w:pPr>
    </w:p>
    <w:p w14:paraId="07096C14">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474" w:name="_Toc430530535"/>
      <w:bookmarkStart w:id="475" w:name="_Toc224103501"/>
      <w:bookmarkStart w:id="476" w:name="_Toc277082648"/>
      <w:bookmarkStart w:id="477" w:name="_Toc287620820"/>
      <w:bookmarkStart w:id="478" w:name="_Toc287607873"/>
    </w:p>
    <w:p w14:paraId="50F10E1D">
      <w:pPr>
        <w:pStyle w:val="5"/>
        <w:jc w:val="center"/>
        <w:rPr>
          <w:highlight w:val="none"/>
        </w:rPr>
      </w:pPr>
      <w:bookmarkStart w:id="479" w:name="_Toc28475"/>
      <w:bookmarkStart w:id="480" w:name="_Toc28369"/>
      <w:r>
        <w:rPr>
          <w:rFonts w:hint="eastAsia"/>
          <w:highlight w:val="none"/>
        </w:rPr>
        <w:t>（一）已标价工程量清单</w:t>
      </w:r>
      <w:bookmarkEnd w:id="474"/>
      <w:bookmarkEnd w:id="475"/>
      <w:bookmarkEnd w:id="476"/>
      <w:bookmarkEnd w:id="477"/>
      <w:bookmarkEnd w:id="478"/>
      <w:bookmarkEnd w:id="479"/>
      <w:bookmarkEnd w:id="480"/>
    </w:p>
    <w:p w14:paraId="5416069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CB57438">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p>
    <w:p w14:paraId="69CDDBBF">
      <w:pPr>
        <w:pStyle w:val="4"/>
        <w:spacing w:line="360" w:lineRule="auto"/>
        <w:jc w:val="center"/>
        <w:rPr>
          <w:rFonts w:ascii="宋体" w:hAnsi="宋体"/>
          <w:b w:val="0"/>
          <w:bCs w:val="0"/>
          <w:sz w:val="44"/>
          <w:szCs w:val="44"/>
          <w:highlight w:val="none"/>
        </w:rPr>
      </w:pPr>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bookmarkEnd w:id="467"/>
      <w:bookmarkEnd w:id="468"/>
      <w:bookmarkEnd w:id="469"/>
      <w:bookmarkEnd w:id="470"/>
      <w:bookmarkEnd w:id="471"/>
      <w:r>
        <w:rPr>
          <w:rFonts w:hint="eastAsia" w:ascii="宋体" w:hAnsi="宋体"/>
          <w:b w:val="0"/>
          <w:bCs w:val="0"/>
          <w:sz w:val="44"/>
          <w:szCs w:val="44"/>
          <w:highlight w:val="none"/>
        </w:rPr>
        <w:t>资格审查部分</w:t>
      </w:r>
      <w:bookmarkEnd w:id="472"/>
      <w:bookmarkEnd w:id="473"/>
    </w:p>
    <w:p w14:paraId="0ECB1022">
      <w:pPr>
        <w:spacing w:line="360" w:lineRule="auto"/>
        <w:rPr>
          <w:rFonts w:ascii="宋体" w:hAnsi="宋体"/>
          <w:sz w:val="32"/>
          <w:szCs w:val="32"/>
          <w:highlight w:val="none"/>
        </w:rPr>
      </w:pPr>
    </w:p>
    <w:p w14:paraId="273BBE4E">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06B704A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39B55AA6">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65B2361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460A2DB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06E9AA09">
      <w:pPr>
        <w:autoSpaceDE w:val="0"/>
        <w:autoSpaceDN w:val="0"/>
        <w:adjustRightInd w:val="0"/>
        <w:snapToGrid w:val="0"/>
        <w:spacing w:line="360" w:lineRule="auto"/>
        <w:jc w:val="left"/>
        <w:rPr>
          <w:rFonts w:ascii="宋体" w:hAnsi="宋体"/>
          <w:kern w:val="0"/>
          <w:sz w:val="16"/>
          <w:szCs w:val="16"/>
          <w:highlight w:val="none"/>
        </w:rPr>
      </w:pPr>
    </w:p>
    <w:p w14:paraId="7ACE6E6A">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4FD92919">
      <w:pPr>
        <w:autoSpaceDE w:val="0"/>
        <w:autoSpaceDN w:val="0"/>
        <w:adjustRightInd w:val="0"/>
        <w:snapToGrid w:val="0"/>
        <w:spacing w:line="360" w:lineRule="auto"/>
        <w:jc w:val="left"/>
        <w:rPr>
          <w:rFonts w:ascii="宋体" w:hAnsi="宋体" w:cs="MingLiU"/>
          <w:kern w:val="0"/>
          <w:sz w:val="20"/>
          <w:szCs w:val="20"/>
          <w:highlight w:val="none"/>
        </w:rPr>
      </w:pPr>
    </w:p>
    <w:p w14:paraId="239D117E">
      <w:pPr>
        <w:adjustRightInd w:val="0"/>
        <w:snapToGrid w:val="0"/>
        <w:spacing w:line="264" w:lineRule="auto"/>
        <w:rPr>
          <w:rFonts w:ascii="宋体" w:hAnsi="宋体"/>
          <w:szCs w:val="21"/>
          <w:highlight w:val="none"/>
        </w:rPr>
      </w:pPr>
    </w:p>
    <w:p w14:paraId="01FE72B3">
      <w:pPr>
        <w:autoSpaceDE w:val="0"/>
        <w:autoSpaceDN w:val="0"/>
        <w:adjustRightInd w:val="0"/>
        <w:snapToGrid w:val="0"/>
        <w:spacing w:line="360" w:lineRule="auto"/>
        <w:jc w:val="left"/>
        <w:rPr>
          <w:rFonts w:ascii="宋体" w:hAnsi="宋体" w:cs="MingLiU"/>
          <w:kern w:val="0"/>
          <w:sz w:val="20"/>
          <w:szCs w:val="20"/>
          <w:highlight w:val="none"/>
        </w:rPr>
      </w:pPr>
    </w:p>
    <w:p w14:paraId="0A927CA1">
      <w:pPr>
        <w:autoSpaceDE w:val="0"/>
        <w:autoSpaceDN w:val="0"/>
        <w:adjustRightInd w:val="0"/>
        <w:snapToGrid w:val="0"/>
        <w:spacing w:line="360" w:lineRule="auto"/>
        <w:jc w:val="left"/>
        <w:rPr>
          <w:rFonts w:ascii="宋体" w:hAnsi="宋体" w:cs="MingLiU"/>
          <w:kern w:val="0"/>
          <w:sz w:val="20"/>
          <w:szCs w:val="20"/>
          <w:highlight w:val="none"/>
        </w:rPr>
      </w:pPr>
    </w:p>
    <w:p w14:paraId="58822F6A">
      <w:pPr>
        <w:autoSpaceDE w:val="0"/>
        <w:autoSpaceDN w:val="0"/>
        <w:adjustRightInd w:val="0"/>
        <w:snapToGrid w:val="0"/>
        <w:spacing w:line="360" w:lineRule="auto"/>
        <w:jc w:val="left"/>
        <w:rPr>
          <w:rFonts w:ascii="宋体" w:hAnsi="宋体" w:cs="MingLiU"/>
          <w:kern w:val="0"/>
          <w:sz w:val="20"/>
          <w:szCs w:val="20"/>
          <w:highlight w:val="none"/>
        </w:rPr>
      </w:pPr>
    </w:p>
    <w:p w14:paraId="2527124A">
      <w:pPr>
        <w:autoSpaceDE w:val="0"/>
        <w:autoSpaceDN w:val="0"/>
        <w:adjustRightInd w:val="0"/>
        <w:snapToGrid w:val="0"/>
        <w:spacing w:line="360" w:lineRule="auto"/>
        <w:jc w:val="left"/>
        <w:rPr>
          <w:rFonts w:ascii="宋体" w:hAnsi="宋体" w:cs="MingLiU"/>
          <w:kern w:val="0"/>
          <w:sz w:val="20"/>
          <w:szCs w:val="20"/>
          <w:highlight w:val="none"/>
        </w:rPr>
      </w:pPr>
    </w:p>
    <w:p w14:paraId="25714943">
      <w:pPr>
        <w:autoSpaceDE w:val="0"/>
        <w:autoSpaceDN w:val="0"/>
        <w:adjustRightInd w:val="0"/>
        <w:snapToGrid w:val="0"/>
        <w:spacing w:line="360" w:lineRule="auto"/>
        <w:jc w:val="left"/>
        <w:rPr>
          <w:rFonts w:ascii="宋体" w:hAnsi="宋体" w:cs="MingLiU"/>
          <w:kern w:val="0"/>
          <w:sz w:val="20"/>
          <w:szCs w:val="20"/>
          <w:highlight w:val="none"/>
        </w:rPr>
      </w:pPr>
    </w:p>
    <w:p w14:paraId="35990D02">
      <w:pPr>
        <w:autoSpaceDE w:val="0"/>
        <w:autoSpaceDN w:val="0"/>
        <w:adjustRightInd w:val="0"/>
        <w:snapToGrid w:val="0"/>
        <w:spacing w:line="360" w:lineRule="auto"/>
        <w:jc w:val="left"/>
        <w:rPr>
          <w:rFonts w:ascii="宋体" w:hAnsi="宋体" w:cs="MingLiU"/>
          <w:kern w:val="0"/>
          <w:sz w:val="20"/>
          <w:szCs w:val="20"/>
          <w:highlight w:val="none"/>
        </w:rPr>
      </w:pPr>
    </w:p>
    <w:p w14:paraId="2C54A328">
      <w:pPr>
        <w:autoSpaceDE w:val="0"/>
        <w:autoSpaceDN w:val="0"/>
        <w:adjustRightInd w:val="0"/>
        <w:snapToGrid w:val="0"/>
        <w:spacing w:line="360" w:lineRule="auto"/>
        <w:jc w:val="left"/>
        <w:rPr>
          <w:rFonts w:ascii="宋体" w:hAnsi="宋体" w:cs="MingLiU"/>
          <w:kern w:val="0"/>
          <w:sz w:val="20"/>
          <w:szCs w:val="20"/>
          <w:highlight w:val="none"/>
        </w:rPr>
      </w:pPr>
    </w:p>
    <w:p w14:paraId="7CAF133D">
      <w:pPr>
        <w:autoSpaceDE w:val="0"/>
        <w:autoSpaceDN w:val="0"/>
        <w:adjustRightInd w:val="0"/>
        <w:snapToGrid w:val="0"/>
        <w:spacing w:line="360" w:lineRule="auto"/>
        <w:jc w:val="left"/>
        <w:rPr>
          <w:rFonts w:ascii="宋体" w:hAnsi="宋体" w:cs="MingLiU"/>
          <w:kern w:val="0"/>
          <w:sz w:val="20"/>
          <w:szCs w:val="20"/>
          <w:highlight w:val="none"/>
        </w:rPr>
      </w:pPr>
    </w:p>
    <w:p w14:paraId="2348BB55">
      <w:pPr>
        <w:autoSpaceDE w:val="0"/>
        <w:autoSpaceDN w:val="0"/>
        <w:adjustRightInd w:val="0"/>
        <w:snapToGrid w:val="0"/>
        <w:spacing w:line="360" w:lineRule="auto"/>
        <w:jc w:val="left"/>
        <w:rPr>
          <w:rFonts w:ascii="宋体" w:hAnsi="宋体" w:cs="MingLiU"/>
          <w:kern w:val="0"/>
          <w:sz w:val="20"/>
          <w:szCs w:val="20"/>
          <w:highlight w:val="none"/>
        </w:rPr>
      </w:pPr>
    </w:p>
    <w:p w14:paraId="2FBEBB80">
      <w:pPr>
        <w:autoSpaceDE w:val="0"/>
        <w:autoSpaceDN w:val="0"/>
        <w:adjustRightInd w:val="0"/>
        <w:snapToGrid w:val="0"/>
        <w:spacing w:line="360" w:lineRule="auto"/>
        <w:jc w:val="left"/>
        <w:rPr>
          <w:rFonts w:ascii="宋体" w:hAnsi="宋体" w:cs="MingLiU"/>
          <w:kern w:val="0"/>
          <w:sz w:val="20"/>
          <w:szCs w:val="20"/>
          <w:highlight w:val="none"/>
        </w:rPr>
      </w:pPr>
    </w:p>
    <w:p w14:paraId="1FE993C5">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1A510358">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60B2872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2F44691D">
      <w:pPr>
        <w:autoSpaceDE w:val="0"/>
        <w:autoSpaceDN w:val="0"/>
        <w:adjustRightInd w:val="0"/>
        <w:snapToGrid w:val="0"/>
        <w:jc w:val="center"/>
        <w:rPr>
          <w:rFonts w:hint="eastAsia" w:ascii="宋体" w:hAnsi="宋体"/>
          <w:kern w:val="0"/>
          <w:sz w:val="36"/>
          <w:szCs w:val="36"/>
          <w:highlight w:val="none"/>
        </w:rPr>
      </w:pPr>
    </w:p>
    <w:p w14:paraId="09245553">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5774026A">
      <w:pPr>
        <w:spacing w:line="360" w:lineRule="auto"/>
        <w:jc w:val="center"/>
        <w:rPr>
          <w:rFonts w:ascii="宋体" w:hAnsi="宋体"/>
          <w:b/>
          <w:kern w:val="0"/>
          <w:sz w:val="32"/>
          <w:szCs w:val="32"/>
          <w:highlight w:val="none"/>
        </w:rPr>
      </w:pPr>
    </w:p>
    <w:p w14:paraId="1E82F8AB">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3B158EA4">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7C90E119">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0BD58958">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14:paraId="4AF7CDDF">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14:paraId="7CBC1FF5">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14:paraId="6F0C4CC1">
      <w:pPr>
        <w:spacing w:line="360" w:lineRule="auto"/>
        <w:jc w:val="center"/>
        <w:rPr>
          <w:rFonts w:ascii="宋体" w:hAnsi="宋体"/>
          <w:b/>
          <w:kern w:val="0"/>
          <w:sz w:val="32"/>
          <w:szCs w:val="32"/>
          <w:highlight w:val="none"/>
        </w:rPr>
      </w:pPr>
    </w:p>
    <w:p w14:paraId="76B46A3C">
      <w:pPr>
        <w:spacing w:line="360" w:lineRule="auto"/>
        <w:jc w:val="center"/>
        <w:rPr>
          <w:rFonts w:ascii="宋体" w:hAnsi="宋体"/>
          <w:b/>
          <w:kern w:val="0"/>
          <w:sz w:val="32"/>
          <w:szCs w:val="32"/>
          <w:highlight w:val="none"/>
        </w:rPr>
      </w:pPr>
    </w:p>
    <w:p w14:paraId="477E7F9A">
      <w:pPr>
        <w:pStyle w:val="5"/>
        <w:jc w:val="center"/>
        <w:rPr>
          <w:rFonts w:ascii="宋体" w:hAnsi="宋体"/>
          <w:snapToGrid w:val="0"/>
          <w:kern w:val="0"/>
          <w:sz w:val="30"/>
          <w:szCs w:val="30"/>
          <w:highlight w:val="none"/>
        </w:rPr>
      </w:pPr>
      <w:r>
        <w:rPr>
          <w:rFonts w:ascii="宋体" w:hAnsi="宋体"/>
          <w:highlight w:val="none"/>
        </w:rPr>
        <w:br w:type="page"/>
      </w:r>
      <w:bookmarkStart w:id="481" w:name="_Toc5633"/>
      <w:bookmarkStart w:id="482" w:name="_Toc26444"/>
      <w:bookmarkStart w:id="483" w:name="_Toc430530546"/>
      <w:bookmarkStart w:id="484" w:name="_Toc287607883"/>
      <w:bookmarkStart w:id="485" w:name="_Toc224103511"/>
      <w:bookmarkStart w:id="486" w:name="_Toc287620830"/>
      <w:bookmarkStart w:id="487" w:name="_Toc277082657"/>
      <w:r>
        <w:rPr>
          <w:sz w:val="30"/>
          <w:szCs w:val="30"/>
          <w:highlight w:val="none"/>
        </w:rPr>
        <w:t>（一）</w:t>
      </w:r>
      <w:r>
        <w:rPr>
          <w:rFonts w:hint="eastAsia"/>
          <w:sz w:val="30"/>
          <w:szCs w:val="30"/>
          <w:highlight w:val="none"/>
        </w:rPr>
        <w:t>法定代表人身份证明或附有法定代表人身份证明的授权委托书</w:t>
      </w:r>
      <w:bookmarkEnd w:id="481"/>
      <w:bookmarkEnd w:id="482"/>
    </w:p>
    <w:p w14:paraId="79A07775">
      <w:pPr>
        <w:spacing w:line="480" w:lineRule="auto"/>
        <w:jc w:val="center"/>
        <w:rPr>
          <w:rFonts w:ascii="宋体" w:hAnsi="宋体"/>
          <w:sz w:val="28"/>
          <w:highlight w:val="none"/>
        </w:rPr>
      </w:pPr>
      <w:r>
        <w:rPr>
          <w:rFonts w:hint="eastAsia" w:ascii="宋体" w:hAnsi="宋体"/>
          <w:sz w:val="28"/>
          <w:highlight w:val="none"/>
        </w:rPr>
        <w:t>法定代表人身份证明</w:t>
      </w:r>
    </w:p>
    <w:p w14:paraId="14453D9A">
      <w:pPr>
        <w:spacing w:line="480" w:lineRule="auto"/>
        <w:jc w:val="center"/>
        <w:rPr>
          <w:rFonts w:ascii="宋体" w:hAnsi="宋体"/>
          <w:highlight w:val="none"/>
        </w:rPr>
      </w:pPr>
    </w:p>
    <w:p w14:paraId="6CEFF9AC">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7067AE1">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B0D19D0">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E5BD047">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57BFB0C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6E4BFE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6019E70">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6F6AF492">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21441105">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46571198">
      <w:pPr>
        <w:autoSpaceDE w:val="0"/>
        <w:autoSpaceDN w:val="0"/>
        <w:adjustRightInd w:val="0"/>
        <w:snapToGrid w:val="0"/>
        <w:spacing w:line="360" w:lineRule="auto"/>
        <w:jc w:val="left"/>
        <w:rPr>
          <w:rFonts w:ascii="宋体" w:hAnsi="宋体"/>
          <w:szCs w:val="21"/>
          <w:highlight w:val="none"/>
        </w:rPr>
      </w:pPr>
    </w:p>
    <w:p w14:paraId="2037E629">
      <w:pPr>
        <w:pStyle w:val="2"/>
        <w:spacing w:after="0" w:line="360" w:lineRule="auto"/>
        <w:rPr>
          <w:rFonts w:ascii="宋体" w:hAnsi="宋体"/>
          <w:szCs w:val="21"/>
          <w:highlight w:val="none"/>
        </w:rPr>
      </w:pPr>
    </w:p>
    <w:p w14:paraId="748E057E">
      <w:pPr>
        <w:pStyle w:val="2"/>
        <w:spacing w:after="0" w:line="360" w:lineRule="auto"/>
        <w:rPr>
          <w:rFonts w:ascii="宋体" w:hAnsi="宋体"/>
          <w:szCs w:val="21"/>
          <w:highlight w:val="none"/>
        </w:rPr>
      </w:pPr>
    </w:p>
    <w:p w14:paraId="39B42840">
      <w:pPr>
        <w:pStyle w:val="2"/>
        <w:spacing w:after="0" w:line="360" w:lineRule="auto"/>
        <w:rPr>
          <w:rFonts w:ascii="宋体" w:hAnsi="宋体"/>
          <w:szCs w:val="21"/>
          <w:highlight w:val="none"/>
        </w:rPr>
      </w:pPr>
    </w:p>
    <w:p w14:paraId="0D8BCFB8">
      <w:pPr>
        <w:pStyle w:val="2"/>
        <w:spacing w:after="0" w:line="360" w:lineRule="auto"/>
        <w:rPr>
          <w:rFonts w:ascii="宋体" w:hAnsi="宋体"/>
          <w:szCs w:val="21"/>
          <w:highlight w:val="none"/>
        </w:rPr>
      </w:pPr>
    </w:p>
    <w:p w14:paraId="396785B1">
      <w:pPr>
        <w:pStyle w:val="2"/>
        <w:spacing w:after="0" w:line="360" w:lineRule="auto"/>
        <w:rPr>
          <w:rFonts w:ascii="宋体" w:hAnsi="宋体"/>
          <w:szCs w:val="21"/>
          <w:highlight w:val="none"/>
        </w:rPr>
      </w:pPr>
    </w:p>
    <w:p w14:paraId="1BEC4F4F">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261FEA93">
      <w:pPr>
        <w:autoSpaceDE w:val="0"/>
        <w:autoSpaceDN w:val="0"/>
        <w:adjustRightInd w:val="0"/>
        <w:snapToGrid w:val="0"/>
        <w:spacing w:line="480" w:lineRule="auto"/>
        <w:jc w:val="left"/>
        <w:rPr>
          <w:rFonts w:ascii="宋体" w:hAnsi="宋体"/>
          <w:kern w:val="0"/>
          <w:sz w:val="20"/>
          <w:szCs w:val="20"/>
          <w:highlight w:val="none"/>
        </w:rPr>
      </w:pPr>
    </w:p>
    <w:p w14:paraId="539FF41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1851C2F4">
      <w:pPr>
        <w:autoSpaceDE w:val="0"/>
        <w:autoSpaceDN w:val="0"/>
        <w:adjustRightInd w:val="0"/>
        <w:snapToGrid w:val="0"/>
        <w:spacing w:line="360" w:lineRule="auto"/>
        <w:jc w:val="left"/>
        <w:rPr>
          <w:rFonts w:ascii="宋体" w:hAnsi="宋体"/>
          <w:kern w:val="0"/>
          <w:highlight w:val="none"/>
        </w:rPr>
      </w:pPr>
    </w:p>
    <w:p w14:paraId="022C42A3">
      <w:pPr>
        <w:autoSpaceDE w:val="0"/>
        <w:autoSpaceDN w:val="0"/>
        <w:adjustRightInd w:val="0"/>
        <w:snapToGrid w:val="0"/>
        <w:spacing w:line="360" w:lineRule="auto"/>
        <w:jc w:val="left"/>
        <w:rPr>
          <w:rFonts w:ascii="宋体" w:hAnsi="宋体"/>
          <w:kern w:val="0"/>
          <w:highlight w:val="none"/>
        </w:rPr>
      </w:pPr>
    </w:p>
    <w:p w14:paraId="6587F97E">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83"/>
      <w:bookmarkEnd w:id="484"/>
      <w:bookmarkEnd w:id="485"/>
      <w:bookmarkEnd w:id="486"/>
      <w:bookmarkEnd w:id="487"/>
      <w:r>
        <w:rPr>
          <w:rFonts w:hint="eastAsia" w:ascii="宋体" w:hAnsi="宋体"/>
          <w:kern w:val="0"/>
          <w:szCs w:val="21"/>
          <w:highlight w:val="none"/>
        </w:rPr>
        <w:t>。</w:t>
      </w:r>
    </w:p>
    <w:p w14:paraId="7E985121">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2994A87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7D3525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18FC4A8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51C14B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6278E3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4EF865B1">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16322C2F">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09037A2">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3695256F">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7215B215">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598C52DE">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59135447">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65E2A4A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7FFA20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950226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322CD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EDDA83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9E934B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7CB0376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2C98976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65E8E3C5">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71624EA">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19775610">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03758718">
      <w:pPr>
        <w:pStyle w:val="5"/>
        <w:spacing w:before="0" w:after="0" w:line="240" w:lineRule="auto"/>
        <w:jc w:val="center"/>
        <w:rPr>
          <w:rFonts w:ascii="宋体" w:hAnsi="宋体"/>
          <w:highlight w:val="none"/>
        </w:rPr>
      </w:pPr>
      <w:bookmarkStart w:id="488" w:name="_Toc430530547"/>
      <w:bookmarkStart w:id="489" w:name="_Toc224103512"/>
      <w:bookmarkStart w:id="490" w:name="_Toc287607884"/>
      <w:bookmarkStart w:id="491" w:name="_Toc277082658"/>
      <w:bookmarkStart w:id="492" w:name="_Toc287620831"/>
      <w:bookmarkStart w:id="493" w:name="_Toc2153"/>
      <w:r>
        <w:rPr>
          <w:highlight w:val="none"/>
        </w:rPr>
        <w:t>（二）</w:t>
      </w:r>
      <w:bookmarkEnd w:id="488"/>
      <w:bookmarkEnd w:id="489"/>
      <w:bookmarkEnd w:id="490"/>
      <w:bookmarkEnd w:id="491"/>
      <w:bookmarkEnd w:id="492"/>
      <w:bookmarkStart w:id="494" w:name="_Toc287607887"/>
      <w:bookmarkStart w:id="495" w:name="_Toc277082659"/>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93"/>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A302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6E9B7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14:paraId="5DACF108">
            <w:pPr>
              <w:autoSpaceDE w:val="0"/>
              <w:autoSpaceDN w:val="0"/>
              <w:adjustRightInd w:val="0"/>
              <w:snapToGrid w:val="0"/>
              <w:jc w:val="center"/>
              <w:rPr>
                <w:rFonts w:ascii="宋体" w:hAnsi="宋体"/>
                <w:kern w:val="0"/>
                <w:szCs w:val="21"/>
                <w:highlight w:val="none"/>
              </w:rPr>
            </w:pPr>
          </w:p>
        </w:tc>
      </w:tr>
      <w:tr w14:paraId="0CDF2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9F9A5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370C6C54">
            <w:pPr>
              <w:autoSpaceDE w:val="0"/>
              <w:autoSpaceDN w:val="0"/>
              <w:adjustRightInd w:val="0"/>
              <w:snapToGrid w:val="0"/>
              <w:jc w:val="center"/>
              <w:rPr>
                <w:rFonts w:ascii="宋体" w:hAnsi="宋体"/>
                <w:kern w:val="0"/>
                <w:szCs w:val="21"/>
                <w:highlight w:val="none"/>
              </w:rPr>
            </w:pPr>
          </w:p>
        </w:tc>
        <w:tc>
          <w:tcPr>
            <w:tcW w:w="1392" w:type="dxa"/>
            <w:vAlign w:val="center"/>
          </w:tcPr>
          <w:p w14:paraId="394F7A1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1319306B">
            <w:pPr>
              <w:autoSpaceDE w:val="0"/>
              <w:autoSpaceDN w:val="0"/>
              <w:adjustRightInd w:val="0"/>
              <w:snapToGrid w:val="0"/>
              <w:jc w:val="center"/>
              <w:rPr>
                <w:rFonts w:ascii="宋体" w:hAnsi="宋体"/>
                <w:kern w:val="0"/>
                <w:szCs w:val="21"/>
                <w:highlight w:val="none"/>
              </w:rPr>
            </w:pPr>
          </w:p>
        </w:tc>
      </w:tr>
      <w:tr w14:paraId="6450F4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3B622B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0DDF65D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280CD261">
            <w:pPr>
              <w:autoSpaceDE w:val="0"/>
              <w:autoSpaceDN w:val="0"/>
              <w:adjustRightInd w:val="0"/>
              <w:snapToGrid w:val="0"/>
              <w:jc w:val="center"/>
              <w:rPr>
                <w:rFonts w:ascii="宋体" w:hAnsi="宋体"/>
                <w:kern w:val="0"/>
                <w:szCs w:val="21"/>
                <w:highlight w:val="none"/>
              </w:rPr>
            </w:pPr>
          </w:p>
        </w:tc>
        <w:tc>
          <w:tcPr>
            <w:tcW w:w="1392" w:type="dxa"/>
            <w:vAlign w:val="center"/>
          </w:tcPr>
          <w:p w14:paraId="0493FE1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2006F7DB">
            <w:pPr>
              <w:autoSpaceDE w:val="0"/>
              <w:autoSpaceDN w:val="0"/>
              <w:adjustRightInd w:val="0"/>
              <w:snapToGrid w:val="0"/>
              <w:jc w:val="center"/>
              <w:rPr>
                <w:rFonts w:ascii="宋体" w:hAnsi="宋体"/>
                <w:kern w:val="0"/>
                <w:szCs w:val="21"/>
                <w:highlight w:val="none"/>
              </w:rPr>
            </w:pPr>
          </w:p>
        </w:tc>
      </w:tr>
      <w:tr w14:paraId="4B09A9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F243E68">
            <w:pPr>
              <w:autoSpaceDE w:val="0"/>
              <w:autoSpaceDN w:val="0"/>
              <w:adjustRightInd w:val="0"/>
              <w:snapToGrid w:val="0"/>
              <w:jc w:val="center"/>
              <w:rPr>
                <w:rFonts w:ascii="宋体" w:hAnsi="宋体"/>
                <w:kern w:val="0"/>
                <w:szCs w:val="21"/>
                <w:highlight w:val="none"/>
              </w:rPr>
            </w:pPr>
          </w:p>
        </w:tc>
        <w:tc>
          <w:tcPr>
            <w:tcW w:w="967" w:type="dxa"/>
            <w:vAlign w:val="center"/>
          </w:tcPr>
          <w:p w14:paraId="44EE5C08">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155D8C73">
            <w:pPr>
              <w:autoSpaceDE w:val="0"/>
              <w:autoSpaceDN w:val="0"/>
              <w:adjustRightInd w:val="0"/>
              <w:snapToGrid w:val="0"/>
              <w:jc w:val="center"/>
              <w:rPr>
                <w:rFonts w:ascii="宋体" w:hAnsi="宋体"/>
                <w:kern w:val="0"/>
                <w:szCs w:val="21"/>
                <w:highlight w:val="none"/>
              </w:rPr>
            </w:pPr>
          </w:p>
        </w:tc>
        <w:tc>
          <w:tcPr>
            <w:tcW w:w="1392" w:type="dxa"/>
            <w:vAlign w:val="center"/>
          </w:tcPr>
          <w:p w14:paraId="729F6B3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255A593D">
            <w:pPr>
              <w:autoSpaceDE w:val="0"/>
              <w:autoSpaceDN w:val="0"/>
              <w:adjustRightInd w:val="0"/>
              <w:snapToGrid w:val="0"/>
              <w:jc w:val="center"/>
              <w:rPr>
                <w:rFonts w:ascii="宋体" w:hAnsi="宋体"/>
                <w:kern w:val="0"/>
                <w:szCs w:val="21"/>
                <w:highlight w:val="none"/>
              </w:rPr>
            </w:pPr>
          </w:p>
        </w:tc>
      </w:tr>
      <w:tr w14:paraId="51F53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6F4EA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0DB83DD8">
            <w:pPr>
              <w:autoSpaceDE w:val="0"/>
              <w:autoSpaceDN w:val="0"/>
              <w:adjustRightInd w:val="0"/>
              <w:snapToGrid w:val="0"/>
              <w:jc w:val="center"/>
              <w:rPr>
                <w:rFonts w:ascii="宋体" w:hAnsi="宋体"/>
                <w:kern w:val="0"/>
                <w:szCs w:val="21"/>
                <w:highlight w:val="none"/>
              </w:rPr>
            </w:pPr>
          </w:p>
        </w:tc>
      </w:tr>
      <w:tr w14:paraId="6D971B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A1EA2D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7853B62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1E6634B5">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0288428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6AE7283D">
            <w:pPr>
              <w:autoSpaceDE w:val="0"/>
              <w:autoSpaceDN w:val="0"/>
              <w:adjustRightInd w:val="0"/>
              <w:snapToGrid w:val="0"/>
              <w:jc w:val="center"/>
              <w:rPr>
                <w:rFonts w:ascii="宋体" w:hAnsi="宋体"/>
                <w:kern w:val="0"/>
                <w:szCs w:val="21"/>
                <w:highlight w:val="none"/>
              </w:rPr>
            </w:pPr>
          </w:p>
        </w:tc>
        <w:tc>
          <w:tcPr>
            <w:tcW w:w="925" w:type="dxa"/>
            <w:vAlign w:val="center"/>
          </w:tcPr>
          <w:p w14:paraId="2A6078A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476F1922">
            <w:pPr>
              <w:autoSpaceDE w:val="0"/>
              <w:autoSpaceDN w:val="0"/>
              <w:adjustRightInd w:val="0"/>
              <w:snapToGrid w:val="0"/>
              <w:jc w:val="center"/>
              <w:rPr>
                <w:rFonts w:ascii="宋体" w:hAnsi="宋体"/>
                <w:kern w:val="0"/>
                <w:szCs w:val="21"/>
                <w:highlight w:val="none"/>
              </w:rPr>
            </w:pPr>
          </w:p>
        </w:tc>
      </w:tr>
      <w:tr w14:paraId="41CB81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9EF2B1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546678B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01149C00">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0D62CCC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2F6540D9">
            <w:pPr>
              <w:autoSpaceDE w:val="0"/>
              <w:autoSpaceDN w:val="0"/>
              <w:adjustRightInd w:val="0"/>
              <w:snapToGrid w:val="0"/>
              <w:jc w:val="center"/>
              <w:rPr>
                <w:rFonts w:ascii="宋体" w:hAnsi="宋体"/>
                <w:kern w:val="0"/>
                <w:szCs w:val="21"/>
                <w:highlight w:val="none"/>
              </w:rPr>
            </w:pPr>
          </w:p>
        </w:tc>
        <w:tc>
          <w:tcPr>
            <w:tcW w:w="925" w:type="dxa"/>
            <w:vAlign w:val="center"/>
          </w:tcPr>
          <w:p w14:paraId="07E983A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1AC46B7A">
            <w:pPr>
              <w:autoSpaceDE w:val="0"/>
              <w:autoSpaceDN w:val="0"/>
              <w:adjustRightInd w:val="0"/>
              <w:snapToGrid w:val="0"/>
              <w:jc w:val="center"/>
              <w:rPr>
                <w:rFonts w:ascii="宋体" w:hAnsi="宋体"/>
                <w:kern w:val="0"/>
                <w:szCs w:val="21"/>
                <w:highlight w:val="none"/>
              </w:rPr>
            </w:pPr>
          </w:p>
        </w:tc>
      </w:tr>
      <w:tr w14:paraId="1C52F1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62792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58C16974">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68D8CF2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6C1BB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F3914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3B5DFED5">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31F535C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44E5194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3CA0B8E4">
            <w:pPr>
              <w:autoSpaceDE w:val="0"/>
              <w:autoSpaceDN w:val="0"/>
              <w:adjustRightInd w:val="0"/>
              <w:snapToGrid w:val="0"/>
              <w:jc w:val="center"/>
              <w:rPr>
                <w:rFonts w:ascii="宋体" w:hAnsi="宋体"/>
                <w:kern w:val="0"/>
                <w:szCs w:val="21"/>
                <w:highlight w:val="none"/>
              </w:rPr>
            </w:pPr>
          </w:p>
        </w:tc>
      </w:tr>
      <w:tr w14:paraId="797F2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497FF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14:paraId="6D60989A">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64AEEE3B">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31B7370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26F7F5BC">
            <w:pPr>
              <w:autoSpaceDE w:val="0"/>
              <w:autoSpaceDN w:val="0"/>
              <w:adjustRightInd w:val="0"/>
              <w:snapToGrid w:val="0"/>
              <w:jc w:val="center"/>
              <w:rPr>
                <w:rFonts w:ascii="宋体" w:hAnsi="宋体"/>
                <w:kern w:val="0"/>
                <w:szCs w:val="21"/>
                <w:highlight w:val="none"/>
              </w:rPr>
            </w:pPr>
          </w:p>
        </w:tc>
      </w:tr>
      <w:tr w14:paraId="6408FF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0D6CB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215AF6F1">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38A81F25">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24796FA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36C9F0C1">
            <w:pPr>
              <w:autoSpaceDE w:val="0"/>
              <w:autoSpaceDN w:val="0"/>
              <w:adjustRightInd w:val="0"/>
              <w:snapToGrid w:val="0"/>
              <w:jc w:val="center"/>
              <w:rPr>
                <w:rFonts w:ascii="宋体" w:hAnsi="宋体"/>
                <w:kern w:val="0"/>
                <w:szCs w:val="21"/>
                <w:highlight w:val="none"/>
              </w:rPr>
            </w:pPr>
          </w:p>
        </w:tc>
      </w:tr>
      <w:tr w14:paraId="72EB5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727D9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1A1C3653">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4AB5B36F">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08A788A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27583D07">
            <w:pPr>
              <w:autoSpaceDE w:val="0"/>
              <w:autoSpaceDN w:val="0"/>
              <w:adjustRightInd w:val="0"/>
              <w:snapToGrid w:val="0"/>
              <w:jc w:val="center"/>
              <w:rPr>
                <w:rFonts w:ascii="宋体" w:hAnsi="宋体"/>
                <w:kern w:val="0"/>
                <w:szCs w:val="21"/>
                <w:highlight w:val="none"/>
              </w:rPr>
            </w:pPr>
          </w:p>
        </w:tc>
      </w:tr>
      <w:tr w14:paraId="04305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2F83686">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48AA328C">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4ADBA564">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49F62627">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1413DE46">
            <w:pPr>
              <w:autoSpaceDE w:val="0"/>
              <w:autoSpaceDN w:val="0"/>
              <w:adjustRightInd w:val="0"/>
              <w:snapToGrid w:val="0"/>
              <w:jc w:val="center"/>
              <w:rPr>
                <w:rFonts w:ascii="宋体" w:hAnsi="宋体"/>
                <w:kern w:val="0"/>
                <w:szCs w:val="21"/>
                <w:highlight w:val="none"/>
              </w:rPr>
            </w:pPr>
          </w:p>
        </w:tc>
      </w:tr>
      <w:tr w14:paraId="533F0B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917940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28BD0155">
            <w:pPr>
              <w:autoSpaceDE w:val="0"/>
              <w:autoSpaceDN w:val="0"/>
              <w:adjustRightInd w:val="0"/>
              <w:snapToGrid w:val="0"/>
              <w:jc w:val="center"/>
              <w:rPr>
                <w:rFonts w:ascii="宋体" w:hAnsi="宋体"/>
                <w:kern w:val="0"/>
                <w:szCs w:val="21"/>
                <w:highlight w:val="none"/>
              </w:rPr>
            </w:pPr>
          </w:p>
        </w:tc>
      </w:tr>
      <w:tr w14:paraId="13564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2B33D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10E4BC67">
            <w:pPr>
              <w:autoSpaceDE w:val="0"/>
              <w:autoSpaceDN w:val="0"/>
              <w:adjustRightInd w:val="0"/>
              <w:snapToGrid w:val="0"/>
              <w:jc w:val="center"/>
              <w:rPr>
                <w:rFonts w:ascii="宋体" w:hAnsi="宋体"/>
                <w:kern w:val="0"/>
                <w:szCs w:val="21"/>
                <w:highlight w:val="none"/>
              </w:rPr>
            </w:pPr>
          </w:p>
        </w:tc>
      </w:tr>
    </w:tbl>
    <w:p w14:paraId="14BD562A">
      <w:pPr>
        <w:spacing w:line="360" w:lineRule="auto"/>
        <w:jc w:val="center"/>
        <w:rPr>
          <w:rFonts w:ascii="宋体" w:hAnsi="宋体"/>
          <w:szCs w:val="21"/>
          <w:highlight w:val="none"/>
        </w:rPr>
      </w:pPr>
    </w:p>
    <w:p w14:paraId="0F57A4B5">
      <w:pPr>
        <w:pStyle w:val="5"/>
        <w:spacing w:before="0" w:after="0" w:line="240" w:lineRule="auto"/>
        <w:jc w:val="center"/>
        <w:rPr>
          <w:rFonts w:ascii="宋体" w:hAnsi="宋体"/>
          <w:b w:val="0"/>
          <w:bCs w:val="0"/>
          <w:highlight w:val="none"/>
        </w:rPr>
      </w:pPr>
      <w:r>
        <w:rPr>
          <w:rFonts w:ascii="宋体" w:hAnsi="宋体"/>
          <w:szCs w:val="21"/>
          <w:highlight w:val="none"/>
        </w:rPr>
        <w:br w:type="page"/>
      </w:r>
      <w:bookmarkEnd w:id="494"/>
      <w:bookmarkEnd w:id="495"/>
      <w:bookmarkStart w:id="496" w:name="_Toc509218863"/>
      <w:bookmarkStart w:id="497" w:name="_Toc534185840"/>
      <w:bookmarkStart w:id="498" w:name="_Toc31370"/>
      <w:bookmarkStart w:id="499" w:name="_Toc430530552"/>
      <w:bookmarkStart w:id="500" w:name="_Toc287620839"/>
      <w:bookmarkStart w:id="501" w:name="_Toc277082663"/>
      <w:bookmarkStart w:id="502" w:name="_Toc224103520"/>
      <w:bookmarkStart w:id="503" w:name="_Toc287607893"/>
      <w:bookmarkStart w:id="504" w:name="_Toc534185843"/>
      <w:bookmarkStart w:id="505" w:name="_Toc509218866"/>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496"/>
      <w:bookmarkEnd w:id="497"/>
      <w:bookmarkEnd w:id="498"/>
    </w:p>
    <w:p w14:paraId="3B703EBD">
      <w:pPr>
        <w:spacing w:line="360" w:lineRule="auto"/>
        <w:rPr>
          <w:rFonts w:ascii="宋体" w:hAnsi="宋体"/>
          <w:highlight w:val="none"/>
        </w:rPr>
      </w:pPr>
    </w:p>
    <w:p w14:paraId="3A688C63">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F3A13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5496C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6D1A84E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053ECB0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5764EE6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1A8C2E0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1E03AD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46D64820">
            <w:pPr>
              <w:autoSpaceDE w:val="0"/>
              <w:autoSpaceDN w:val="0"/>
              <w:adjustRightInd w:val="0"/>
              <w:snapToGrid w:val="0"/>
              <w:jc w:val="left"/>
              <w:rPr>
                <w:rFonts w:ascii="宋体" w:hAnsi="宋体"/>
                <w:kern w:val="0"/>
                <w:szCs w:val="21"/>
                <w:highlight w:val="none"/>
              </w:rPr>
            </w:pPr>
          </w:p>
        </w:tc>
        <w:tc>
          <w:tcPr>
            <w:tcW w:w="734" w:type="dxa"/>
            <w:vMerge w:val="continue"/>
          </w:tcPr>
          <w:p w14:paraId="51B17CFC">
            <w:pPr>
              <w:autoSpaceDE w:val="0"/>
              <w:autoSpaceDN w:val="0"/>
              <w:adjustRightInd w:val="0"/>
              <w:snapToGrid w:val="0"/>
              <w:jc w:val="left"/>
              <w:rPr>
                <w:rFonts w:ascii="宋体" w:hAnsi="宋体"/>
                <w:kern w:val="0"/>
                <w:szCs w:val="21"/>
                <w:highlight w:val="none"/>
              </w:rPr>
            </w:pPr>
          </w:p>
        </w:tc>
        <w:tc>
          <w:tcPr>
            <w:tcW w:w="776" w:type="dxa"/>
            <w:vMerge w:val="continue"/>
          </w:tcPr>
          <w:p w14:paraId="0F817D1D">
            <w:pPr>
              <w:autoSpaceDE w:val="0"/>
              <w:autoSpaceDN w:val="0"/>
              <w:adjustRightInd w:val="0"/>
              <w:snapToGrid w:val="0"/>
              <w:jc w:val="left"/>
              <w:rPr>
                <w:rFonts w:ascii="宋体" w:hAnsi="宋体"/>
                <w:kern w:val="0"/>
                <w:szCs w:val="21"/>
                <w:highlight w:val="none"/>
              </w:rPr>
            </w:pPr>
          </w:p>
        </w:tc>
        <w:tc>
          <w:tcPr>
            <w:tcW w:w="1167" w:type="dxa"/>
            <w:vAlign w:val="center"/>
          </w:tcPr>
          <w:p w14:paraId="4ED6A28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11693D1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259B00A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6801DA3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2F4022E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14:paraId="1D465B07">
            <w:pPr>
              <w:autoSpaceDE w:val="0"/>
              <w:autoSpaceDN w:val="0"/>
              <w:adjustRightInd w:val="0"/>
              <w:snapToGrid w:val="0"/>
              <w:jc w:val="left"/>
              <w:rPr>
                <w:rFonts w:ascii="宋体" w:hAnsi="宋体"/>
                <w:kern w:val="0"/>
                <w:szCs w:val="21"/>
                <w:highlight w:val="none"/>
              </w:rPr>
            </w:pPr>
          </w:p>
        </w:tc>
      </w:tr>
      <w:tr w14:paraId="13D5F2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5DE37F3">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14:paraId="6311CDD5">
            <w:pPr>
              <w:autoSpaceDE w:val="0"/>
              <w:autoSpaceDN w:val="0"/>
              <w:adjustRightInd w:val="0"/>
              <w:snapToGrid w:val="0"/>
              <w:jc w:val="left"/>
              <w:rPr>
                <w:rFonts w:ascii="宋体" w:hAnsi="宋体"/>
                <w:kern w:val="0"/>
                <w:szCs w:val="21"/>
                <w:highlight w:val="none"/>
              </w:rPr>
            </w:pPr>
          </w:p>
        </w:tc>
        <w:tc>
          <w:tcPr>
            <w:tcW w:w="776" w:type="dxa"/>
          </w:tcPr>
          <w:p w14:paraId="740EF75F">
            <w:pPr>
              <w:autoSpaceDE w:val="0"/>
              <w:autoSpaceDN w:val="0"/>
              <w:adjustRightInd w:val="0"/>
              <w:snapToGrid w:val="0"/>
              <w:jc w:val="left"/>
              <w:rPr>
                <w:rFonts w:ascii="宋体" w:hAnsi="宋体"/>
                <w:kern w:val="0"/>
                <w:szCs w:val="21"/>
                <w:highlight w:val="none"/>
              </w:rPr>
            </w:pPr>
          </w:p>
        </w:tc>
        <w:tc>
          <w:tcPr>
            <w:tcW w:w="1167" w:type="dxa"/>
          </w:tcPr>
          <w:p w14:paraId="1DBE0018">
            <w:pPr>
              <w:autoSpaceDE w:val="0"/>
              <w:autoSpaceDN w:val="0"/>
              <w:adjustRightInd w:val="0"/>
              <w:snapToGrid w:val="0"/>
              <w:jc w:val="left"/>
              <w:rPr>
                <w:rFonts w:ascii="宋体" w:hAnsi="宋体"/>
                <w:kern w:val="0"/>
                <w:szCs w:val="21"/>
                <w:highlight w:val="none"/>
              </w:rPr>
            </w:pPr>
          </w:p>
        </w:tc>
        <w:tc>
          <w:tcPr>
            <w:tcW w:w="776" w:type="dxa"/>
          </w:tcPr>
          <w:p w14:paraId="073196CD">
            <w:pPr>
              <w:autoSpaceDE w:val="0"/>
              <w:autoSpaceDN w:val="0"/>
              <w:adjustRightInd w:val="0"/>
              <w:snapToGrid w:val="0"/>
              <w:jc w:val="left"/>
              <w:rPr>
                <w:rFonts w:ascii="宋体" w:hAnsi="宋体"/>
                <w:kern w:val="0"/>
                <w:szCs w:val="21"/>
                <w:highlight w:val="none"/>
              </w:rPr>
            </w:pPr>
          </w:p>
        </w:tc>
        <w:tc>
          <w:tcPr>
            <w:tcW w:w="778" w:type="dxa"/>
          </w:tcPr>
          <w:p w14:paraId="27A785C4">
            <w:pPr>
              <w:autoSpaceDE w:val="0"/>
              <w:autoSpaceDN w:val="0"/>
              <w:adjustRightInd w:val="0"/>
              <w:snapToGrid w:val="0"/>
              <w:jc w:val="left"/>
              <w:rPr>
                <w:rFonts w:ascii="宋体" w:hAnsi="宋体"/>
                <w:kern w:val="0"/>
                <w:szCs w:val="21"/>
                <w:highlight w:val="none"/>
              </w:rPr>
            </w:pPr>
          </w:p>
        </w:tc>
        <w:tc>
          <w:tcPr>
            <w:tcW w:w="776" w:type="dxa"/>
          </w:tcPr>
          <w:p w14:paraId="01FA8AF8">
            <w:pPr>
              <w:autoSpaceDE w:val="0"/>
              <w:autoSpaceDN w:val="0"/>
              <w:adjustRightInd w:val="0"/>
              <w:snapToGrid w:val="0"/>
              <w:jc w:val="left"/>
              <w:rPr>
                <w:rFonts w:ascii="宋体" w:hAnsi="宋体"/>
                <w:kern w:val="0"/>
                <w:szCs w:val="21"/>
                <w:highlight w:val="none"/>
              </w:rPr>
            </w:pPr>
          </w:p>
        </w:tc>
        <w:tc>
          <w:tcPr>
            <w:tcW w:w="2723" w:type="dxa"/>
          </w:tcPr>
          <w:p w14:paraId="51596A27">
            <w:pPr>
              <w:autoSpaceDE w:val="0"/>
              <w:autoSpaceDN w:val="0"/>
              <w:adjustRightInd w:val="0"/>
              <w:snapToGrid w:val="0"/>
              <w:jc w:val="left"/>
              <w:rPr>
                <w:rFonts w:ascii="宋体" w:hAnsi="宋体"/>
                <w:kern w:val="0"/>
                <w:szCs w:val="21"/>
                <w:highlight w:val="none"/>
              </w:rPr>
            </w:pPr>
          </w:p>
        </w:tc>
        <w:tc>
          <w:tcPr>
            <w:tcW w:w="896" w:type="dxa"/>
          </w:tcPr>
          <w:p w14:paraId="6A156AA5">
            <w:pPr>
              <w:autoSpaceDE w:val="0"/>
              <w:autoSpaceDN w:val="0"/>
              <w:adjustRightInd w:val="0"/>
              <w:snapToGrid w:val="0"/>
              <w:jc w:val="left"/>
              <w:rPr>
                <w:rFonts w:ascii="宋体" w:hAnsi="宋体"/>
                <w:kern w:val="0"/>
                <w:szCs w:val="21"/>
                <w:highlight w:val="none"/>
              </w:rPr>
            </w:pPr>
          </w:p>
        </w:tc>
      </w:tr>
      <w:tr w14:paraId="6FBDF6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23F8D5ED">
            <w:pPr>
              <w:autoSpaceDE w:val="0"/>
              <w:autoSpaceDN w:val="0"/>
              <w:adjustRightInd w:val="0"/>
              <w:snapToGrid w:val="0"/>
              <w:jc w:val="center"/>
              <w:rPr>
                <w:rFonts w:ascii="宋体" w:hAnsi="宋体"/>
                <w:kern w:val="0"/>
                <w:szCs w:val="21"/>
                <w:highlight w:val="none"/>
              </w:rPr>
            </w:pPr>
          </w:p>
        </w:tc>
        <w:tc>
          <w:tcPr>
            <w:tcW w:w="734" w:type="dxa"/>
          </w:tcPr>
          <w:p w14:paraId="455DDCB9">
            <w:pPr>
              <w:autoSpaceDE w:val="0"/>
              <w:autoSpaceDN w:val="0"/>
              <w:adjustRightInd w:val="0"/>
              <w:snapToGrid w:val="0"/>
              <w:jc w:val="left"/>
              <w:rPr>
                <w:rFonts w:ascii="宋体" w:hAnsi="宋体"/>
                <w:kern w:val="0"/>
                <w:szCs w:val="21"/>
                <w:highlight w:val="none"/>
              </w:rPr>
            </w:pPr>
          </w:p>
        </w:tc>
        <w:tc>
          <w:tcPr>
            <w:tcW w:w="776" w:type="dxa"/>
          </w:tcPr>
          <w:p w14:paraId="60E5FB4F">
            <w:pPr>
              <w:autoSpaceDE w:val="0"/>
              <w:autoSpaceDN w:val="0"/>
              <w:adjustRightInd w:val="0"/>
              <w:snapToGrid w:val="0"/>
              <w:jc w:val="left"/>
              <w:rPr>
                <w:rFonts w:ascii="宋体" w:hAnsi="宋体"/>
                <w:kern w:val="0"/>
                <w:szCs w:val="21"/>
                <w:highlight w:val="none"/>
              </w:rPr>
            </w:pPr>
          </w:p>
        </w:tc>
        <w:tc>
          <w:tcPr>
            <w:tcW w:w="1167" w:type="dxa"/>
          </w:tcPr>
          <w:p w14:paraId="430E7B22">
            <w:pPr>
              <w:autoSpaceDE w:val="0"/>
              <w:autoSpaceDN w:val="0"/>
              <w:adjustRightInd w:val="0"/>
              <w:snapToGrid w:val="0"/>
              <w:jc w:val="left"/>
              <w:rPr>
                <w:rFonts w:ascii="宋体" w:hAnsi="宋体"/>
                <w:kern w:val="0"/>
                <w:szCs w:val="21"/>
                <w:highlight w:val="none"/>
              </w:rPr>
            </w:pPr>
          </w:p>
        </w:tc>
        <w:tc>
          <w:tcPr>
            <w:tcW w:w="776" w:type="dxa"/>
          </w:tcPr>
          <w:p w14:paraId="148A243F">
            <w:pPr>
              <w:autoSpaceDE w:val="0"/>
              <w:autoSpaceDN w:val="0"/>
              <w:adjustRightInd w:val="0"/>
              <w:snapToGrid w:val="0"/>
              <w:jc w:val="left"/>
              <w:rPr>
                <w:rFonts w:ascii="宋体" w:hAnsi="宋体"/>
                <w:kern w:val="0"/>
                <w:szCs w:val="21"/>
                <w:highlight w:val="none"/>
              </w:rPr>
            </w:pPr>
          </w:p>
        </w:tc>
        <w:tc>
          <w:tcPr>
            <w:tcW w:w="778" w:type="dxa"/>
          </w:tcPr>
          <w:p w14:paraId="3C347552">
            <w:pPr>
              <w:autoSpaceDE w:val="0"/>
              <w:autoSpaceDN w:val="0"/>
              <w:adjustRightInd w:val="0"/>
              <w:snapToGrid w:val="0"/>
              <w:jc w:val="left"/>
              <w:rPr>
                <w:rFonts w:ascii="宋体" w:hAnsi="宋体"/>
                <w:kern w:val="0"/>
                <w:szCs w:val="21"/>
                <w:highlight w:val="none"/>
              </w:rPr>
            </w:pPr>
          </w:p>
        </w:tc>
        <w:tc>
          <w:tcPr>
            <w:tcW w:w="776" w:type="dxa"/>
          </w:tcPr>
          <w:p w14:paraId="55C47CEF">
            <w:pPr>
              <w:autoSpaceDE w:val="0"/>
              <w:autoSpaceDN w:val="0"/>
              <w:adjustRightInd w:val="0"/>
              <w:snapToGrid w:val="0"/>
              <w:jc w:val="left"/>
              <w:rPr>
                <w:rFonts w:ascii="宋体" w:hAnsi="宋体"/>
                <w:kern w:val="0"/>
                <w:szCs w:val="21"/>
                <w:highlight w:val="none"/>
              </w:rPr>
            </w:pPr>
          </w:p>
        </w:tc>
        <w:tc>
          <w:tcPr>
            <w:tcW w:w="2723" w:type="dxa"/>
          </w:tcPr>
          <w:p w14:paraId="465DBCEA">
            <w:pPr>
              <w:autoSpaceDE w:val="0"/>
              <w:autoSpaceDN w:val="0"/>
              <w:adjustRightInd w:val="0"/>
              <w:snapToGrid w:val="0"/>
              <w:jc w:val="left"/>
              <w:rPr>
                <w:rFonts w:ascii="宋体" w:hAnsi="宋体"/>
                <w:kern w:val="0"/>
                <w:szCs w:val="21"/>
                <w:highlight w:val="none"/>
              </w:rPr>
            </w:pPr>
          </w:p>
        </w:tc>
        <w:tc>
          <w:tcPr>
            <w:tcW w:w="896" w:type="dxa"/>
          </w:tcPr>
          <w:p w14:paraId="279AD957">
            <w:pPr>
              <w:autoSpaceDE w:val="0"/>
              <w:autoSpaceDN w:val="0"/>
              <w:adjustRightInd w:val="0"/>
              <w:snapToGrid w:val="0"/>
              <w:jc w:val="left"/>
              <w:rPr>
                <w:rFonts w:ascii="宋体" w:hAnsi="宋体"/>
                <w:kern w:val="0"/>
                <w:szCs w:val="21"/>
                <w:highlight w:val="none"/>
              </w:rPr>
            </w:pPr>
          </w:p>
        </w:tc>
      </w:tr>
      <w:tr w14:paraId="025B3A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B33214">
            <w:pPr>
              <w:autoSpaceDE w:val="0"/>
              <w:autoSpaceDN w:val="0"/>
              <w:adjustRightInd w:val="0"/>
              <w:snapToGrid w:val="0"/>
              <w:jc w:val="left"/>
              <w:rPr>
                <w:rFonts w:ascii="宋体" w:hAnsi="宋体"/>
                <w:kern w:val="0"/>
                <w:szCs w:val="21"/>
                <w:highlight w:val="none"/>
              </w:rPr>
            </w:pPr>
          </w:p>
        </w:tc>
        <w:tc>
          <w:tcPr>
            <w:tcW w:w="734" w:type="dxa"/>
          </w:tcPr>
          <w:p w14:paraId="644D9E5F">
            <w:pPr>
              <w:autoSpaceDE w:val="0"/>
              <w:autoSpaceDN w:val="0"/>
              <w:adjustRightInd w:val="0"/>
              <w:snapToGrid w:val="0"/>
              <w:jc w:val="left"/>
              <w:rPr>
                <w:rFonts w:ascii="宋体" w:hAnsi="宋体"/>
                <w:kern w:val="0"/>
                <w:szCs w:val="21"/>
                <w:highlight w:val="none"/>
              </w:rPr>
            </w:pPr>
          </w:p>
        </w:tc>
        <w:tc>
          <w:tcPr>
            <w:tcW w:w="776" w:type="dxa"/>
          </w:tcPr>
          <w:p w14:paraId="3CDC6874">
            <w:pPr>
              <w:autoSpaceDE w:val="0"/>
              <w:autoSpaceDN w:val="0"/>
              <w:adjustRightInd w:val="0"/>
              <w:snapToGrid w:val="0"/>
              <w:jc w:val="left"/>
              <w:rPr>
                <w:rFonts w:ascii="宋体" w:hAnsi="宋体"/>
                <w:kern w:val="0"/>
                <w:szCs w:val="21"/>
                <w:highlight w:val="none"/>
              </w:rPr>
            </w:pPr>
          </w:p>
        </w:tc>
        <w:tc>
          <w:tcPr>
            <w:tcW w:w="1167" w:type="dxa"/>
          </w:tcPr>
          <w:p w14:paraId="2D08420D">
            <w:pPr>
              <w:autoSpaceDE w:val="0"/>
              <w:autoSpaceDN w:val="0"/>
              <w:adjustRightInd w:val="0"/>
              <w:snapToGrid w:val="0"/>
              <w:jc w:val="left"/>
              <w:rPr>
                <w:rFonts w:ascii="宋体" w:hAnsi="宋体"/>
                <w:kern w:val="0"/>
                <w:szCs w:val="21"/>
                <w:highlight w:val="none"/>
              </w:rPr>
            </w:pPr>
          </w:p>
        </w:tc>
        <w:tc>
          <w:tcPr>
            <w:tcW w:w="776" w:type="dxa"/>
          </w:tcPr>
          <w:p w14:paraId="5D8EF812">
            <w:pPr>
              <w:autoSpaceDE w:val="0"/>
              <w:autoSpaceDN w:val="0"/>
              <w:adjustRightInd w:val="0"/>
              <w:snapToGrid w:val="0"/>
              <w:jc w:val="left"/>
              <w:rPr>
                <w:rFonts w:ascii="宋体" w:hAnsi="宋体"/>
                <w:kern w:val="0"/>
                <w:szCs w:val="21"/>
                <w:highlight w:val="none"/>
              </w:rPr>
            </w:pPr>
          </w:p>
        </w:tc>
        <w:tc>
          <w:tcPr>
            <w:tcW w:w="778" w:type="dxa"/>
          </w:tcPr>
          <w:p w14:paraId="3508E57F">
            <w:pPr>
              <w:autoSpaceDE w:val="0"/>
              <w:autoSpaceDN w:val="0"/>
              <w:adjustRightInd w:val="0"/>
              <w:snapToGrid w:val="0"/>
              <w:jc w:val="left"/>
              <w:rPr>
                <w:rFonts w:ascii="宋体" w:hAnsi="宋体"/>
                <w:kern w:val="0"/>
                <w:szCs w:val="21"/>
                <w:highlight w:val="none"/>
              </w:rPr>
            </w:pPr>
          </w:p>
        </w:tc>
        <w:tc>
          <w:tcPr>
            <w:tcW w:w="776" w:type="dxa"/>
          </w:tcPr>
          <w:p w14:paraId="0EA3EA27">
            <w:pPr>
              <w:autoSpaceDE w:val="0"/>
              <w:autoSpaceDN w:val="0"/>
              <w:adjustRightInd w:val="0"/>
              <w:snapToGrid w:val="0"/>
              <w:jc w:val="left"/>
              <w:rPr>
                <w:rFonts w:ascii="宋体" w:hAnsi="宋体"/>
                <w:kern w:val="0"/>
                <w:szCs w:val="21"/>
                <w:highlight w:val="none"/>
              </w:rPr>
            </w:pPr>
          </w:p>
        </w:tc>
        <w:tc>
          <w:tcPr>
            <w:tcW w:w="2723" w:type="dxa"/>
          </w:tcPr>
          <w:p w14:paraId="6F885B3F">
            <w:pPr>
              <w:autoSpaceDE w:val="0"/>
              <w:autoSpaceDN w:val="0"/>
              <w:adjustRightInd w:val="0"/>
              <w:snapToGrid w:val="0"/>
              <w:jc w:val="left"/>
              <w:rPr>
                <w:rFonts w:ascii="宋体" w:hAnsi="宋体"/>
                <w:kern w:val="0"/>
                <w:szCs w:val="21"/>
                <w:highlight w:val="none"/>
              </w:rPr>
            </w:pPr>
          </w:p>
        </w:tc>
        <w:tc>
          <w:tcPr>
            <w:tcW w:w="896" w:type="dxa"/>
          </w:tcPr>
          <w:p w14:paraId="5B810DBD">
            <w:pPr>
              <w:autoSpaceDE w:val="0"/>
              <w:autoSpaceDN w:val="0"/>
              <w:adjustRightInd w:val="0"/>
              <w:snapToGrid w:val="0"/>
              <w:jc w:val="left"/>
              <w:rPr>
                <w:rFonts w:ascii="宋体" w:hAnsi="宋体"/>
                <w:kern w:val="0"/>
                <w:szCs w:val="21"/>
                <w:highlight w:val="none"/>
              </w:rPr>
            </w:pPr>
          </w:p>
        </w:tc>
      </w:tr>
      <w:tr w14:paraId="2ED506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B684D1">
            <w:pPr>
              <w:autoSpaceDE w:val="0"/>
              <w:autoSpaceDN w:val="0"/>
              <w:adjustRightInd w:val="0"/>
              <w:snapToGrid w:val="0"/>
              <w:jc w:val="left"/>
              <w:rPr>
                <w:rFonts w:ascii="宋体" w:hAnsi="宋体"/>
                <w:kern w:val="0"/>
                <w:szCs w:val="21"/>
                <w:highlight w:val="none"/>
              </w:rPr>
            </w:pPr>
          </w:p>
        </w:tc>
        <w:tc>
          <w:tcPr>
            <w:tcW w:w="734" w:type="dxa"/>
          </w:tcPr>
          <w:p w14:paraId="44D3A67B">
            <w:pPr>
              <w:autoSpaceDE w:val="0"/>
              <w:autoSpaceDN w:val="0"/>
              <w:adjustRightInd w:val="0"/>
              <w:snapToGrid w:val="0"/>
              <w:jc w:val="left"/>
              <w:rPr>
                <w:rFonts w:ascii="宋体" w:hAnsi="宋体"/>
                <w:kern w:val="0"/>
                <w:szCs w:val="21"/>
                <w:highlight w:val="none"/>
              </w:rPr>
            </w:pPr>
          </w:p>
        </w:tc>
        <w:tc>
          <w:tcPr>
            <w:tcW w:w="776" w:type="dxa"/>
          </w:tcPr>
          <w:p w14:paraId="686D0D01">
            <w:pPr>
              <w:autoSpaceDE w:val="0"/>
              <w:autoSpaceDN w:val="0"/>
              <w:adjustRightInd w:val="0"/>
              <w:snapToGrid w:val="0"/>
              <w:jc w:val="left"/>
              <w:rPr>
                <w:rFonts w:ascii="宋体" w:hAnsi="宋体"/>
                <w:kern w:val="0"/>
                <w:szCs w:val="21"/>
                <w:highlight w:val="none"/>
              </w:rPr>
            </w:pPr>
          </w:p>
        </w:tc>
        <w:tc>
          <w:tcPr>
            <w:tcW w:w="1167" w:type="dxa"/>
          </w:tcPr>
          <w:p w14:paraId="21C9FF6A">
            <w:pPr>
              <w:autoSpaceDE w:val="0"/>
              <w:autoSpaceDN w:val="0"/>
              <w:adjustRightInd w:val="0"/>
              <w:snapToGrid w:val="0"/>
              <w:jc w:val="left"/>
              <w:rPr>
                <w:rFonts w:ascii="宋体" w:hAnsi="宋体"/>
                <w:kern w:val="0"/>
                <w:szCs w:val="21"/>
                <w:highlight w:val="none"/>
              </w:rPr>
            </w:pPr>
          </w:p>
        </w:tc>
        <w:tc>
          <w:tcPr>
            <w:tcW w:w="776" w:type="dxa"/>
          </w:tcPr>
          <w:p w14:paraId="28D2B040">
            <w:pPr>
              <w:autoSpaceDE w:val="0"/>
              <w:autoSpaceDN w:val="0"/>
              <w:adjustRightInd w:val="0"/>
              <w:snapToGrid w:val="0"/>
              <w:jc w:val="left"/>
              <w:rPr>
                <w:rFonts w:ascii="宋体" w:hAnsi="宋体"/>
                <w:kern w:val="0"/>
                <w:szCs w:val="21"/>
                <w:highlight w:val="none"/>
              </w:rPr>
            </w:pPr>
          </w:p>
        </w:tc>
        <w:tc>
          <w:tcPr>
            <w:tcW w:w="778" w:type="dxa"/>
          </w:tcPr>
          <w:p w14:paraId="7CE4FB20">
            <w:pPr>
              <w:autoSpaceDE w:val="0"/>
              <w:autoSpaceDN w:val="0"/>
              <w:adjustRightInd w:val="0"/>
              <w:snapToGrid w:val="0"/>
              <w:jc w:val="left"/>
              <w:rPr>
                <w:rFonts w:ascii="宋体" w:hAnsi="宋体"/>
                <w:kern w:val="0"/>
                <w:szCs w:val="21"/>
                <w:highlight w:val="none"/>
              </w:rPr>
            </w:pPr>
          </w:p>
        </w:tc>
        <w:tc>
          <w:tcPr>
            <w:tcW w:w="776" w:type="dxa"/>
          </w:tcPr>
          <w:p w14:paraId="4DC6C638">
            <w:pPr>
              <w:autoSpaceDE w:val="0"/>
              <w:autoSpaceDN w:val="0"/>
              <w:adjustRightInd w:val="0"/>
              <w:snapToGrid w:val="0"/>
              <w:jc w:val="left"/>
              <w:rPr>
                <w:rFonts w:ascii="宋体" w:hAnsi="宋体"/>
                <w:kern w:val="0"/>
                <w:szCs w:val="21"/>
                <w:highlight w:val="none"/>
              </w:rPr>
            </w:pPr>
          </w:p>
        </w:tc>
        <w:tc>
          <w:tcPr>
            <w:tcW w:w="2723" w:type="dxa"/>
          </w:tcPr>
          <w:p w14:paraId="192A38B1">
            <w:pPr>
              <w:autoSpaceDE w:val="0"/>
              <w:autoSpaceDN w:val="0"/>
              <w:adjustRightInd w:val="0"/>
              <w:snapToGrid w:val="0"/>
              <w:jc w:val="left"/>
              <w:rPr>
                <w:rFonts w:ascii="宋体" w:hAnsi="宋体"/>
                <w:kern w:val="0"/>
                <w:szCs w:val="21"/>
                <w:highlight w:val="none"/>
              </w:rPr>
            </w:pPr>
          </w:p>
        </w:tc>
        <w:tc>
          <w:tcPr>
            <w:tcW w:w="896" w:type="dxa"/>
          </w:tcPr>
          <w:p w14:paraId="241DA47F">
            <w:pPr>
              <w:autoSpaceDE w:val="0"/>
              <w:autoSpaceDN w:val="0"/>
              <w:adjustRightInd w:val="0"/>
              <w:snapToGrid w:val="0"/>
              <w:jc w:val="left"/>
              <w:rPr>
                <w:rFonts w:ascii="宋体" w:hAnsi="宋体"/>
                <w:kern w:val="0"/>
                <w:szCs w:val="21"/>
                <w:highlight w:val="none"/>
              </w:rPr>
            </w:pPr>
          </w:p>
        </w:tc>
      </w:tr>
      <w:tr w14:paraId="1BF45C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214693">
            <w:pPr>
              <w:autoSpaceDE w:val="0"/>
              <w:autoSpaceDN w:val="0"/>
              <w:adjustRightInd w:val="0"/>
              <w:snapToGrid w:val="0"/>
              <w:jc w:val="left"/>
              <w:rPr>
                <w:rFonts w:ascii="宋体" w:hAnsi="宋体"/>
                <w:kern w:val="0"/>
                <w:szCs w:val="21"/>
                <w:highlight w:val="none"/>
              </w:rPr>
            </w:pPr>
          </w:p>
        </w:tc>
        <w:tc>
          <w:tcPr>
            <w:tcW w:w="734" w:type="dxa"/>
          </w:tcPr>
          <w:p w14:paraId="1BD38318">
            <w:pPr>
              <w:autoSpaceDE w:val="0"/>
              <w:autoSpaceDN w:val="0"/>
              <w:adjustRightInd w:val="0"/>
              <w:snapToGrid w:val="0"/>
              <w:jc w:val="left"/>
              <w:rPr>
                <w:rFonts w:ascii="宋体" w:hAnsi="宋体"/>
                <w:kern w:val="0"/>
                <w:szCs w:val="21"/>
                <w:highlight w:val="none"/>
              </w:rPr>
            </w:pPr>
          </w:p>
        </w:tc>
        <w:tc>
          <w:tcPr>
            <w:tcW w:w="776" w:type="dxa"/>
          </w:tcPr>
          <w:p w14:paraId="049EEF27">
            <w:pPr>
              <w:autoSpaceDE w:val="0"/>
              <w:autoSpaceDN w:val="0"/>
              <w:adjustRightInd w:val="0"/>
              <w:snapToGrid w:val="0"/>
              <w:jc w:val="left"/>
              <w:rPr>
                <w:rFonts w:ascii="宋体" w:hAnsi="宋体"/>
                <w:kern w:val="0"/>
                <w:szCs w:val="21"/>
                <w:highlight w:val="none"/>
              </w:rPr>
            </w:pPr>
          </w:p>
        </w:tc>
        <w:tc>
          <w:tcPr>
            <w:tcW w:w="1167" w:type="dxa"/>
          </w:tcPr>
          <w:p w14:paraId="6C11958C">
            <w:pPr>
              <w:autoSpaceDE w:val="0"/>
              <w:autoSpaceDN w:val="0"/>
              <w:adjustRightInd w:val="0"/>
              <w:snapToGrid w:val="0"/>
              <w:jc w:val="left"/>
              <w:rPr>
                <w:rFonts w:ascii="宋体" w:hAnsi="宋体"/>
                <w:kern w:val="0"/>
                <w:szCs w:val="21"/>
                <w:highlight w:val="none"/>
              </w:rPr>
            </w:pPr>
          </w:p>
        </w:tc>
        <w:tc>
          <w:tcPr>
            <w:tcW w:w="776" w:type="dxa"/>
          </w:tcPr>
          <w:p w14:paraId="40A667F3">
            <w:pPr>
              <w:autoSpaceDE w:val="0"/>
              <w:autoSpaceDN w:val="0"/>
              <w:adjustRightInd w:val="0"/>
              <w:snapToGrid w:val="0"/>
              <w:jc w:val="left"/>
              <w:rPr>
                <w:rFonts w:ascii="宋体" w:hAnsi="宋体"/>
                <w:kern w:val="0"/>
                <w:szCs w:val="21"/>
                <w:highlight w:val="none"/>
              </w:rPr>
            </w:pPr>
          </w:p>
        </w:tc>
        <w:tc>
          <w:tcPr>
            <w:tcW w:w="778" w:type="dxa"/>
          </w:tcPr>
          <w:p w14:paraId="4F5B38DC">
            <w:pPr>
              <w:autoSpaceDE w:val="0"/>
              <w:autoSpaceDN w:val="0"/>
              <w:adjustRightInd w:val="0"/>
              <w:snapToGrid w:val="0"/>
              <w:jc w:val="left"/>
              <w:rPr>
                <w:rFonts w:ascii="宋体" w:hAnsi="宋体"/>
                <w:kern w:val="0"/>
                <w:szCs w:val="21"/>
                <w:highlight w:val="none"/>
              </w:rPr>
            </w:pPr>
          </w:p>
        </w:tc>
        <w:tc>
          <w:tcPr>
            <w:tcW w:w="776" w:type="dxa"/>
          </w:tcPr>
          <w:p w14:paraId="202B36C4">
            <w:pPr>
              <w:autoSpaceDE w:val="0"/>
              <w:autoSpaceDN w:val="0"/>
              <w:adjustRightInd w:val="0"/>
              <w:snapToGrid w:val="0"/>
              <w:jc w:val="left"/>
              <w:rPr>
                <w:rFonts w:ascii="宋体" w:hAnsi="宋体"/>
                <w:kern w:val="0"/>
                <w:szCs w:val="21"/>
                <w:highlight w:val="none"/>
              </w:rPr>
            </w:pPr>
          </w:p>
        </w:tc>
        <w:tc>
          <w:tcPr>
            <w:tcW w:w="2723" w:type="dxa"/>
          </w:tcPr>
          <w:p w14:paraId="3544F155">
            <w:pPr>
              <w:autoSpaceDE w:val="0"/>
              <w:autoSpaceDN w:val="0"/>
              <w:adjustRightInd w:val="0"/>
              <w:snapToGrid w:val="0"/>
              <w:jc w:val="left"/>
              <w:rPr>
                <w:rFonts w:ascii="宋体" w:hAnsi="宋体"/>
                <w:kern w:val="0"/>
                <w:szCs w:val="21"/>
                <w:highlight w:val="none"/>
              </w:rPr>
            </w:pPr>
          </w:p>
        </w:tc>
        <w:tc>
          <w:tcPr>
            <w:tcW w:w="896" w:type="dxa"/>
          </w:tcPr>
          <w:p w14:paraId="3A48D005">
            <w:pPr>
              <w:autoSpaceDE w:val="0"/>
              <w:autoSpaceDN w:val="0"/>
              <w:adjustRightInd w:val="0"/>
              <w:snapToGrid w:val="0"/>
              <w:jc w:val="left"/>
              <w:rPr>
                <w:rFonts w:ascii="宋体" w:hAnsi="宋体"/>
                <w:kern w:val="0"/>
                <w:szCs w:val="21"/>
                <w:highlight w:val="none"/>
              </w:rPr>
            </w:pPr>
          </w:p>
        </w:tc>
      </w:tr>
      <w:tr w14:paraId="5D6B0A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9ED19E2">
            <w:pPr>
              <w:autoSpaceDE w:val="0"/>
              <w:autoSpaceDN w:val="0"/>
              <w:adjustRightInd w:val="0"/>
              <w:snapToGrid w:val="0"/>
              <w:jc w:val="left"/>
              <w:rPr>
                <w:rFonts w:ascii="宋体" w:hAnsi="宋体"/>
                <w:kern w:val="0"/>
                <w:szCs w:val="21"/>
                <w:highlight w:val="none"/>
              </w:rPr>
            </w:pPr>
          </w:p>
        </w:tc>
        <w:tc>
          <w:tcPr>
            <w:tcW w:w="734" w:type="dxa"/>
          </w:tcPr>
          <w:p w14:paraId="3A90B09A">
            <w:pPr>
              <w:autoSpaceDE w:val="0"/>
              <w:autoSpaceDN w:val="0"/>
              <w:adjustRightInd w:val="0"/>
              <w:snapToGrid w:val="0"/>
              <w:jc w:val="left"/>
              <w:rPr>
                <w:rFonts w:ascii="宋体" w:hAnsi="宋体"/>
                <w:kern w:val="0"/>
                <w:szCs w:val="21"/>
                <w:highlight w:val="none"/>
              </w:rPr>
            </w:pPr>
          </w:p>
        </w:tc>
        <w:tc>
          <w:tcPr>
            <w:tcW w:w="776" w:type="dxa"/>
          </w:tcPr>
          <w:p w14:paraId="07DCD837">
            <w:pPr>
              <w:autoSpaceDE w:val="0"/>
              <w:autoSpaceDN w:val="0"/>
              <w:adjustRightInd w:val="0"/>
              <w:snapToGrid w:val="0"/>
              <w:jc w:val="left"/>
              <w:rPr>
                <w:rFonts w:ascii="宋体" w:hAnsi="宋体"/>
                <w:kern w:val="0"/>
                <w:szCs w:val="21"/>
                <w:highlight w:val="none"/>
              </w:rPr>
            </w:pPr>
          </w:p>
        </w:tc>
        <w:tc>
          <w:tcPr>
            <w:tcW w:w="1167" w:type="dxa"/>
          </w:tcPr>
          <w:p w14:paraId="362C2BF2">
            <w:pPr>
              <w:autoSpaceDE w:val="0"/>
              <w:autoSpaceDN w:val="0"/>
              <w:adjustRightInd w:val="0"/>
              <w:snapToGrid w:val="0"/>
              <w:jc w:val="left"/>
              <w:rPr>
                <w:rFonts w:ascii="宋体" w:hAnsi="宋体"/>
                <w:kern w:val="0"/>
                <w:szCs w:val="21"/>
                <w:highlight w:val="none"/>
              </w:rPr>
            </w:pPr>
          </w:p>
        </w:tc>
        <w:tc>
          <w:tcPr>
            <w:tcW w:w="776" w:type="dxa"/>
          </w:tcPr>
          <w:p w14:paraId="182B9C7E">
            <w:pPr>
              <w:autoSpaceDE w:val="0"/>
              <w:autoSpaceDN w:val="0"/>
              <w:adjustRightInd w:val="0"/>
              <w:snapToGrid w:val="0"/>
              <w:jc w:val="left"/>
              <w:rPr>
                <w:rFonts w:ascii="宋体" w:hAnsi="宋体"/>
                <w:kern w:val="0"/>
                <w:szCs w:val="21"/>
                <w:highlight w:val="none"/>
              </w:rPr>
            </w:pPr>
          </w:p>
        </w:tc>
        <w:tc>
          <w:tcPr>
            <w:tcW w:w="778" w:type="dxa"/>
          </w:tcPr>
          <w:p w14:paraId="2933CDED">
            <w:pPr>
              <w:autoSpaceDE w:val="0"/>
              <w:autoSpaceDN w:val="0"/>
              <w:adjustRightInd w:val="0"/>
              <w:snapToGrid w:val="0"/>
              <w:jc w:val="left"/>
              <w:rPr>
                <w:rFonts w:ascii="宋体" w:hAnsi="宋体"/>
                <w:kern w:val="0"/>
                <w:szCs w:val="21"/>
                <w:highlight w:val="none"/>
              </w:rPr>
            </w:pPr>
          </w:p>
        </w:tc>
        <w:tc>
          <w:tcPr>
            <w:tcW w:w="776" w:type="dxa"/>
          </w:tcPr>
          <w:p w14:paraId="0CE0A3EC">
            <w:pPr>
              <w:autoSpaceDE w:val="0"/>
              <w:autoSpaceDN w:val="0"/>
              <w:adjustRightInd w:val="0"/>
              <w:snapToGrid w:val="0"/>
              <w:jc w:val="left"/>
              <w:rPr>
                <w:rFonts w:ascii="宋体" w:hAnsi="宋体"/>
                <w:kern w:val="0"/>
                <w:szCs w:val="21"/>
                <w:highlight w:val="none"/>
              </w:rPr>
            </w:pPr>
          </w:p>
        </w:tc>
        <w:tc>
          <w:tcPr>
            <w:tcW w:w="2723" w:type="dxa"/>
          </w:tcPr>
          <w:p w14:paraId="5EE8EAE7">
            <w:pPr>
              <w:autoSpaceDE w:val="0"/>
              <w:autoSpaceDN w:val="0"/>
              <w:adjustRightInd w:val="0"/>
              <w:snapToGrid w:val="0"/>
              <w:jc w:val="left"/>
              <w:rPr>
                <w:rFonts w:ascii="宋体" w:hAnsi="宋体"/>
                <w:kern w:val="0"/>
                <w:szCs w:val="21"/>
                <w:highlight w:val="none"/>
              </w:rPr>
            </w:pPr>
          </w:p>
        </w:tc>
        <w:tc>
          <w:tcPr>
            <w:tcW w:w="896" w:type="dxa"/>
          </w:tcPr>
          <w:p w14:paraId="7604B24C">
            <w:pPr>
              <w:autoSpaceDE w:val="0"/>
              <w:autoSpaceDN w:val="0"/>
              <w:adjustRightInd w:val="0"/>
              <w:snapToGrid w:val="0"/>
              <w:jc w:val="left"/>
              <w:rPr>
                <w:rFonts w:ascii="宋体" w:hAnsi="宋体"/>
                <w:kern w:val="0"/>
                <w:szCs w:val="21"/>
                <w:highlight w:val="none"/>
              </w:rPr>
            </w:pPr>
          </w:p>
        </w:tc>
      </w:tr>
      <w:tr w14:paraId="325938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DE9346">
            <w:pPr>
              <w:autoSpaceDE w:val="0"/>
              <w:autoSpaceDN w:val="0"/>
              <w:adjustRightInd w:val="0"/>
              <w:snapToGrid w:val="0"/>
              <w:jc w:val="left"/>
              <w:rPr>
                <w:rFonts w:ascii="宋体" w:hAnsi="宋体"/>
                <w:kern w:val="0"/>
                <w:szCs w:val="21"/>
                <w:highlight w:val="none"/>
              </w:rPr>
            </w:pPr>
          </w:p>
        </w:tc>
        <w:tc>
          <w:tcPr>
            <w:tcW w:w="734" w:type="dxa"/>
          </w:tcPr>
          <w:p w14:paraId="3784850F">
            <w:pPr>
              <w:autoSpaceDE w:val="0"/>
              <w:autoSpaceDN w:val="0"/>
              <w:adjustRightInd w:val="0"/>
              <w:snapToGrid w:val="0"/>
              <w:jc w:val="left"/>
              <w:rPr>
                <w:rFonts w:ascii="宋体" w:hAnsi="宋体"/>
                <w:kern w:val="0"/>
                <w:szCs w:val="21"/>
                <w:highlight w:val="none"/>
              </w:rPr>
            </w:pPr>
          </w:p>
        </w:tc>
        <w:tc>
          <w:tcPr>
            <w:tcW w:w="776" w:type="dxa"/>
          </w:tcPr>
          <w:p w14:paraId="22FD6012">
            <w:pPr>
              <w:autoSpaceDE w:val="0"/>
              <w:autoSpaceDN w:val="0"/>
              <w:adjustRightInd w:val="0"/>
              <w:snapToGrid w:val="0"/>
              <w:jc w:val="left"/>
              <w:rPr>
                <w:rFonts w:ascii="宋体" w:hAnsi="宋体"/>
                <w:kern w:val="0"/>
                <w:szCs w:val="21"/>
                <w:highlight w:val="none"/>
              </w:rPr>
            </w:pPr>
          </w:p>
        </w:tc>
        <w:tc>
          <w:tcPr>
            <w:tcW w:w="1167" w:type="dxa"/>
          </w:tcPr>
          <w:p w14:paraId="5D91389F">
            <w:pPr>
              <w:autoSpaceDE w:val="0"/>
              <w:autoSpaceDN w:val="0"/>
              <w:adjustRightInd w:val="0"/>
              <w:snapToGrid w:val="0"/>
              <w:jc w:val="left"/>
              <w:rPr>
                <w:rFonts w:ascii="宋体" w:hAnsi="宋体"/>
                <w:kern w:val="0"/>
                <w:szCs w:val="21"/>
                <w:highlight w:val="none"/>
              </w:rPr>
            </w:pPr>
          </w:p>
        </w:tc>
        <w:tc>
          <w:tcPr>
            <w:tcW w:w="776" w:type="dxa"/>
          </w:tcPr>
          <w:p w14:paraId="30840877">
            <w:pPr>
              <w:autoSpaceDE w:val="0"/>
              <w:autoSpaceDN w:val="0"/>
              <w:adjustRightInd w:val="0"/>
              <w:snapToGrid w:val="0"/>
              <w:jc w:val="left"/>
              <w:rPr>
                <w:rFonts w:ascii="宋体" w:hAnsi="宋体"/>
                <w:kern w:val="0"/>
                <w:szCs w:val="21"/>
                <w:highlight w:val="none"/>
              </w:rPr>
            </w:pPr>
          </w:p>
        </w:tc>
        <w:tc>
          <w:tcPr>
            <w:tcW w:w="778" w:type="dxa"/>
          </w:tcPr>
          <w:p w14:paraId="470251CB">
            <w:pPr>
              <w:autoSpaceDE w:val="0"/>
              <w:autoSpaceDN w:val="0"/>
              <w:adjustRightInd w:val="0"/>
              <w:snapToGrid w:val="0"/>
              <w:jc w:val="left"/>
              <w:rPr>
                <w:rFonts w:ascii="宋体" w:hAnsi="宋体"/>
                <w:kern w:val="0"/>
                <w:szCs w:val="21"/>
                <w:highlight w:val="none"/>
              </w:rPr>
            </w:pPr>
          </w:p>
        </w:tc>
        <w:tc>
          <w:tcPr>
            <w:tcW w:w="776" w:type="dxa"/>
          </w:tcPr>
          <w:p w14:paraId="16E5818A">
            <w:pPr>
              <w:autoSpaceDE w:val="0"/>
              <w:autoSpaceDN w:val="0"/>
              <w:adjustRightInd w:val="0"/>
              <w:snapToGrid w:val="0"/>
              <w:jc w:val="left"/>
              <w:rPr>
                <w:rFonts w:ascii="宋体" w:hAnsi="宋体"/>
                <w:kern w:val="0"/>
                <w:szCs w:val="21"/>
                <w:highlight w:val="none"/>
              </w:rPr>
            </w:pPr>
          </w:p>
        </w:tc>
        <w:tc>
          <w:tcPr>
            <w:tcW w:w="2723" w:type="dxa"/>
          </w:tcPr>
          <w:p w14:paraId="49A79E02">
            <w:pPr>
              <w:autoSpaceDE w:val="0"/>
              <w:autoSpaceDN w:val="0"/>
              <w:adjustRightInd w:val="0"/>
              <w:snapToGrid w:val="0"/>
              <w:jc w:val="left"/>
              <w:rPr>
                <w:rFonts w:ascii="宋体" w:hAnsi="宋体"/>
                <w:kern w:val="0"/>
                <w:szCs w:val="21"/>
                <w:highlight w:val="none"/>
              </w:rPr>
            </w:pPr>
          </w:p>
        </w:tc>
        <w:tc>
          <w:tcPr>
            <w:tcW w:w="896" w:type="dxa"/>
          </w:tcPr>
          <w:p w14:paraId="27218823">
            <w:pPr>
              <w:autoSpaceDE w:val="0"/>
              <w:autoSpaceDN w:val="0"/>
              <w:adjustRightInd w:val="0"/>
              <w:snapToGrid w:val="0"/>
              <w:jc w:val="left"/>
              <w:rPr>
                <w:rFonts w:ascii="宋体" w:hAnsi="宋体"/>
                <w:kern w:val="0"/>
                <w:szCs w:val="21"/>
                <w:highlight w:val="none"/>
              </w:rPr>
            </w:pPr>
          </w:p>
        </w:tc>
      </w:tr>
      <w:tr w14:paraId="5D76E8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2B2FFB">
            <w:pPr>
              <w:autoSpaceDE w:val="0"/>
              <w:autoSpaceDN w:val="0"/>
              <w:adjustRightInd w:val="0"/>
              <w:snapToGrid w:val="0"/>
              <w:jc w:val="left"/>
              <w:rPr>
                <w:rFonts w:ascii="宋体" w:hAnsi="宋体"/>
                <w:kern w:val="0"/>
                <w:szCs w:val="21"/>
                <w:highlight w:val="none"/>
              </w:rPr>
            </w:pPr>
          </w:p>
        </w:tc>
        <w:tc>
          <w:tcPr>
            <w:tcW w:w="734" w:type="dxa"/>
          </w:tcPr>
          <w:p w14:paraId="731B87ED">
            <w:pPr>
              <w:autoSpaceDE w:val="0"/>
              <w:autoSpaceDN w:val="0"/>
              <w:adjustRightInd w:val="0"/>
              <w:snapToGrid w:val="0"/>
              <w:jc w:val="left"/>
              <w:rPr>
                <w:rFonts w:ascii="宋体" w:hAnsi="宋体"/>
                <w:kern w:val="0"/>
                <w:szCs w:val="21"/>
                <w:highlight w:val="none"/>
              </w:rPr>
            </w:pPr>
          </w:p>
        </w:tc>
        <w:tc>
          <w:tcPr>
            <w:tcW w:w="776" w:type="dxa"/>
          </w:tcPr>
          <w:p w14:paraId="5F450F37">
            <w:pPr>
              <w:autoSpaceDE w:val="0"/>
              <w:autoSpaceDN w:val="0"/>
              <w:adjustRightInd w:val="0"/>
              <w:snapToGrid w:val="0"/>
              <w:jc w:val="left"/>
              <w:rPr>
                <w:rFonts w:ascii="宋体" w:hAnsi="宋体"/>
                <w:kern w:val="0"/>
                <w:szCs w:val="21"/>
                <w:highlight w:val="none"/>
              </w:rPr>
            </w:pPr>
          </w:p>
        </w:tc>
        <w:tc>
          <w:tcPr>
            <w:tcW w:w="1167" w:type="dxa"/>
          </w:tcPr>
          <w:p w14:paraId="42522CD2">
            <w:pPr>
              <w:autoSpaceDE w:val="0"/>
              <w:autoSpaceDN w:val="0"/>
              <w:adjustRightInd w:val="0"/>
              <w:snapToGrid w:val="0"/>
              <w:jc w:val="left"/>
              <w:rPr>
                <w:rFonts w:ascii="宋体" w:hAnsi="宋体"/>
                <w:kern w:val="0"/>
                <w:szCs w:val="21"/>
                <w:highlight w:val="none"/>
              </w:rPr>
            </w:pPr>
          </w:p>
        </w:tc>
        <w:tc>
          <w:tcPr>
            <w:tcW w:w="776" w:type="dxa"/>
          </w:tcPr>
          <w:p w14:paraId="3BB6BECF">
            <w:pPr>
              <w:autoSpaceDE w:val="0"/>
              <w:autoSpaceDN w:val="0"/>
              <w:adjustRightInd w:val="0"/>
              <w:snapToGrid w:val="0"/>
              <w:jc w:val="left"/>
              <w:rPr>
                <w:rFonts w:ascii="宋体" w:hAnsi="宋体"/>
                <w:kern w:val="0"/>
                <w:szCs w:val="21"/>
                <w:highlight w:val="none"/>
              </w:rPr>
            </w:pPr>
          </w:p>
        </w:tc>
        <w:tc>
          <w:tcPr>
            <w:tcW w:w="778" w:type="dxa"/>
          </w:tcPr>
          <w:p w14:paraId="1DDA0D4F">
            <w:pPr>
              <w:autoSpaceDE w:val="0"/>
              <w:autoSpaceDN w:val="0"/>
              <w:adjustRightInd w:val="0"/>
              <w:snapToGrid w:val="0"/>
              <w:jc w:val="left"/>
              <w:rPr>
                <w:rFonts w:ascii="宋体" w:hAnsi="宋体"/>
                <w:kern w:val="0"/>
                <w:szCs w:val="21"/>
                <w:highlight w:val="none"/>
              </w:rPr>
            </w:pPr>
          </w:p>
        </w:tc>
        <w:tc>
          <w:tcPr>
            <w:tcW w:w="776" w:type="dxa"/>
          </w:tcPr>
          <w:p w14:paraId="0F93F6EB">
            <w:pPr>
              <w:autoSpaceDE w:val="0"/>
              <w:autoSpaceDN w:val="0"/>
              <w:adjustRightInd w:val="0"/>
              <w:snapToGrid w:val="0"/>
              <w:jc w:val="left"/>
              <w:rPr>
                <w:rFonts w:ascii="宋体" w:hAnsi="宋体"/>
                <w:kern w:val="0"/>
                <w:szCs w:val="21"/>
                <w:highlight w:val="none"/>
              </w:rPr>
            </w:pPr>
          </w:p>
        </w:tc>
        <w:tc>
          <w:tcPr>
            <w:tcW w:w="2723" w:type="dxa"/>
          </w:tcPr>
          <w:p w14:paraId="5320D899">
            <w:pPr>
              <w:autoSpaceDE w:val="0"/>
              <w:autoSpaceDN w:val="0"/>
              <w:adjustRightInd w:val="0"/>
              <w:snapToGrid w:val="0"/>
              <w:jc w:val="left"/>
              <w:rPr>
                <w:rFonts w:ascii="宋体" w:hAnsi="宋体"/>
                <w:kern w:val="0"/>
                <w:szCs w:val="21"/>
                <w:highlight w:val="none"/>
              </w:rPr>
            </w:pPr>
          </w:p>
        </w:tc>
        <w:tc>
          <w:tcPr>
            <w:tcW w:w="896" w:type="dxa"/>
          </w:tcPr>
          <w:p w14:paraId="078D0DC5">
            <w:pPr>
              <w:autoSpaceDE w:val="0"/>
              <w:autoSpaceDN w:val="0"/>
              <w:adjustRightInd w:val="0"/>
              <w:snapToGrid w:val="0"/>
              <w:jc w:val="left"/>
              <w:rPr>
                <w:rFonts w:ascii="宋体" w:hAnsi="宋体"/>
                <w:kern w:val="0"/>
                <w:szCs w:val="21"/>
                <w:highlight w:val="none"/>
              </w:rPr>
            </w:pPr>
          </w:p>
        </w:tc>
      </w:tr>
      <w:tr w14:paraId="4D0772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B88446">
            <w:pPr>
              <w:autoSpaceDE w:val="0"/>
              <w:autoSpaceDN w:val="0"/>
              <w:adjustRightInd w:val="0"/>
              <w:snapToGrid w:val="0"/>
              <w:jc w:val="left"/>
              <w:rPr>
                <w:rFonts w:ascii="宋体" w:hAnsi="宋体"/>
                <w:kern w:val="0"/>
                <w:szCs w:val="21"/>
                <w:highlight w:val="none"/>
              </w:rPr>
            </w:pPr>
          </w:p>
        </w:tc>
        <w:tc>
          <w:tcPr>
            <w:tcW w:w="734" w:type="dxa"/>
          </w:tcPr>
          <w:p w14:paraId="61934D7D">
            <w:pPr>
              <w:autoSpaceDE w:val="0"/>
              <w:autoSpaceDN w:val="0"/>
              <w:adjustRightInd w:val="0"/>
              <w:snapToGrid w:val="0"/>
              <w:jc w:val="left"/>
              <w:rPr>
                <w:rFonts w:ascii="宋体" w:hAnsi="宋体"/>
                <w:kern w:val="0"/>
                <w:szCs w:val="21"/>
                <w:highlight w:val="none"/>
              </w:rPr>
            </w:pPr>
          </w:p>
        </w:tc>
        <w:tc>
          <w:tcPr>
            <w:tcW w:w="776" w:type="dxa"/>
          </w:tcPr>
          <w:p w14:paraId="261EE9F1">
            <w:pPr>
              <w:autoSpaceDE w:val="0"/>
              <w:autoSpaceDN w:val="0"/>
              <w:adjustRightInd w:val="0"/>
              <w:snapToGrid w:val="0"/>
              <w:jc w:val="left"/>
              <w:rPr>
                <w:rFonts w:ascii="宋体" w:hAnsi="宋体"/>
                <w:kern w:val="0"/>
                <w:szCs w:val="21"/>
                <w:highlight w:val="none"/>
              </w:rPr>
            </w:pPr>
          </w:p>
        </w:tc>
        <w:tc>
          <w:tcPr>
            <w:tcW w:w="1167" w:type="dxa"/>
          </w:tcPr>
          <w:p w14:paraId="05AAD77B">
            <w:pPr>
              <w:autoSpaceDE w:val="0"/>
              <w:autoSpaceDN w:val="0"/>
              <w:adjustRightInd w:val="0"/>
              <w:snapToGrid w:val="0"/>
              <w:jc w:val="left"/>
              <w:rPr>
                <w:rFonts w:ascii="宋体" w:hAnsi="宋体"/>
                <w:kern w:val="0"/>
                <w:szCs w:val="21"/>
                <w:highlight w:val="none"/>
              </w:rPr>
            </w:pPr>
          </w:p>
        </w:tc>
        <w:tc>
          <w:tcPr>
            <w:tcW w:w="776" w:type="dxa"/>
          </w:tcPr>
          <w:p w14:paraId="76175C86">
            <w:pPr>
              <w:autoSpaceDE w:val="0"/>
              <w:autoSpaceDN w:val="0"/>
              <w:adjustRightInd w:val="0"/>
              <w:snapToGrid w:val="0"/>
              <w:jc w:val="left"/>
              <w:rPr>
                <w:rFonts w:ascii="宋体" w:hAnsi="宋体"/>
                <w:kern w:val="0"/>
                <w:szCs w:val="21"/>
                <w:highlight w:val="none"/>
              </w:rPr>
            </w:pPr>
          </w:p>
        </w:tc>
        <w:tc>
          <w:tcPr>
            <w:tcW w:w="778" w:type="dxa"/>
          </w:tcPr>
          <w:p w14:paraId="508A2849">
            <w:pPr>
              <w:autoSpaceDE w:val="0"/>
              <w:autoSpaceDN w:val="0"/>
              <w:adjustRightInd w:val="0"/>
              <w:snapToGrid w:val="0"/>
              <w:jc w:val="left"/>
              <w:rPr>
                <w:rFonts w:ascii="宋体" w:hAnsi="宋体"/>
                <w:kern w:val="0"/>
                <w:szCs w:val="21"/>
                <w:highlight w:val="none"/>
              </w:rPr>
            </w:pPr>
          </w:p>
        </w:tc>
        <w:tc>
          <w:tcPr>
            <w:tcW w:w="776" w:type="dxa"/>
          </w:tcPr>
          <w:p w14:paraId="38C71E7A">
            <w:pPr>
              <w:autoSpaceDE w:val="0"/>
              <w:autoSpaceDN w:val="0"/>
              <w:adjustRightInd w:val="0"/>
              <w:snapToGrid w:val="0"/>
              <w:jc w:val="left"/>
              <w:rPr>
                <w:rFonts w:ascii="宋体" w:hAnsi="宋体"/>
                <w:kern w:val="0"/>
                <w:szCs w:val="21"/>
                <w:highlight w:val="none"/>
              </w:rPr>
            </w:pPr>
          </w:p>
        </w:tc>
        <w:tc>
          <w:tcPr>
            <w:tcW w:w="2723" w:type="dxa"/>
          </w:tcPr>
          <w:p w14:paraId="053F11D6">
            <w:pPr>
              <w:autoSpaceDE w:val="0"/>
              <w:autoSpaceDN w:val="0"/>
              <w:adjustRightInd w:val="0"/>
              <w:snapToGrid w:val="0"/>
              <w:jc w:val="left"/>
              <w:rPr>
                <w:rFonts w:ascii="宋体" w:hAnsi="宋体"/>
                <w:kern w:val="0"/>
                <w:szCs w:val="21"/>
                <w:highlight w:val="none"/>
              </w:rPr>
            </w:pPr>
          </w:p>
        </w:tc>
        <w:tc>
          <w:tcPr>
            <w:tcW w:w="896" w:type="dxa"/>
          </w:tcPr>
          <w:p w14:paraId="6239C6B5">
            <w:pPr>
              <w:autoSpaceDE w:val="0"/>
              <w:autoSpaceDN w:val="0"/>
              <w:adjustRightInd w:val="0"/>
              <w:snapToGrid w:val="0"/>
              <w:jc w:val="left"/>
              <w:rPr>
                <w:rFonts w:ascii="宋体" w:hAnsi="宋体"/>
                <w:kern w:val="0"/>
                <w:szCs w:val="21"/>
                <w:highlight w:val="none"/>
              </w:rPr>
            </w:pPr>
          </w:p>
        </w:tc>
      </w:tr>
      <w:tr w14:paraId="5AA44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9E98A8">
            <w:pPr>
              <w:autoSpaceDE w:val="0"/>
              <w:autoSpaceDN w:val="0"/>
              <w:adjustRightInd w:val="0"/>
              <w:snapToGrid w:val="0"/>
              <w:jc w:val="left"/>
              <w:rPr>
                <w:rFonts w:ascii="宋体" w:hAnsi="宋体"/>
                <w:kern w:val="0"/>
                <w:szCs w:val="21"/>
                <w:highlight w:val="none"/>
              </w:rPr>
            </w:pPr>
          </w:p>
        </w:tc>
        <w:tc>
          <w:tcPr>
            <w:tcW w:w="734" w:type="dxa"/>
          </w:tcPr>
          <w:p w14:paraId="61A2B98F">
            <w:pPr>
              <w:autoSpaceDE w:val="0"/>
              <w:autoSpaceDN w:val="0"/>
              <w:adjustRightInd w:val="0"/>
              <w:snapToGrid w:val="0"/>
              <w:jc w:val="left"/>
              <w:rPr>
                <w:rFonts w:ascii="宋体" w:hAnsi="宋体"/>
                <w:kern w:val="0"/>
                <w:szCs w:val="21"/>
                <w:highlight w:val="none"/>
              </w:rPr>
            </w:pPr>
          </w:p>
        </w:tc>
        <w:tc>
          <w:tcPr>
            <w:tcW w:w="776" w:type="dxa"/>
          </w:tcPr>
          <w:p w14:paraId="071473AC">
            <w:pPr>
              <w:autoSpaceDE w:val="0"/>
              <w:autoSpaceDN w:val="0"/>
              <w:adjustRightInd w:val="0"/>
              <w:snapToGrid w:val="0"/>
              <w:jc w:val="left"/>
              <w:rPr>
                <w:rFonts w:ascii="宋体" w:hAnsi="宋体"/>
                <w:kern w:val="0"/>
                <w:szCs w:val="21"/>
                <w:highlight w:val="none"/>
              </w:rPr>
            </w:pPr>
          </w:p>
        </w:tc>
        <w:tc>
          <w:tcPr>
            <w:tcW w:w="1167" w:type="dxa"/>
          </w:tcPr>
          <w:p w14:paraId="00C48918">
            <w:pPr>
              <w:autoSpaceDE w:val="0"/>
              <w:autoSpaceDN w:val="0"/>
              <w:adjustRightInd w:val="0"/>
              <w:snapToGrid w:val="0"/>
              <w:jc w:val="left"/>
              <w:rPr>
                <w:rFonts w:ascii="宋体" w:hAnsi="宋体"/>
                <w:kern w:val="0"/>
                <w:szCs w:val="21"/>
                <w:highlight w:val="none"/>
              </w:rPr>
            </w:pPr>
          </w:p>
        </w:tc>
        <w:tc>
          <w:tcPr>
            <w:tcW w:w="776" w:type="dxa"/>
          </w:tcPr>
          <w:p w14:paraId="3A5D1C5B">
            <w:pPr>
              <w:autoSpaceDE w:val="0"/>
              <w:autoSpaceDN w:val="0"/>
              <w:adjustRightInd w:val="0"/>
              <w:snapToGrid w:val="0"/>
              <w:jc w:val="left"/>
              <w:rPr>
                <w:rFonts w:ascii="宋体" w:hAnsi="宋体"/>
                <w:kern w:val="0"/>
                <w:szCs w:val="21"/>
                <w:highlight w:val="none"/>
              </w:rPr>
            </w:pPr>
          </w:p>
        </w:tc>
        <w:tc>
          <w:tcPr>
            <w:tcW w:w="778" w:type="dxa"/>
          </w:tcPr>
          <w:p w14:paraId="03F92D83">
            <w:pPr>
              <w:autoSpaceDE w:val="0"/>
              <w:autoSpaceDN w:val="0"/>
              <w:adjustRightInd w:val="0"/>
              <w:snapToGrid w:val="0"/>
              <w:jc w:val="left"/>
              <w:rPr>
                <w:rFonts w:ascii="宋体" w:hAnsi="宋体"/>
                <w:kern w:val="0"/>
                <w:szCs w:val="21"/>
                <w:highlight w:val="none"/>
              </w:rPr>
            </w:pPr>
          </w:p>
        </w:tc>
        <w:tc>
          <w:tcPr>
            <w:tcW w:w="776" w:type="dxa"/>
          </w:tcPr>
          <w:p w14:paraId="197EB5ED">
            <w:pPr>
              <w:autoSpaceDE w:val="0"/>
              <w:autoSpaceDN w:val="0"/>
              <w:adjustRightInd w:val="0"/>
              <w:snapToGrid w:val="0"/>
              <w:jc w:val="left"/>
              <w:rPr>
                <w:rFonts w:ascii="宋体" w:hAnsi="宋体"/>
                <w:kern w:val="0"/>
                <w:szCs w:val="21"/>
                <w:highlight w:val="none"/>
              </w:rPr>
            </w:pPr>
          </w:p>
        </w:tc>
        <w:tc>
          <w:tcPr>
            <w:tcW w:w="2723" w:type="dxa"/>
          </w:tcPr>
          <w:p w14:paraId="7FDE1EE8">
            <w:pPr>
              <w:autoSpaceDE w:val="0"/>
              <w:autoSpaceDN w:val="0"/>
              <w:adjustRightInd w:val="0"/>
              <w:snapToGrid w:val="0"/>
              <w:jc w:val="left"/>
              <w:rPr>
                <w:rFonts w:ascii="宋体" w:hAnsi="宋体"/>
                <w:kern w:val="0"/>
                <w:szCs w:val="21"/>
                <w:highlight w:val="none"/>
              </w:rPr>
            </w:pPr>
          </w:p>
        </w:tc>
        <w:tc>
          <w:tcPr>
            <w:tcW w:w="896" w:type="dxa"/>
          </w:tcPr>
          <w:p w14:paraId="1EC587D1">
            <w:pPr>
              <w:autoSpaceDE w:val="0"/>
              <w:autoSpaceDN w:val="0"/>
              <w:adjustRightInd w:val="0"/>
              <w:snapToGrid w:val="0"/>
              <w:jc w:val="left"/>
              <w:rPr>
                <w:rFonts w:ascii="宋体" w:hAnsi="宋体"/>
                <w:kern w:val="0"/>
                <w:szCs w:val="21"/>
                <w:highlight w:val="none"/>
              </w:rPr>
            </w:pPr>
          </w:p>
        </w:tc>
      </w:tr>
      <w:tr w14:paraId="0607A5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5F6E7F">
            <w:pPr>
              <w:autoSpaceDE w:val="0"/>
              <w:autoSpaceDN w:val="0"/>
              <w:adjustRightInd w:val="0"/>
              <w:snapToGrid w:val="0"/>
              <w:jc w:val="left"/>
              <w:rPr>
                <w:rFonts w:ascii="宋体" w:hAnsi="宋体"/>
                <w:kern w:val="0"/>
                <w:szCs w:val="21"/>
                <w:highlight w:val="none"/>
              </w:rPr>
            </w:pPr>
          </w:p>
        </w:tc>
        <w:tc>
          <w:tcPr>
            <w:tcW w:w="734" w:type="dxa"/>
          </w:tcPr>
          <w:p w14:paraId="14DE51E4">
            <w:pPr>
              <w:autoSpaceDE w:val="0"/>
              <w:autoSpaceDN w:val="0"/>
              <w:adjustRightInd w:val="0"/>
              <w:snapToGrid w:val="0"/>
              <w:jc w:val="left"/>
              <w:rPr>
                <w:rFonts w:ascii="宋体" w:hAnsi="宋体"/>
                <w:kern w:val="0"/>
                <w:szCs w:val="21"/>
                <w:highlight w:val="none"/>
              </w:rPr>
            </w:pPr>
          </w:p>
        </w:tc>
        <w:tc>
          <w:tcPr>
            <w:tcW w:w="776" w:type="dxa"/>
          </w:tcPr>
          <w:p w14:paraId="03CD561E">
            <w:pPr>
              <w:autoSpaceDE w:val="0"/>
              <w:autoSpaceDN w:val="0"/>
              <w:adjustRightInd w:val="0"/>
              <w:snapToGrid w:val="0"/>
              <w:jc w:val="left"/>
              <w:rPr>
                <w:rFonts w:ascii="宋体" w:hAnsi="宋体"/>
                <w:kern w:val="0"/>
                <w:szCs w:val="21"/>
                <w:highlight w:val="none"/>
              </w:rPr>
            </w:pPr>
          </w:p>
        </w:tc>
        <w:tc>
          <w:tcPr>
            <w:tcW w:w="1167" w:type="dxa"/>
          </w:tcPr>
          <w:p w14:paraId="31E7AE44">
            <w:pPr>
              <w:autoSpaceDE w:val="0"/>
              <w:autoSpaceDN w:val="0"/>
              <w:adjustRightInd w:val="0"/>
              <w:snapToGrid w:val="0"/>
              <w:jc w:val="left"/>
              <w:rPr>
                <w:rFonts w:ascii="宋体" w:hAnsi="宋体"/>
                <w:kern w:val="0"/>
                <w:szCs w:val="21"/>
                <w:highlight w:val="none"/>
              </w:rPr>
            </w:pPr>
          </w:p>
        </w:tc>
        <w:tc>
          <w:tcPr>
            <w:tcW w:w="776" w:type="dxa"/>
          </w:tcPr>
          <w:p w14:paraId="6319C0A6">
            <w:pPr>
              <w:autoSpaceDE w:val="0"/>
              <w:autoSpaceDN w:val="0"/>
              <w:adjustRightInd w:val="0"/>
              <w:snapToGrid w:val="0"/>
              <w:jc w:val="left"/>
              <w:rPr>
                <w:rFonts w:ascii="宋体" w:hAnsi="宋体"/>
                <w:kern w:val="0"/>
                <w:szCs w:val="21"/>
                <w:highlight w:val="none"/>
              </w:rPr>
            </w:pPr>
          </w:p>
        </w:tc>
        <w:tc>
          <w:tcPr>
            <w:tcW w:w="778" w:type="dxa"/>
          </w:tcPr>
          <w:p w14:paraId="632D3CED">
            <w:pPr>
              <w:autoSpaceDE w:val="0"/>
              <w:autoSpaceDN w:val="0"/>
              <w:adjustRightInd w:val="0"/>
              <w:snapToGrid w:val="0"/>
              <w:jc w:val="left"/>
              <w:rPr>
                <w:rFonts w:ascii="宋体" w:hAnsi="宋体"/>
                <w:kern w:val="0"/>
                <w:szCs w:val="21"/>
                <w:highlight w:val="none"/>
              </w:rPr>
            </w:pPr>
          </w:p>
        </w:tc>
        <w:tc>
          <w:tcPr>
            <w:tcW w:w="776" w:type="dxa"/>
          </w:tcPr>
          <w:p w14:paraId="18375040">
            <w:pPr>
              <w:autoSpaceDE w:val="0"/>
              <w:autoSpaceDN w:val="0"/>
              <w:adjustRightInd w:val="0"/>
              <w:snapToGrid w:val="0"/>
              <w:jc w:val="left"/>
              <w:rPr>
                <w:rFonts w:ascii="宋体" w:hAnsi="宋体"/>
                <w:kern w:val="0"/>
                <w:szCs w:val="21"/>
                <w:highlight w:val="none"/>
              </w:rPr>
            </w:pPr>
          </w:p>
        </w:tc>
        <w:tc>
          <w:tcPr>
            <w:tcW w:w="2723" w:type="dxa"/>
          </w:tcPr>
          <w:p w14:paraId="40C76360">
            <w:pPr>
              <w:autoSpaceDE w:val="0"/>
              <w:autoSpaceDN w:val="0"/>
              <w:adjustRightInd w:val="0"/>
              <w:snapToGrid w:val="0"/>
              <w:jc w:val="left"/>
              <w:rPr>
                <w:rFonts w:ascii="宋体" w:hAnsi="宋体"/>
                <w:kern w:val="0"/>
                <w:szCs w:val="21"/>
                <w:highlight w:val="none"/>
              </w:rPr>
            </w:pPr>
          </w:p>
        </w:tc>
        <w:tc>
          <w:tcPr>
            <w:tcW w:w="896" w:type="dxa"/>
          </w:tcPr>
          <w:p w14:paraId="310CF76C">
            <w:pPr>
              <w:autoSpaceDE w:val="0"/>
              <w:autoSpaceDN w:val="0"/>
              <w:adjustRightInd w:val="0"/>
              <w:snapToGrid w:val="0"/>
              <w:jc w:val="left"/>
              <w:rPr>
                <w:rFonts w:ascii="宋体" w:hAnsi="宋体"/>
                <w:kern w:val="0"/>
                <w:szCs w:val="21"/>
                <w:highlight w:val="none"/>
              </w:rPr>
            </w:pPr>
          </w:p>
        </w:tc>
      </w:tr>
      <w:tr w14:paraId="63FC8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57AA588">
            <w:pPr>
              <w:autoSpaceDE w:val="0"/>
              <w:autoSpaceDN w:val="0"/>
              <w:adjustRightInd w:val="0"/>
              <w:snapToGrid w:val="0"/>
              <w:jc w:val="left"/>
              <w:rPr>
                <w:rFonts w:ascii="宋体" w:hAnsi="宋体"/>
                <w:kern w:val="0"/>
                <w:szCs w:val="21"/>
                <w:highlight w:val="none"/>
              </w:rPr>
            </w:pPr>
          </w:p>
        </w:tc>
        <w:tc>
          <w:tcPr>
            <w:tcW w:w="734" w:type="dxa"/>
          </w:tcPr>
          <w:p w14:paraId="6C83EE4A">
            <w:pPr>
              <w:autoSpaceDE w:val="0"/>
              <w:autoSpaceDN w:val="0"/>
              <w:adjustRightInd w:val="0"/>
              <w:snapToGrid w:val="0"/>
              <w:jc w:val="left"/>
              <w:rPr>
                <w:rFonts w:ascii="宋体" w:hAnsi="宋体"/>
                <w:kern w:val="0"/>
                <w:szCs w:val="21"/>
                <w:highlight w:val="none"/>
              </w:rPr>
            </w:pPr>
          </w:p>
        </w:tc>
        <w:tc>
          <w:tcPr>
            <w:tcW w:w="776" w:type="dxa"/>
          </w:tcPr>
          <w:p w14:paraId="6308EEDA">
            <w:pPr>
              <w:autoSpaceDE w:val="0"/>
              <w:autoSpaceDN w:val="0"/>
              <w:adjustRightInd w:val="0"/>
              <w:snapToGrid w:val="0"/>
              <w:jc w:val="left"/>
              <w:rPr>
                <w:rFonts w:ascii="宋体" w:hAnsi="宋体"/>
                <w:kern w:val="0"/>
                <w:szCs w:val="21"/>
                <w:highlight w:val="none"/>
              </w:rPr>
            </w:pPr>
          </w:p>
        </w:tc>
        <w:tc>
          <w:tcPr>
            <w:tcW w:w="1167" w:type="dxa"/>
          </w:tcPr>
          <w:p w14:paraId="4B331FB3">
            <w:pPr>
              <w:autoSpaceDE w:val="0"/>
              <w:autoSpaceDN w:val="0"/>
              <w:adjustRightInd w:val="0"/>
              <w:snapToGrid w:val="0"/>
              <w:jc w:val="left"/>
              <w:rPr>
                <w:rFonts w:ascii="宋体" w:hAnsi="宋体"/>
                <w:kern w:val="0"/>
                <w:szCs w:val="21"/>
                <w:highlight w:val="none"/>
              </w:rPr>
            </w:pPr>
          </w:p>
        </w:tc>
        <w:tc>
          <w:tcPr>
            <w:tcW w:w="776" w:type="dxa"/>
          </w:tcPr>
          <w:p w14:paraId="6B929DF0">
            <w:pPr>
              <w:autoSpaceDE w:val="0"/>
              <w:autoSpaceDN w:val="0"/>
              <w:adjustRightInd w:val="0"/>
              <w:snapToGrid w:val="0"/>
              <w:jc w:val="left"/>
              <w:rPr>
                <w:rFonts w:ascii="宋体" w:hAnsi="宋体"/>
                <w:kern w:val="0"/>
                <w:szCs w:val="21"/>
                <w:highlight w:val="none"/>
              </w:rPr>
            </w:pPr>
          </w:p>
        </w:tc>
        <w:tc>
          <w:tcPr>
            <w:tcW w:w="778" w:type="dxa"/>
          </w:tcPr>
          <w:p w14:paraId="33F4B49A">
            <w:pPr>
              <w:autoSpaceDE w:val="0"/>
              <w:autoSpaceDN w:val="0"/>
              <w:adjustRightInd w:val="0"/>
              <w:snapToGrid w:val="0"/>
              <w:jc w:val="left"/>
              <w:rPr>
                <w:rFonts w:ascii="宋体" w:hAnsi="宋体"/>
                <w:kern w:val="0"/>
                <w:szCs w:val="21"/>
                <w:highlight w:val="none"/>
              </w:rPr>
            </w:pPr>
          </w:p>
        </w:tc>
        <w:tc>
          <w:tcPr>
            <w:tcW w:w="776" w:type="dxa"/>
          </w:tcPr>
          <w:p w14:paraId="7A79BA6B">
            <w:pPr>
              <w:autoSpaceDE w:val="0"/>
              <w:autoSpaceDN w:val="0"/>
              <w:adjustRightInd w:val="0"/>
              <w:snapToGrid w:val="0"/>
              <w:jc w:val="left"/>
              <w:rPr>
                <w:rFonts w:ascii="宋体" w:hAnsi="宋体"/>
                <w:kern w:val="0"/>
                <w:szCs w:val="21"/>
                <w:highlight w:val="none"/>
              </w:rPr>
            </w:pPr>
          </w:p>
        </w:tc>
        <w:tc>
          <w:tcPr>
            <w:tcW w:w="2723" w:type="dxa"/>
          </w:tcPr>
          <w:p w14:paraId="60E0C62C">
            <w:pPr>
              <w:autoSpaceDE w:val="0"/>
              <w:autoSpaceDN w:val="0"/>
              <w:adjustRightInd w:val="0"/>
              <w:snapToGrid w:val="0"/>
              <w:jc w:val="left"/>
              <w:rPr>
                <w:rFonts w:ascii="宋体" w:hAnsi="宋体"/>
                <w:kern w:val="0"/>
                <w:szCs w:val="21"/>
                <w:highlight w:val="none"/>
              </w:rPr>
            </w:pPr>
          </w:p>
        </w:tc>
        <w:tc>
          <w:tcPr>
            <w:tcW w:w="896" w:type="dxa"/>
          </w:tcPr>
          <w:p w14:paraId="3CC43FEF">
            <w:pPr>
              <w:autoSpaceDE w:val="0"/>
              <w:autoSpaceDN w:val="0"/>
              <w:adjustRightInd w:val="0"/>
              <w:snapToGrid w:val="0"/>
              <w:jc w:val="left"/>
              <w:rPr>
                <w:rFonts w:ascii="宋体" w:hAnsi="宋体"/>
                <w:kern w:val="0"/>
                <w:szCs w:val="21"/>
                <w:highlight w:val="none"/>
              </w:rPr>
            </w:pPr>
          </w:p>
        </w:tc>
      </w:tr>
      <w:tr w14:paraId="02E27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9F891F">
            <w:pPr>
              <w:autoSpaceDE w:val="0"/>
              <w:autoSpaceDN w:val="0"/>
              <w:adjustRightInd w:val="0"/>
              <w:snapToGrid w:val="0"/>
              <w:jc w:val="left"/>
              <w:rPr>
                <w:rFonts w:ascii="宋体" w:hAnsi="宋体"/>
                <w:kern w:val="0"/>
                <w:szCs w:val="21"/>
                <w:highlight w:val="none"/>
              </w:rPr>
            </w:pPr>
          </w:p>
        </w:tc>
        <w:tc>
          <w:tcPr>
            <w:tcW w:w="734" w:type="dxa"/>
          </w:tcPr>
          <w:p w14:paraId="235DA3F8">
            <w:pPr>
              <w:autoSpaceDE w:val="0"/>
              <w:autoSpaceDN w:val="0"/>
              <w:adjustRightInd w:val="0"/>
              <w:snapToGrid w:val="0"/>
              <w:jc w:val="left"/>
              <w:rPr>
                <w:rFonts w:ascii="宋体" w:hAnsi="宋体"/>
                <w:kern w:val="0"/>
                <w:szCs w:val="21"/>
                <w:highlight w:val="none"/>
              </w:rPr>
            </w:pPr>
          </w:p>
        </w:tc>
        <w:tc>
          <w:tcPr>
            <w:tcW w:w="776" w:type="dxa"/>
          </w:tcPr>
          <w:p w14:paraId="3CDFFDA2">
            <w:pPr>
              <w:autoSpaceDE w:val="0"/>
              <w:autoSpaceDN w:val="0"/>
              <w:adjustRightInd w:val="0"/>
              <w:snapToGrid w:val="0"/>
              <w:jc w:val="left"/>
              <w:rPr>
                <w:rFonts w:ascii="宋体" w:hAnsi="宋体"/>
                <w:kern w:val="0"/>
                <w:szCs w:val="21"/>
                <w:highlight w:val="none"/>
              </w:rPr>
            </w:pPr>
          </w:p>
        </w:tc>
        <w:tc>
          <w:tcPr>
            <w:tcW w:w="1167" w:type="dxa"/>
          </w:tcPr>
          <w:p w14:paraId="3F69525D">
            <w:pPr>
              <w:autoSpaceDE w:val="0"/>
              <w:autoSpaceDN w:val="0"/>
              <w:adjustRightInd w:val="0"/>
              <w:snapToGrid w:val="0"/>
              <w:jc w:val="left"/>
              <w:rPr>
                <w:rFonts w:ascii="宋体" w:hAnsi="宋体"/>
                <w:kern w:val="0"/>
                <w:szCs w:val="21"/>
                <w:highlight w:val="none"/>
              </w:rPr>
            </w:pPr>
          </w:p>
        </w:tc>
        <w:tc>
          <w:tcPr>
            <w:tcW w:w="776" w:type="dxa"/>
          </w:tcPr>
          <w:p w14:paraId="1430F337">
            <w:pPr>
              <w:autoSpaceDE w:val="0"/>
              <w:autoSpaceDN w:val="0"/>
              <w:adjustRightInd w:val="0"/>
              <w:snapToGrid w:val="0"/>
              <w:jc w:val="left"/>
              <w:rPr>
                <w:rFonts w:ascii="宋体" w:hAnsi="宋体"/>
                <w:kern w:val="0"/>
                <w:szCs w:val="21"/>
                <w:highlight w:val="none"/>
              </w:rPr>
            </w:pPr>
          </w:p>
        </w:tc>
        <w:tc>
          <w:tcPr>
            <w:tcW w:w="778" w:type="dxa"/>
          </w:tcPr>
          <w:p w14:paraId="71DB759B">
            <w:pPr>
              <w:autoSpaceDE w:val="0"/>
              <w:autoSpaceDN w:val="0"/>
              <w:adjustRightInd w:val="0"/>
              <w:snapToGrid w:val="0"/>
              <w:jc w:val="left"/>
              <w:rPr>
                <w:rFonts w:ascii="宋体" w:hAnsi="宋体"/>
                <w:kern w:val="0"/>
                <w:szCs w:val="21"/>
                <w:highlight w:val="none"/>
              </w:rPr>
            </w:pPr>
          </w:p>
        </w:tc>
        <w:tc>
          <w:tcPr>
            <w:tcW w:w="776" w:type="dxa"/>
          </w:tcPr>
          <w:p w14:paraId="6680E5E3">
            <w:pPr>
              <w:autoSpaceDE w:val="0"/>
              <w:autoSpaceDN w:val="0"/>
              <w:adjustRightInd w:val="0"/>
              <w:snapToGrid w:val="0"/>
              <w:jc w:val="left"/>
              <w:rPr>
                <w:rFonts w:ascii="宋体" w:hAnsi="宋体"/>
                <w:kern w:val="0"/>
                <w:szCs w:val="21"/>
                <w:highlight w:val="none"/>
              </w:rPr>
            </w:pPr>
          </w:p>
        </w:tc>
        <w:tc>
          <w:tcPr>
            <w:tcW w:w="2723" w:type="dxa"/>
          </w:tcPr>
          <w:p w14:paraId="4A619853">
            <w:pPr>
              <w:autoSpaceDE w:val="0"/>
              <w:autoSpaceDN w:val="0"/>
              <w:adjustRightInd w:val="0"/>
              <w:snapToGrid w:val="0"/>
              <w:jc w:val="left"/>
              <w:rPr>
                <w:rFonts w:ascii="宋体" w:hAnsi="宋体"/>
                <w:kern w:val="0"/>
                <w:szCs w:val="21"/>
                <w:highlight w:val="none"/>
              </w:rPr>
            </w:pPr>
          </w:p>
        </w:tc>
        <w:tc>
          <w:tcPr>
            <w:tcW w:w="896" w:type="dxa"/>
          </w:tcPr>
          <w:p w14:paraId="02D6445C">
            <w:pPr>
              <w:autoSpaceDE w:val="0"/>
              <w:autoSpaceDN w:val="0"/>
              <w:adjustRightInd w:val="0"/>
              <w:snapToGrid w:val="0"/>
              <w:jc w:val="left"/>
              <w:rPr>
                <w:rFonts w:ascii="宋体" w:hAnsi="宋体"/>
                <w:kern w:val="0"/>
                <w:szCs w:val="21"/>
                <w:highlight w:val="none"/>
              </w:rPr>
            </w:pPr>
          </w:p>
        </w:tc>
      </w:tr>
      <w:tr w14:paraId="2BC7E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F761D6">
            <w:pPr>
              <w:autoSpaceDE w:val="0"/>
              <w:autoSpaceDN w:val="0"/>
              <w:adjustRightInd w:val="0"/>
              <w:snapToGrid w:val="0"/>
              <w:jc w:val="left"/>
              <w:rPr>
                <w:rFonts w:ascii="宋体" w:hAnsi="宋体"/>
                <w:kern w:val="0"/>
                <w:szCs w:val="21"/>
                <w:highlight w:val="none"/>
              </w:rPr>
            </w:pPr>
          </w:p>
        </w:tc>
        <w:tc>
          <w:tcPr>
            <w:tcW w:w="734" w:type="dxa"/>
          </w:tcPr>
          <w:p w14:paraId="1425E016">
            <w:pPr>
              <w:autoSpaceDE w:val="0"/>
              <w:autoSpaceDN w:val="0"/>
              <w:adjustRightInd w:val="0"/>
              <w:snapToGrid w:val="0"/>
              <w:jc w:val="left"/>
              <w:rPr>
                <w:rFonts w:ascii="宋体" w:hAnsi="宋体"/>
                <w:kern w:val="0"/>
                <w:szCs w:val="21"/>
                <w:highlight w:val="none"/>
              </w:rPr>
            </w:pPr>
          </w:p>
        </w:tc>
        <w:tc>
          <w:tcPr>
            <w:tcW w:w="776" w:type="dxa"/>
          </w:tcPr>
          <w:p w14:paraId="090A9E6F">
            <w:pPr>
              <w:autoSpaceDE w:val="0"/>
              <w:autoSpaceDN w:val="0"/>
              <w:adjustRightInd w:val="0"/>
              <w:snapToGrid w:val="0"/>
              <w:jc w:val="left"/>
              <w:rPr>
                <w:rFonts w:ascii="宋体" w:hAnsi="宋体"/>
                <w:kern w:val="0"/>
                <w:szCs w:val="21"/>
                <w:highlight w:val="none"/>
              </w:rPr>
            </w:pPr>
          </w:p>
        </w:tc>
        <w:tc>
          <w:tcPr>
            <w:tcW w:w="1167" w:type="dxa"/>
          </w:tcPr>
          <w:p w14:paraId="5005CD9C">
            <w:pPr>
              <w:autoSpaceDE w:val="0"/>
              <w:autoSpaceDN w:val="0"/>
              <w:adjustRightInd w:val="0"/>
              <w:snapToGrid w:val="0"/>
              <w:jc w:val="left"/>
              <w:rPr>
                <w:rFonts w:ascii="宋体" w:hAnsi="宋体"/>
                <w:kern w:val="0"/>
                <w:szCs w:val="21"/>
                <w:highlight w:val="none"/>
              </w:rPr>
            </w:pPr>
          </w:p>
        </w:tc>
        <w:tc>
          <w:tcPr>
            <w:tcW w:w="776" w:type="dxa"/>
          </w:tcPr>
          <w:p w14:paraId="3A1BCA47">
            <w:pPr>
              <w:autoSpaceDE w:val="0"/>
              <w:autoSpaceDN w:val="0"/>
              <w:adjustRightInd w:val="0"/>
              <w:snapToGrid w:val="0"/>
              <w:jc w:val="left"/>
              <w:rPr>
                <w:rFonts w:ascii="宋体" w:hAnsi="宋体"/>
                <w:kern w:val="0"/>
                <w:szCs w:val="21"/>
                <w:highlight w:val="none"/>
              </w:rPr>
            </w:pPr>
          </w:p>
        </w:tc>
        <w:tc>
          <w:tcPr>
            <w:tcW w:w="778" w:type="dxa"/>
          </w:tcPr>
          <w:p w14:paraId="111BCD97">
            <w:pPr>
              <w:autoSpaceDE w:val="0"/>
              <w:autoSpaceDN w:val="0"/>
              <w:adjustRightInd w:val="0"/>
              <w:snapToGrid w:val="0"/>
              <w:jc w:val="left"/>
              <w:rPr>
                <w:rFonts w:ascii="宋体" w:hAnsi="宋体"/>
                <w:kern w:val="0"/>
                <w:szCs w:val="21"/>
                <w:highlight w:val="none"/>
              </w:rPr>
            </w:pPr>
          </w:p>
        </w:tc>
        <w:tc>
          <w:tcPr>
            <w:tcW w:w="776" w:type="dxa"/>
          </w:tcPr>
          <w:p w14:paraId="05E7EC32">
            <w:pPr>
              <w:autoSpaceDE w:val="0"/>
              <w:autoSpaceDN w:val="0"/>
              <w:adjustRightInd w:val="0"/>
              <w:snapToGrid w:val="0"/>
              <w:jc w:val="left"/>
              <w:rPr>
                <w:rFonts w:ascii="宋体" w:hAnsi="宋体"/>
                <w:kern w:val="0"/>
                <w:szCs w:val="21"/>
                <w:highlight w:val="none"/>
              </w:rPr>
            </w:pPr>
          </w:p>
        </w:tc>
        <w:tc>
          <w:tcPr>
            <w:tcW w:w="2723" w:type="dxa"/>
          </w:tcPr>
          <w:p w14:paraId="38D1F006">
            <w:pPr>
              <w:autoSpaceDE w:val="0"/>
              <w:autoSpaceDN w:val="0"/>
              <w:adjustRightInd w:val="0"/>
              <w:snapToGrid w:val="0"/>
              <w:jc w:val="left"/>
              <w:rPr>
                <w:rFonts w:ascii="宋体" w:hAnsi="宋体"/>
                <w:kern w:val="0"/>
                <w:szCs w:val="21"/>
                <w:highlight w:val="none"/>
              </w:rPr>
            </w:pPr>
          </w:p>
        </w:tc>
        <w:tc>
          <w:tcPr>
            <w:tcW w:w="896" w:type="dxa"/>
          </w:tcPr>
          <w:p w14:paraId="37198E02">
            <w:pPr>
              <w:autoSpaceDE w:val="0"/>
              <w:autoSpaceDN w:val="0"/>
              <w:adjustRightInd w:val="0"/>
              <w:snapToGrid w:val="0"/>
              <w:jc w:val="left"/>
              <w:rPr>
                <w:rFonts w:ascii="宋体" w:hAnsi="宋体"/>
                <w:kern w:val="0"/>
                <w:szCs w:val="21"/>
                <w:highlight w:val="none"/>
              </w:rPr>
            </w:pPr>
          </w:p>
        </w:tc>
      </w:tr>
      <w:tr w14:paraId="42426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E81315">
            <w:pPr>
              <w:autoSpaceDE w:val="0"/>
              <w:autoSpaceDN w:val="0"/>
              <w:adjustRightInd w:val="0"/>
              <w:snapToGrid w:val="0"/>
              <w:jc w:val="left"/>
              <w:rPr>
                <w:rFonts w:ascii="宋体" w:hAnsi="宋体"/>
                <w:kern w:val="0"/>
                <w:szCs w:val="21"/>
                <w:highlight w:val="none"/>
              </w:rPr>
            </w:pPr>
          </w:p>
        </w:tc>
        <w:tc>
          <w:tcPr>
            <w:tcW w:w="734" w:type="dxa"/>
          </w:tcPr>
          <w:p w14:paraId="186027AD">
            <w:pPr>
              <w:autoSpaceDE w:val="0"/>
              <w:autoSpaceDN w:val="0"/>
              <w:adjustRightInd w:val="0"/>
              <w:snapToGrid w:val="0"/>
              <w:jc w:val="left"/>
              <w:rPr>
                <w:rFonts w:ascii="宋体" w:hAnsi="宋体"/>
                <w:kern w:val="0"/>
                <w:szCs w:val="21"/>
                <w:highlight w:val="none"/>
              </w:rPr>
            </w:pPr>
          </w:p>
        </w:tc>
        <w:tc>
          <w:tcPr>
            <w:tcW w:w="776" w:type="dxa"/>
          </w:tcPr>
          <w:p w14:paraId="193EAD1B">
            <w:pPr>
              <w:autoSpaceDE w:val="0"/>
              <w:autoSpaceDN w:val="0"/>
              <w:adjustRightInd w:val="0"/>
              <w:snapToGrid w:val="0"/>
              <w:jc w:val="left"/>
              <w:rPr>
                <w:rFonts w:ascii="宋体" w:hAnsi="宋体"/>
                <w:kern w:val="0"/>
                <w:szCs w:val="21"/>
                <w:highlight w:val="none"/>
              </w:rPr>
            </w:pPr>
          </w:p>
        </w:tc>
        <w:tc>
          <w:tcPr>
            <w:tcW w:w="1167" w:type="dxa"/>
          </w:tcPr>
          <w:p w14:paraId="6C3FE41A">
            <w:pPr>
              <w:autoSpaceDE w:val="0"/>
              <w:autoSpaceDN w:val="0"/>
              <w:adjustRightInd w:val="0"/>
              <w:snapToGrid w:val="0"/>
              <w:jc w:val="left"/>
              <w:rPr>
                <w:rFonts w:ascii="宋体" w:hAnsi="宋体"/>
                <w:kern w:val="0"/>
                <w:szCs w:val="21"/>
                <w:highlight w:val="none"/>
              </w:rPr>
            </w:pPr>
          </w:p>
        </w:tc>
        <w:tc>
          <w:tcPr>
            <w:tcW w:w="776" w:type="dxa"/>
          </w:tcPr>
          <w:p w14:paraId="1112ADFE">
            <w:pPr>
              <w:autoSpaceDE w:val="0"/>
              <w:autoSpaceDN w:val="0"/>
              <w:adjustRightInd w:val="0"/>
              <w:snapToGrid w:val="0"/>
              <w:jc w:val="left"/>
              <w:rPr>
                <w:rFonts w:ascii="宋体" w:hAnsi="宋体"/>
                <w:kern w:val="0"/>
                <w:szCs w:val="21"/>
                <w:highlight w:val="none"/>
              </w:rPr>
            </w:pPr>
          </w:p>
        </w:tc>
        <w:tc>
          <w:tcPr>
            <w:tcW w:w="778" w:type="dxa"/>
          </w:tcPr>
          <w:p w14:paraId="0419CC9B">
            <w:pPr>
              <w:autoSpaceDE w:val="0"/>
              <w:autoSpaceDN w:val="0"/>
              <w:adjustRightInd w:val="0"/>
              <w:snapToGrid w:val="0"/>
              <w:jc w:val="left"/>
              <w:rPr>
                <w:rFonts w:ascii="宋体" w:hAnsi="宋体"/>
                <w:kern w:val="0"/>
                <w:szCs w:val="21"/>
                <w:highlight w:val="none"/>
              </w:rPr>
            </w:pPr>
          </w:p>
        </w:tc>
        <w:tc>
          <w:tcPr>
            <w:tcW w:w="776" w:type="dxa"/>
          </w:tcPr>
          <w:p w14:paraId="69A951BB">
            <w:pPr>
              <w:autoSpaceDE w:val="0"/>
              <w:autoSpaceDN w:val="0"/>
              <w:adjustRightInd w:val="0"/>
              <w:snapToGrid w:val="0"/>
              <w:jc w:val="left"/>
              <w:rPr>
                <w:rFonts w:ascii="宋体" w:hAnsi="宋体"/>
                <w:kern w:val="0"/>
                <w:szCs w:val="21"/>
                <w:highlight w:val="none"/>
              </w:rPr>
            </w:pPr>
          </w:p>
        </w:tc>
        <w:tc>
          <w:tcPr>
            <w:tcW w:w="2723" w:type="dxa"/>
          </w:tcPr>
          <w:p w14:paraId="538841AD">
            <w:pPr>
              <w:autoSpaceDE w:val="0"/>
              <w:autoSpaceDN w:val="0"/>
              <w:adjustRightInd w:val="0"/>
              <w:snapToGrid w:val="0"/>
              <w:jc w:val="left"/>
              <w:rPr>
                <w:rFonts w:ascii="宋体" w:hAnsi="宋体"/>
                <w:kern w:val="0"/>
                <w:szCs w:val="21"/>
                <w:highlight w:val="none"/>
              </w:rPr>
            </w:pPr>
          </w:p>
        </w:tc>
        <w:tc>
          <w:tcPr>
            <w:tcW w:w="896" w:type="dxa"/>
          </w:tcPr>
          <w:p w14:paraId="46338D19">
            <w:pPr>
              <w:autoSpaceDE w:val="0"/>
              <w:autoSpaceDN w:val="0"/>
              <w:adjustRightInd w:val="0"/>
              <w:snapToGrid w:val="0"/>
              <w:jc w:val="left"/>
              <w:rPr>
                <w:rFonts w:ascii="宋体" w:hAnsi="宋体"/>
                <w:kern w:val="0"/>
                <w:szCs w:val="21"/>
                <w:highlight w:val="none"/>
              </w:rPr>
            </w:pPr>
          </w:p>
        </w:tc>
      </w:tr>
      <w:tr w14:paraId="377C77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B83C57">
            <w:pPr>
              <w:autoSpaceDE w:val="0"/>
              <w:autoSpaceDN w:val="0"/>
              <w:adjustRightInd w:val="0"/>
              <w:snapToGrid w:val="0"/>
              <w:jc w:val="left"/>
              <w:rPr>
                <w:rFonts w:ascii="宋体" w:hAnsi="宋体"/>
                <w:kern w:val="0"/>
                <w:szCs w:val="21"/>
                <w:highlight w:val="none"/>
              </w:rPr>
            </w:pPr>
          </w:p>
        </w:tc>
        <w:tc>
          <w:tcPr>
            <w:tcW w:w="734" w:type="dxa"/>
          </w:tcPr>
          <w:p w14:paraId="72CC3649">
            <w:pPr>
              <w:autoSpaceDE w:val="0"/>
              <w:autoSpaceDN w:val="0"/>
              <w:adjustRightInd w:val="0"/>
              <w:snapToGrid w:val="0"/>
              <w:jc w:val="left"/>
              <w:rPr>
                <w:rFonts w:ascii="宋体" w:hAnsi="宋体"/>
                <w:kern w:val="0"/>
                <w:szCs w:val="21"/>
                <w:highlight w:val="none"/>
              </w:rPr>
            </w:pPr>
          </w:p>
        </w:tc>
        <w:tc>
          <w:tcPr>
            <w:tcW w:w="776" w:type="dxa"/>
          </w:tcPr>
          <w:p w14:paraId="4CD41876">
            <w:pPr>
              <w:autoSpaceDE w:val="0"/>
              <w:autoSpaceDN w:val="0"/>
              <w:adjustRightInd w:val="0"/>
              <w:snapToGrid w:val="0"/>
              <w:jc w:val="left"/>
              <w:rPr>
                <w:rFonts w:ascii="宋体" w:hAnsi="宋体"/>
                <w:kern w:val="0"/>
                <w:szCs w:val="21"/>
                <w:highlight w:val="none"/>
              </w:rPr>
            </w:pPr>
          </w:p>
        </w:tc>
        <w:tc>
          <w:tcPr>
            <w:tcW w:w="1167" w:type="dxa"/>
          </w:tcPr>
          <w:p w14:paraId="6B5632FF">
            <w:pPr>
              <w:autoSpaceDE w:val="0"/>
              <w:autoSpaceDN w:val="0"/>
              <w:adjustRightInd w:val="0"/>
              <w:snapToGrid w:val="0"/>
              <w:jc w:val="left"/>
              <w:rPr>
                <w:rFonts w:ascii="宋体" w:hAnsi="宋体"/>
                <w:kern w:val="0"/>
                <w:szCs w:val="21"/>
                <w:highlight w:val="none"/>
              </w:rPr>
            </w:pPr>
          </w:p>
        </w:tc>
        <w:tc>
          <w:tcPr>
            <w:tcW w:w="776" w:type="dxa"/>
          </w:tcPr>
          <w:p w14:paraId="5EB4C29F">
            <w:pPr>
              <w:autoSpaceDE w:val="0"/>
              <w:autoSpaceDN w:val="0"/>
              <w:adjustRightInd w:val="0"/>
              <w:snapToGrid w:val="0"/>
              <w:jc w:val="left"/>
              <w:rPr>
                <w:rFonts w:ascii="宋体" w:hAnsi="宋体"/>
                <w:kern w:val="0"/>
                <w:szCs w:val="21"/>
                <w:highlight w:val="none"/>
              </w:rPr>
            </w:pPr>
          </w:p>
        </w:tc>
        <w:tc>
          <w:tcPr>
            <w:tcW w:w="778" w:type="dxa"/>
          </w:tcPr>
          <w:p w14:paraId="5ED479F8">
            <w:pPr>
              <w:autoSpaceDE w:val="0"/>
              <w:autoSpaceDN w:val="0"/>
              <w:adjustRightInd w:val="0"/>
              <w:snapToGrid w:val="0"/>
              <w:jc w:val="left"/>
              <w:rPr>
                <w:rFonts w:ascii="宋体" w:hAnsi="宋体"/>
                <w:kern w:val="0"/>
                <w:szCs w:val="21"/>
                <w:highlight w:val="none"/>
              </w:rPr>
            </w:pPr>
          </w:p>
        </w:tc>
        <w:tc>
          <w:tcPr>
            <w:tcW w:w="776" w:type="dxa"/>
          </w:tcPr>
          <w:p w14:paraId="266936B8">
            <w:pPr>
              <w:autoSpaceDE w:val="0"/>
              <w:autoSpaceDN w:val="0"/>
              <w:adjustRightInd w:val="0"/>
              <w:snapToGrid w:val="0"/>
              <w:jc w:val="left"/>
              <w:rPr>
                <w:rFonts w:ascii="宋体" w:hAnsi="宋体"/>
                <w:kern w:val="0"/>
                <w:szCs w:val="21"/>
                <w:highlight w:val="none"/>
              </w:rPr>
            </w:pPr>
          </w:p>
        </w:tc>
        <w:tc>
          <w:tcPr>
            <w:tcW w:w="2723" w:type="dxa"/>
          </w:tcPr>
          <w:p w14:paraId="59EEE7CC">
            <w:pPr>
              <w:autoSpaceDE w:val="0"/>
              <w:autoSpaceDN w:val="0"/>
              <w:adjustRightInd w:val="0"/>
              <w:snapToGrid w:val="0"/>
              <w:jc w:val="left"/>
              <w:rPr>
                <w:rFonts w:ascii="宋体" w:hAnsi="宋体"/>
                <w:kern w:val="0"/>
                <w:szCs w:val="21"/>
                <w:highlight w:val="none"/>
              </w:rPr>
            </w:pPr>
          </w:p>
        </w:tc>
        <w:tc>
          <w:tcPr>
            <w:tcW w:w="896" w:type="dxa"/>
          </w:tcPr>
          <w:p w14:paraId="17804557">
            <w:pPr>
              <w:autoSpaceDE w:val="0"/>
              <w:autoSpaceDN w:val="0"/>
              <w:adjustRightInd w:val="0"/>
              <w:snapToGrid w:val="0"/>
              <w:jc w:val="left"/>
              <w:rPr>
                <w:rFonts w:ascii="宋体" w:hAnsi="宋体"/>
                <w:kern w:val="0"/>
                <w:szCs w:val="21"/>
                <w:highlight w:val="none"/>
              </w:rPr>
            </w:pPr>
          </w:p>
        </w:tc>
      </w:tr>
      <w:tr w14:paraId="3C9DA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E7A3186">
            <w:pPr>
              <w:autoSpaceDE w:val="0"/>
              <w:autoSpaceDN w:val="0"/>
              <w:adjustRightInd w:val="0"/>
              <w:snapToGrid w:val="0"/>
              <w:jc w:val="left"/>
              <w:rPr>
                <w:rFonts w:ascii="宋体" w:hAnsi="宋体"/>
                <w:kern w:val="0"/>
                <w:szCs w:val="21"/>
                <w:highlight w:val="none"/>
              </w:rPr>
            </w:pPr>
          </w:p>
        </w:tc>
        <w:tc>
          <w:tcPr>
            <w:tcW w:w="734" w:type="dxa"/>
          </w:tcPr>
          <w:p w14:paraId="2E95A101">
            <w:pPr>
              <w:autoSpaceDE w:val="0"/>
              <w:autoSpaceDN w:val="0"/>
              <w:adjustRightInd w:val="0"/>
              <w:snapToGrid w:val="0"/>
              <w:jc w:val="left"/>
              <w:rPr>
                <w:rFonts w:ascii="宋体" w:hAnsi="宋体"/>
                <w:kern w:val="0"/>
                <w:szCs w:val="21"/>
                <w:highlight w:val="none"/>
              </w:rPr>
            </w:pPr>
          </w:p>
        </w:tc>
        <w:tc>
          <w:tcPr>
            <w:tcW w:w="776" w:type="dxa"/>
          </w:tcPr>
          <w:p w14:paraId="658439FD">
            <w:pPr>
              <w:autoSpaceDE w:val="0"/>
              <w:autoSpaceDN w:val="0"/>
              <w:adjustRightInd w:val="0"/>
              <w:snapToGrid w:val="0"/>
              <w:jc w:val="left"/>
              <w:rPr>
                <w:rFonts w:ascii="宋体" w:hAnsi="宋体"/>
                <w:kern w:val="0"/>
                <w:szCs w:val="21"/>
                <w:highlight w:val="none"/>
              </w:rPr>
            </w:pPr>
          </w:p>
        </w:tc>
        <w:tc>
          <w:tcPr>
            <w:tcW w:w="1167" w:type="dxa"/>
          </w:tcPr>
          <w:p w14:paraId="00632D7B">
            <w:pPr>
              <w:autoSpaceDE w:val="0"/>
              <w:autoSpaceDN w:val="0"/>
              <w:adjustRightInd w:val="0"/>
              <w:snapToGrid w:val="0"/>
              <w:jc w:val="left"/>
              <w:rPr>
                <w:rFonts w:ascii="宋体" w:hAnsi="宋体"/>
                <w:kern w:val="0"/>
                <w:szCs w:val="21"/>
                <w:highlight w:val="none"/>
              </w:rPr>
            </w:pPr>
          </w:p>
        </w:tc>
        <w:tc>
          <w:tcPr>
            <w:tcW w:w="776" w:type="dxa"/>
          </w:tcPr>
          <w:p w14:paraId="39D3F8B0">
            <w:pPr>
              <w:autoSpaceDE w:val="0"/>
              <w:autoSpaceDN w:val="0"/>
              <w:adjustRightInd w:val="0"/>
              <w:snapToGrid w:val="0"/>
              <w:jc w:val="left"/>
              <w:rPr>
                <w:rFonts w:ascii="宋体" w:hAnsi="宋体"/>
                <w:kern w:val="0"/>
                <w:szCs w:val="21"/>
                <w:highlight w:val="none"/>
              </w:rPr>
            </w:pPr>
          </w:p>
        </w:tc>
        <w:tc>
          <w:tcPr>
            <w:tcW w:w="778" w:type="dxa"/>
          </w:tcPr>
          <w:p w14:paraId="2B7E8558">
            <w:pPr>
              <w:autoSpaceDE w:val="0"/>
              <w:autoSpaceDN w:val="0"/>
              <w:adjustRightInd w:val="0"/>
              <w:snapToGrid w:val="0"/>
              <w:jc w:val="left"/>
              <w:rPr>
                <w:rFonts w:ascii="宋体" w:hAnsi="宋体"/>
                <w:kern w:val="0"/>
                <w:szCs w:val="21"/>
                <w:highlight w:val="none"/>
              </w:rPr>
            </w:pPr>
          </w:p>
        </w:tc>
        <w:tc>
          <w:tcPr>
            <w:tcW w:w="776" w:type="dxa"/>
          </w:tcPr>
          <w:p w14:paraId="7ED568D9">
            <w:pPr>
              <w:autoSpaceDE w:val="0"/>
              <w:autoSpaceDN w:val="0"/>
              <w:adjustRightInd w:val="0"/>
              <w:snapToGrid w:val="0"/>
              <w:jc w:val="left"/>
              <w:rPr>
                <w:rFonts w:ascii="宋体" w:hAnsi="宋体"/>
                <w:kern w:val="0"/>
                <w:szCs w:val="21"/>
                <w:highlight w:val="none"/>
              </w:rPr>
            </w:pPr>
          </w:p>
        </w:tc>
        <w:tc>
          <w:tcPr>
            <w:tcW w:w="2723" w:type="dxa"/>
          </w:tcPr>
          <w:p w14:paraId="3D7EB52F">
            <w:pPr>
              <w:autoSpaceDE w:val="0"/>
              <w:autoSpaceDN w:val="0"/>
              <w:adjustRightInd w:val="0"/>
              <w:snapToGrid w:val="0"/>
              <w:jc w:val="left"/>
              <w:rPr>
                <w:rFonts w:ascii="宋体" w:hAnsi="宋体"/>
                <w:kern w:val="0"/>
                <w:szCs w:val="21"/>
                <w:highlight w:val="none"/>
              </w:rPr>
            </w:pPr>
          </w:p>
        </w:tc>
        <w:tc>
          <w:tcPr>
            <w:tcW w:w="896" w:type="dxa"/>
          </w:tcPr>
          <w:p w14:paraId="705C9708">
            <w:pPr>
              <w:autoSpaceDE w:val="0"/>
              <w:autoSpaceDN w:val="0"/>
              <w:adjustRightInd w:val="0"/>
              <w:snapToGrid w:val="0"/>
              <w:jc w:val="left"/>
              <w:rPr>
                <w:rFonts w:ascii="宋体" w:hAnsi="宋体"/>
                <w:kern w:val="0"/>
                <w:szCs w:val="21"/>
                <w:highlight w:val="none"/>
              </w:rPr>
            </w:pPr>
          </w:p>
        </w:tc>
      </w:tr>
      <w:tr w14:paraId="0FACC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1634CF">
            <w:pPr>
              <w:autoSpaceDE w:val="0"/>
              <w:autoSpaceDN w:val="0"/>
              <w:adjustRightInd w:val="0"/>
              <w:snapToGrid w:val="0"/>
              <w:jc w:val="left"/>
              <w:rPr>
                <w:rFonts w:ascii="宋体" w:hAnsi="宋体"/>
                <w:kern w:val="0"/>
                <w:szCs w:val="21"/>
                <w:highlight w:val="none"/>
              </w:rPr>
            </w:pPr>
          </w:p>
        </w:tc>
        <w:tc>
          <w:tcPr>
            <w:tcW w:w="734" w:type="dxa"/>
          </w:tcPr>
          <w:p w14:paraId="2AAC5A7F">
            <w:pPr>
              <w:autoSpaceDE w:val="0"/>
              <w:autoSpaceDN w:val="0"/>
              <w:adjustRightInd w:val="0"/>
              <w:snapToGrid w:val="0"/>
              <w:jc w:val="left"/>
              <w:rPr>
                <w:rFonts w:ascii="宋体" w:hAnsi="宋体"/>
                <w:kern w:val="0"/>
                <w:szCs w:val="21"/>
                <w:highlight w:val="none"/>
              </w:rPr>
            </w:pPr>
          </w:p>
        </w:tc>
        <w:tc>
          <w:tcPr>
            <w:tcW w:w="776" w:type="dxa"/>
          </w:tcPr>
          <w:p w14:paraId="30169CF4">
            <w:pPr>
              <w:autoSpaceDE w:val="0"/>
              <w:autoSpaceDN w:val="0"/>
              <w:adjustRightInd w:val="0"/>
              <w:snapToGrid w:val="0"/>
              <w:jc w:val="left"/>
              <w:rPr>
                <w:rFonts w:ascii="宋体" w:hAnsi="宋体"/>
                <w:kern w:val="0"/>
                <w:szCs w:val="21"/>
                <w:highlight w:val="none"/>
              </w:rPr>
            </w:pPr>
          </w:p>
        </w:tc>
        <w:tc>
          <w:tcPr>
            <w:tcW w:w="1167" w:type="dxa"/>
          </w:tcPr>
          <w:p w14:paraId="74E71AAA">
            <w:pPr>
              <w:autoSpaceDE w:val="0"/>
              <w:autoSpaceDN w:val="0"/>
              <w:adjustRightInd w:val="0"/>
              <w:snapToGrid w:val="0"/>
              <w:jc w:val="left"/>
              <w:rPr>
                <w:rFonts w:ascii="宋体" w:hAnsi="宋体"/>
                <w:kern w:val="0"/>
                <w:szCs w:val="21"/>
                <w:highlight w:val="none"/>
              </w:rPr>
            </w:pPr>
          </w:p>
        </w:tc>
        <w:tc>
          <w:tcPr>
            <w:tcW w:w="776" w:type="dxa"/>
          </w:tcPr>
          <w:p w14:paraId="49369881">
            <w:pPr>
              <w:autoSpaceDE w:val="0"/>
              <w:autoSpaceDN w:val="0"/>
              <w:adjustRightInd w:val="0"/>
              <w:snapToGrid w:val="0"/>
              <w:jc w:val="left"/>
              <w:rPr>
                <w:rFonts w:ascii="宋体" w:hAnsi="宋体"/>
                <w:kern w:val="0"/>
                <w:szCs w:val="21"/>
                <w:highlight w:val="none"/>
              </w:rPr>
            </w:pPr>
          </w:p>
        </w:tc>
        <w:tc>
          <w:tcPr>
            <w:tcW w:w="778" w:type="dxa"/>
          </w:tcPr>
          <w:p w14:paraId="30BFB731">
            <w:pPr>
              <w:autoSpaceDE w:val="0"/>
              <w:autoSpaceDN w:val="0"/>
              <w:adjustRightInd w:val="0"/>
              <w:snapToGrid w:val="0"/>
              <w:jc w:val="left"/>
              <w:rPr>
                <w:rFonts w:ascii="宋体" w:hAnsi="宋体"/>
                <w:kern w:val="0"/>
                <w:szCs w:val="21"/>
                <w:highlight w:val="none"/>
              </w:rPr>
            </w:pPr>
          </w:p>
        </w:tc>
        <w:tc>
          <w:tcPr>
            <w:tcW w:w="776" w:type="dxa"/>
          </w:tcPr>
          <w:p w14:paraId="0AE081CF">
            <w:pPr>
              <w:autoSpaceDE w:val="0"/>
              <w:autoSpaceDN w:val="0"/>
              <w:adjustRightInd w:val="0"/>
              <w:snapToGrid w:val="0"/>
              <w:jc w:val="left"/>
              <w:rPr>
                <w:rFonts w:ascii="宋体" w:hAnsi="宋体"/>
                <w:kern w:val="0"/>
                <w:szCs w:val="21"/>
                <w:highlight w:val="none"/>
              </w:rPr>
            </w:pPr>
          </w:p>
        </w:tc>
        <w:tc>
          <w:tcPr>
            <w:tcW w:w="2723" w:type="dxa"/>
          </w:tcPr>
          <w:p w14:paraId="41FB6C82">
            <w:pPr>
              <w:autoSpaceDE w:val="0"/>
              <w:autoSpaceDN w:val="0"/>
              <w:adjustRightInd w:val="0"/>
              <w:snapToGrid w:val="0"/>
              <w:jc w:val="left"/>
              <w:rPr>
                <w:rFonts w:ascii="宋体" w:hAnsi="宋体"/>
                <w:kern w:val="0"/>
                <w:szCs w:val="21"/>
                <w:highlight w:val="none"/>
              </w:rPr>
            </w:pPr>
          </w:p>
        </w:tc>
        <w:tc>
          <w:tcPr>
            <w:tcW w:w="896" w:type="dxa"/>
          </w:tcPr>
          <w:p w14:paraId="4254576F">
            <w:pPr>
              <w:autoSpaceDE w:val="0"/>
              <w:autoSpaceDN w:val="0"/>
              <w:adjustRightInd w:val="0"/>
              <w:snapToGrid w:val="0"/>
              <w:jc w:val="left"/>
              <w:rPr>
                <w:rFonts w:ascii="宋体" w:hAnsi="宋体"/>
                <w:kern w:val="0"/>
                <w:szCs w:val="21"/>
                <w:highlight w:val="none"/>
              </w:rPr>
            </w:pPr>
          </w:p>
        </w:tc>
      </w:tr>
    </w:tbl>
    <w:p w14:paraId="42A99CB9">
      <w:pPr>
        <w:spacing w:line="20" w:lineRule="exact"/>
        <w:jc w:val="center"/>
        <w:rPr>
          <w:rFonts w:ascii="宋体" w:hAnsi="宋体"/>
          <w:szCs w:val="21"/>
          <w:highlight w:val="none"/>
        </w:rPr>
      </w:pPr>
    </w:p>
    <w:p w14:paraId="0D1749C0">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F6C8C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7CA53BF">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00AC0611">
            <w:pPr>
              <w:autoSpaceDE w:val="0"/>
              <w:autoSpaceDN w:val="0"/>
              <w:adjustRightInd w:val="0"/>
              <w:snapToGrid w:val="0"/>
              <w:jc w:val="center"/>
              <w:rPr>
                <w:rFonts w:ascii="宋体" w:hAnsi="宋体"/>
                <w:kern w:val="0"/>
                <w:szCs w:val="21"/>
                <w:highlight w:val="none"/>
              </w:rPr>
            </w:pPr>
          </w:p>
        </w:tc>
        <w:tc>
          <w:tcPr>
            <w:tcW w:w="1020" w:type="dxa"/>
            <w:vAlign w:val="center"/>
          </w:tcPr>
          <w:p w14:paraId="0EEF46E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538192DD">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48EDEFFC">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10973A94">
            <w:pPr>
              <w:autoSpaceDE w:val="0"/>
              <w:autoSpaceDN w:val="0"/>
              <w:adjustRightInd w:val="0"/>
              <w:snapToGrid w:val="0"/>
              <w:jc w:val="center"/>
              <w:rPr>
                <w:rFonts w:ascii="宋体" w:hAnsi="宋体"/>
                <w:kern w:val="0"/>
                <w:szCs w:val="21"/>
                <w:highlight w:val="none"/>
              </w:rPr>
            </w:pPr>
          </w:p>
        </w:tc>
      </w:tr>
      <w:tr w14:paraId="4DBE4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D6EFDB9">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3E0BA519">
            <w:pPr>
              <w:autoSpaceDE w:val="0"/>
              <w:autoSpaceDN w:val="0"/>
              <w:adjustRightInd w:val="0"/>
              <w:snapToGrid w:val="0"/>
              <w:jc w:val="center"/>
              <w:rPr>
                <w:rFonts w:ascii="宋体" w:hAnsi="宋体"/>
                <w:kern w:val="0"/>
                <w:szCs w:val="21"/>
                <w:highlight w:val="none"/>
              </w:rPr>
            </w:pPr>
          </w:p>
        </w:tc>
        <w:tc>
          <w:tcPr>
            <w:tcW w:w="1020" w:type="dxa"/>
            <w:vAlign w:val="center"/>
          </w:tcPr>
          <w:p w14:paraId="6803528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7D439F6D">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3E023D9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7AD58BEB">
            <w:pPr>
              <w:autoSpaceDE w:val="0"/>
              <w:autoSpaceDN w:val="0"/>
              <w:adjustRightInd w:val="0"/>
              <w:snapToGrid w:val="0"/>
              <w:jc w:val="center"/>
              <w:rPr>
                <w:rFonts w:ascii="宋体" w:hAnsi="宋体"/>
                <w:kern w:val="0"/>
                <w:szCs w:val="21"/>
                <w:highlight w:val="none"/>
              </w:rPr>
            </w:pPr>
          </w:p>
        </w:tc>
      </w:tr>
      <w:tr w14:paraId="0D2A2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4DA8CFE">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04BF1AC0">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291AE3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0BED0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28EE9C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BF57A1E">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72013A5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7152881F">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3B091992">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7D5900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0F316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50AA87A">
            <w:pPr>
              <w:autoSpaceDE w:val="0"/>
              <w:autoSpaceDN w:val="0"/>
              <w:adjustRightInd w:val="0"/>
              <w:snapToGrid w:val="0"/>
              <w:jc w:val="center"/>
              <w:rPr>
                <w:rFonts w:ascii="宋体" w:hAnsi="宋体"/>
                <w:kern w:val="0"/>
                <w:szCs w:val="21"/>
                <w:highlight w:val="none"/>
              </w:rPr>
            </w:pPr>
          </w:p>
        </w:tc>
        <w:tc>
          <w:tcPr>
            <w:tcW w:w="1388" w:type="dxa"/>
            <w:vAlign w:val="center"/>
          </w:tcPr>
          <w:p w14:paraId="3261E75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5B20FAF">
            <w:pPr>
              <w:autoSpaceDE w:val="0"/>
              <w:autoSpaceDN w:val="0"/>
              <w:adjustRightInd w:val="0"/>
              <w:snapToGrid w:val="0"/>
              <w:jc w:val="center"/>
              <w:rPr>
                <w:rFonts w:ascii="宋体" w:hAnsi="宋体"/>
                <w:kern w:val="0"/>
                <w:szCs w:val="21"/>
                <w:highlight w:val="none"/>
              </w:rPr>
            </w:pPr>
          </w:p>
        </w:tc>
      </w:tr>
      <w:tr w14:paraId="4094B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88B5C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54EE273">
            <w:pPr>
              <w:autoSpaceDE w:val="0"/>
              <w:autoSpaceDN w:val="0"/>
              <w:adjustRightInd w:val="0"/>
              <w:snapToGrid w:val="0"/>
              <w:jc w:val="center"/>
              <w:rPr>
                <w:rFonts w:ascii="宋体" w:hAnsi="宋体"/>
                <w:kern w:val="0"/>
                <w:szCs w:val="21"/>
                <w:highlight w:val="none"/>
              </w:rPr>
            </w:pPr>
          </w:p>
        </w:tc>
        <w:tc>
          <w:tcPr>
            <w:tcW w:w="1388" w:type="dxa"/>
            <w:vAlign w:val="center"/>
          </w:tcPr>
          <w:p w14:paraId="316B6DA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4313239">
            <w:pPr>
              <w:autoSpaceDE w:val="0"/>
              <w:autoSpaceDN w:val="0"/>
              <w:adjustRightInd w:val="0"/>
              <w:snapToGrid w:val="0"/>
              <w:jc w:val="center"/>
              <w:rPr>
                <w:rFonts w:ascii="宋体" w:hAnsi="宋体"/>
                <w:kern w:val="0"/>
                <w:szCs w:val="21"/>
                <w:highlight w:val="none"/>
              </w:rPr>
            </w:pPr>
          </w:p>
        </w:tc>
      </w:tr>
      <w:tr w14:paraId="34EEB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86049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C508D8B">
            <w:pPr>
              <w:autoSpaceDE w:val="0"/>
              <w:autoSpaceDN w:val="0"/>
              <w:adjustRightInd w:val="0"/>
              <w:snapToGrid w:val="0"/>
              <w:jc w:val="center"/>
              <w:rPr>
                <w:rFonts w:ascii="宋体" w:hAnsi="宋体"/>
                <w:kern w:val="0"/>
                <w:szCs w:val="21"/>
                <w:highlight w:val="none"/>
              </w:rPr>
            </w:pPr>
          </w:p>
        </w:tc>
        <w:tc>
          <w:tcPr>
            <w:tcW w:w="1388" w:type="dxa"/>
            <w:vAlign w:val="center"/>
          </w:tcPr>
          <w:p w14:paraId="52F84AC2">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F6DE9C0">
            <w:pPr>
              <w:autoSpaceDE w:val="0"/>
              <w:autoSpaceDN w:val="0"/>
              <w:adjustRightInd w:val="0"/>
              <w:snapToGrid w:val="0"/>
              <w:jc w:val="center"/>
              <w:rPr>
                <w:rFonts w:ascii="宋体" w:hAnsi="宋体"/>
                <w:kern w:val="0"/>
                <w:szCs w:val="21"/>
                <w:highlight w:val="none"/>
              </w:rPr>
            </w:pPr>
          </w:p>
        </w:tc>
      </w:tr>
      <w:tr w14:paraId="42C56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8E84A1">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EFF5661">
            <w:pPr>
              <w:autoSpaceDE w:val="0"/>
              <w:autoSpaceDN w:val="0"/>
              <w:adjustRightInd w:val="0"/>
              <w:snapToGrid w:val="0"/>
              <w:jc w:val="center"/>
              <w:rPr>
                <w:rFonts w:ascii="宋体" w:hAnsi="宋体"/>
                <w:kern w:val="0"/>
                <w:szCs w:val="21"/>
                <w:highlight w:val="none"/>
              </w:rPr>
            </w:pPr>
          </w:p>
        </w:tc>
        <w:tc>
          <w:tcPr>
            <w:tcW w:w="1388" w:type="dxa"/>
            <w:vAlign w:val="center"/>
          </w:tcPr>
          <w:p w14:paraId="1D05D5B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A04CF88">
            <w:pPr>
              <w:autoSpaceDE w:val="0"/>
              <w:autoSpaceDN w:val="0"/>
              <w:adjustRightInd w:val="0"/>
              <w:snapToGrid w:val="0"/>
              <w:jc w:val="center"/>
              <w:rPr>
                <w:rFonts w:ascii="宋体" w:hAnsi="宋体"/>
                <w:kern w:val="0"/>
                <w:szCs w:val="21"/>
                <w:highlight w:val="none"/>
              </w:rPr>
            </w:pPr>
          </w:p>
        </w:tc>
      </w:tr>
      <w:tr w14:paraId="4EE3AF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373A3A">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270B772">
            <w:pPr>
              <w:autoSpaceDE w:val="0"/>
              <w:autoSpaceDN w:val="0"/>
              <w:adjustRightInd w:val="0"/>
              <w:snapToGrid w:val="0"/>
              <w:jc w:val="center"/>
              <w:rPr>
                <w:rFonts w:ascii="宋体" w:hAnsi="宋体"/>
                <w:kern w:val="0"/>
                <w:szCs w:val="21"/>
                <w:highlight w:val="none"/>
              </w:rPr>
            </w:pPr>
          </w:p>
        </w:tc>
        <w:tc>
          <w:tcPr>
            <w:tcW w:w="1388" w:type="dxa"/>
            <w:vAlign w:val="center"/>
          </w:tcPr>
          <w:p w14:paraId="28AB49C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5B3FE52">
            <w:pPr>
              <w:autoSpaceDE w:val="0"/>
              <w:autoSpaceDN w:val="0"/>
              <w:adjustRightInd w:val="0"/>
              <w:snapToGrid w:val="0"/>
              <w:jc w:val="center"/>
              <w:rPr>
                <w:rFonts w:ascii="宋体" w:hAnsi="宋体"/>
                <w:kern w:val="0"/>
                <w:szCs w:val="21"/>
                <w:highlight w:val="none"/>
              </w:rPr>
            </w:pPr>
          </w:p>
        </w:tc>
      </w:tr>
      <w:tr w14:paraId="4E02D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6C3D61">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613E467">
            <w:pPr>
              <w:autoSpaceDE w:val="0"/>
              <w:autoSpaceDN w:val="0"/>
              <w:adjustRightInd w:val="0"/>
              <w:snapToGrid w:val="0"/>
              <w:jc w:val="center"/>
              <w:rPr>
                <w:rFonts w:ascii="宋体" w:hAnsi="宋体"/>
                <w:kern w:val="0"/>
                <w:szCs w:val="21"/>
                <w:highlight w:val="none"/>
              </w:rPr>
            </w:pPr>
          </w:p>
        </w:tc>
        <w:tc>
          <w:tcPr>
            <w:tcW w:w="1388" w:type="dxa"/>
            <w:vAlign w:val="center"/>
          </w:tcPr>
          <w:p w14:paraId="193D5FA8">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9281FF8">
            <w:pPr>
              <w:autoSpaceDE w:val="0"/>
              <w:autoSpaceDN w:val="0"/>
              <w:adjustRightInd w:val="0"/>
              <w:snapToGrid w:val="0"/>
              <w:jc w:val="center"/>
              <w:rPr>
                <w:rFonts w:ascii="宋体" w:hAnsi="宋体"/>
                <w:kern w:val="0"/>
                <w:szCs w:val="21"/>
                <w:highlight w:val="none"/>
              </w:rPr>
            </w:pPr>
          </w:p>
        </w:tc>
      </w:tr>
      <w:tr w14:paraId="5FF64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E4F572C">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4F06A24">
            <w:pPr>
              <w:autoSpaceDE w:val="0"/>
              <w:autoSpaceDN w:val="0"/>
              <w:adjustRightInd w:val="0"/>
              <w:snapToGrid w:val="0"/>
              <w:jc w:val="center"/>
              <w:rPr>
                <w:rFonts w:ascii="宋体" w:hAnsi="宋体"/>
                <w:kern w:val="0"/>
                <w:szCs w:val="21"/>
                <w:highlight w:val="none"/>
              </w:rPr>
            </w:pPr>
          </w:p>
        </w:tc>
        <w:tc>
          <w:tcPr>
            <w:tcW w:w="1388" w:type="dxa"/>
            <w:vAlign w:val="center"/>
          </w:tcPr>
          <w:p w14:paraId="4B99AEC7">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83D4898">
            <w:pPr>
              <w:autoSpaceDE w:val="0"/>
              <w:autoSpaceDN w:val="0"/>
              <w:adjustRightInd w:val="0"/>
              <w:snapToGrid w:val="0"/>
              <w:jc w:val="center"/>
              <w:rPr>
                <w:rFonts w:ascii="宋体" w:hAnsi="宋体"/>
                <w:kern w:val="0"/>
                <w:szCs w:val="21"/>
                <w:highlight w:val="none"/>
              </w:rPr>
            </w:pPr>
          </w:p>
        </w:tc>
      </w:tr>
      <w:tr w14:paraId="64D87B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3867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E305295">
            <w:pPr>
              <w:autoSpaceDE w:val="0"/>
              <w:autoSpaceDN w:val="0"/>
              <w:adjustRightInd w:val="0"/>
              <w:snapToGrid w:val="0"/>
              <w:jc w:val="center"/>
              <w:rPr>
                <w:rFonts w:ascii="宋体" w:hAnsi="宋体"/>
                <w:kern w:val="0"/>
                <w:szCs w:val="21"/>
                <w:highlight w:val="none"/>
              </w:rPr>
            </w:pPr>
          </w:p>
        </w:tc>
        <w:tc>
          <w:tcPr>
            <w:tcW w:w="1388" w:type="dxa"/>
            <w:vAlign w:val="center"/>
          </w:tcPr>
          <w:p w14:paraId="0625674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74598D2">
            <w:pPr>
              <w:autoSpaceDE w:val="0"/>
              <w:autoSpaceDN w:val="0"/>
              <w:adjustRightInd w:val="0"/>
              <w:snapToGrid w:val="0"/>
              <w:jc w:val="center"/>
              <w:rPr>
                <w:rFonts w:ascii="宋体" w:hAnsi="宋体"/>
                <w:kern w:val="0"/>
                <w:szCs w:val="21"/>
                <w:highlight w:val="none"/>
              </w:rPr>
            </w:pPr>
          </w:p>
        </w:tc>
      </w:tr>
      <w:tr w14:paraId="604D5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C3FCD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4387666">
            <w:pPr>
              <w:autoSpaceDE w:val="0"/>
              <w:autoSpaceDN w:val="0"/>
              <w:adjustRightInd w:val="0"/>
              <w:snapToGrid w:val="0"/>
              <w:jc w:val="center"/>
              <w:rPr>
                <w:rFonts w:ascii="宋体" w:hAnsi="宋体"/>
                <w:kern w:val="0"/>
                <w:szCs w:val="21"/>
                <w:highlight w:val="none"/>
              </w:rPr>
            </w:pPr>
          </w:p>
        </w:tc>
        <w:tc>
          <w:tcPr>
            <w:tcW w:w="1388" w:type="dxa"/>
            <w:vAlign w:val="center"/>
          </w:tcPr>
          <w:p w14:paraId="3B614172">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A3CA944">
            <w:pPr>
              <w:autoSpaceDE w:val="0"/>
              <w:autoSpaceDN w:val="0"/>
              <w:adjustRightInd w:val="0"/>
              <w:snapToGrid w:val="0"/>
              <w:jc w:val="center"/>
              <w:rPr>
                <w:rFonts w:ascii="宋体" w:hAnsi="宋体"/>
                <w:kern w:val="0"/>
                <w:szCs w:val="21"/>
                <w:highlight w:val="none"/>
              </w:rPr>
            </w:pPr>
          </w:p>
        </w:tc>
      </w:tr>
      <w:tr w14:paraId="432409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B5427A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8860BF6">
            <w:pPr>
              <w:autoSpaceDE w:val="0"/>
              <w:autoSpaceDN w:val="0"/>
              <w:adjustRightInd w:val="0"/>
              <w:snapToGrid w:val="0"/>
              <w:jc w:val="center"/>
              <w:rPr>
                <w:rFonts w:ascii="宋体" w:hAnsi="宋体"/>
                <w:kern w:val="0"/>
                <w:szCs w:val="21"/>
                <w:highlight w:val="none"/>
              </w:rPr>
            </w:pPr>
          </w:p>
        </w:tc>
        <w:tc>
          <w:tcPr>
            <w:tcW w:w="1388" w:type="dxa"/>
            <w:vAlign w:val="center"/>
          </w:tcPr>
          <w:p w14:paraId="4541AD2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17E12C0">
            <w:pPr>
              <w:autoSpaceDE w:val="0"/>
              <w:autoSpaceDN w:val="0"/>
              <w:adjustRightInd w:val="0"/>
              <w:snapToGrid w:val="0"/>
              <w:jc w:val="center"/>
              <w:rPr>
                <w:rFonts w:ascii="宋体" w:hAnsi="宋体"/>
                <w:kern w:val="0"/>
                <w:szCs w:val="21"/>
                <w:highlight w:val="none"/>
              </w:rPr>
            </w:pPr>
          </w:p>
        </w:tc>
      </w:tr>
      <w:tr w14:paraId="2D203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9B320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20B9F7C">
            <w:pPr>
              <w:autoSpaceDE w:val="0"/>
              <w:autoSpaceDN w:val="0"/>
              <w:adjustRightInd w:val="0"/>
              <w:snapToGrid w:val="0"/>
              <w:jc w:val="center"/>
              <w:rPr>
                <w:rFonts w:ascii="宋体" w:hAnsi="宋体"/>
                <w:kern w:val="0"/>
                <w:szCs w:val="21"/>
                <w:highlight w:val="none"/>
              </w:rPr>
            </w:pPr>
          </w:p>
        </w:tc>
        <w:tc>
          <w:tcPr>
            <w:tcW w:w="1388" w:type="dxa"/>
            <w:vAlign w:val="center"/>
          </w:tcPr>
          <w:p w14:paraId="015BD46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DAAF787">
            <w:pPr>
              <w:autoSpaceDE w:val="0"/>
              <w:autoSpaceDN w:val="0"/>
              <w:adjustRightInd w:val="0"/>
              <w:snapToGrid w:val="0"/>
              <w:jc w:val="center"/>
              <w:rPr>
                <w:rFonts w:ascii="宋体" w:hAnsi="宋体"/>
                <w:kern w:val="0"/>
                <w:szCs w:val="21"/>
                <w:highlight w:val="none"/>
              </w:rPr>
            </w:pPr>
          </w:p>
        </w:tc>
      </w:tr>
      <w:tr w14:paraId="56267C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CAF44E">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6AFF9A5">
            <w:pPr>
              <w:autoSpaceDE w:val="0"/>
              <w:autoSpaceDN w:val="0"/>
              <w:adjustRightInd w:val="0"/>
              <w:snapToGrid w:val="0"/>
              <w:jc w:val="center"/>
              <w:rPr>
                <w:rFonts w:ascii="宋体" w:hAnsi="宋体"/>
                <w:kern w:val="0"/>
                <w:szCs w:val="21"/>
                <w:highlight w:val="none"/>
              </w:rPr>
            </w:pPr>
          </w:p>
        </w:tc>
        <w:tc>
          <w:tcPr>
            <w:tcW w:w="1388" w:type="dxa"/>
            <w:vAlign w:val="center"/>
          </w:tcPr>
          <w:p w14:paraId="429374B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47750EC">
            <w:pPr>
              <w:autoSpaceDE w:val="0"/>
              <w:autoSpaceDN w:val="0"/>
              <w:adjustRightInd w:val="0"/>
              <w:snapToGrid w:val="0"/>
              <w:jc w:val="center"/>
              <w:rPr>
                <w:rFonts w:ascii="宋体" w:hAnsi="宋体"/>
                <w:kern w:val="0"/>
                <w:szCs w:val="21"/>
                <w:highlight w:val="none"/>
              </w:rPr>
            </w:pPr>
          </w:p>
        </w:tc>
      </w:tr>
      <w:tr w14:paraId="10D3B0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AB9D2">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BA2E852">
            <w:pPr>
              <w:autoSpaceDE w:val="0"/>
              <w:autoSpaceDN w:val="0"/>
              <w:adjustRightInd w:val="0"/>
              <w:snapToGrid w:val="0"/>
              <w:jc w:val="center"/>
              <w:rPr>
                <w:rFonts w:ascii="宋体" w:hAnsi="宋体"/>
                <w:kern w:val="0"/>
                <w:szCs w:val="21"/>
                <w:highlight w:val="none"/>
              </w:rPr>
            </w:pPr>
          </w:p>
        </w:tc>
        <w:tc>
          <w:tcPr>
            <w:tcW w:w="1388" w:type="dxa"/>
            <w:vAlign w:val="center"/>
          </w:tcPr>
          <w:p w14:paraId="2BA05EB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21A80C2">
            <w:pPr>
              <w:autoSpaceDE w:val="0"/>
              <w:autoSpaceDN w:val="0"/>
              <w:adjustRightInd w:val="0"/>
              <w:snapToGrid w:val="0"/>
              <w:jc w:val="center"/>
              <w:rPr>
                <w:rFonts w:ascii="宋体" w:hAnsi="宋体"/>
                <w:kern w:val="0"/>
                <w:szCs w:val="21"/>
                <w:highlight w:val="none"/>
              </w:rPr>
            </w:pPr>
          </w:p>
        </w:tc>
      </w:tr>
    </w:tbl>
    <w:p w14:paraId="2F3D28E9">
      <w:pPr>
        <w:spacing w:line="360" w:lineRule="auto"/>
        <w:rPr>
          <w:rFonts w:ascii="宋体" w:hAnsi="宋体"/>
          <w:highlight w:val="none"/>
        </w:rPr>
      </w:pPr>
      <w:bookmarkStart w:id="506" w:name="_Toc224103515"/>
    </w:p>
    <w:bookmarkEnd w:id="506"/>
    <w:p w14:paraId="3B8A2FCE">
      <w:pPr>
        <w:adjustRightInd w:val="0"/>
        <w:snapToGrid w:val="0"/>
        <w:spacing w:line="360" w:lineRule="auto"/>
        <w:rPr>
          <w:rFonts w:ascii="宋体" w:hAnsi="宋体"/>
          <w:highlight w:val="none"/>
        </w:rPr>
      </w:pPr>
    </w:p>
    <w:bookmarkEnd w:id="499"/>
    <w:bookmarkEnd w:id="500"/>
    <w:bookmarkEnd w:id="501"/>
    <w:bookmarkEnd w:id="502"/>
    <w:bookmarkEnd w:id="503"/>
    <w:p w14:paraId="112974F5">
      <w:pPr>
        <w:pStyle w:val="5"/>
        <w:spacing w:before="0" w:after="0" w:line="360" w:lineRule="auto"/>
        <w:jc w:val="center"/>
        <w:rPr>
          <w:rFonts w:ascii="宋体" w:hAnsi="宋体"/>
          <w:b w:val="0"/>
          <w:highlight w:val="none"/>
        </w:rPr>
      </w:pPr>
      <w:bookmarkStart w:id="507"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507"/>
    </w:p>
    <w:p w14:paraId="781A1E94">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14:paraId="0002CAC1">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14:paraId="1BB316D5">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14:paraId="0EDACE00">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4C2939FB">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0DDCF2EF">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14:paraId="13DC34A2">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477BC022">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14:paraId="0C035BEE">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14:paraId="7996BE9E">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56C4A496">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78A80312">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14:paraId="33C8A92E">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AA80D62">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14:paraId="65202460">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14:paraId="7290D3D0">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14:paraId="4473667D">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14:paraId="3D0C7747">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14:paraId="5AFDC28D">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14:paraId="6C06F98C">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14:paraId="3C28F4DC">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14:paraId="5658FC59">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9、我公司的投标文件符合第七章 技术标准和要求（如有）。</w:t>
      </w:r>
    </w:p>
    <w:p w14:paraId="0A073F6E">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14:paraId="7F389515">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14:paraId="525E1DC8">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504"/>
    <w:bookmarkEnd w:id="505"/>
    <w:p w14:paraId="25A84ABD">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D335FA7">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731B9011">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14:paraId="5203E4C7">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14:paraId="414F7A52">
      <w:pPr>
        <w:rPr>
          <w:highlight w:val="none"/>
        </w:rPr>
      </w:pPr>
      <w:r>
        <w:rPr>
          <w:highlight w:val="none"/>
        </w:rPr>
        <w:br w:type="page"/>
      </w:r>
    </w:p>
    <w:p w14:paraId="110A5888">
      <w:pPr>
        <w:pStyle w:val="5"/>
        <w:spacing w:before="0" w:line="360" w:lineRule="auto"/>
        <w:jc w:val="center"/>
        <w:rPr>
          <w:rFonts w:ascii="宋体" w:hAnsi="宋体"/>
          <w:b w:val="0"/>
          <w:highlight w:val="none"/>
        </w:rPr>
      </w:pPr>
      <w:bookmarkStart w:id="508"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508"/>
    </w:p>
    <w:bookmarkEnd w:id="401"/>
    <w:bookmarkEnd w:id="402"/>
    <w:bookmarkEnd w:id="403"/>
    <w:p w14:paraId="0E688757">
      <w:pPr>
        <w:rPr>
          <w:rFonts w:hint="eastAsia"/>
          <w:sz w:val="32"/>
          <w:szCs w:val="32"/>
          <w:highlight w:val="none"/>
          <w:lang w:val="en-US" w:eastAsia="zh-CN"/>
        </w:rPr>
      </w:pPr>
    </w:p>
    <w:p w14:paraId="7179ABED">
      <w:pPr>
        <w:pStyle w:val="31"/>
        <w:rPr>
          <w:rFonts w:hint="default"/>
          <w:sz w:val="32"/>
          <w:szCs w:val="32"/>
          <w:lang w:val="en-US" w:eastAsia="zh-CN"/>
        </w:rPr>
      </w:pPr>
    </w:p>
    <w:sectPr>
      <w:pgSz w:w="11906" w:h="16838"/>
      <w:pgMar w:top="1304" w:right="1134" w:bottom="1304" w:left="130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立源-孙蔚" w:date="2024-06-24T15:26:00Z" w:initials="">
    <w:p w14:paraId="4E2F89DD">
      <w:pPr>
        <w:pStyle w:val="16"/>
        <w:rPr>
          <w:rFonts w:hint="eastAsia" w:eastAsia="宋体"/>
          <w:lang w:eastAsia="zh-CN"/>
        </w:rPr>
      </w:pPr>
      <w:r>
        <w:rPr>
          <w:rFonts w:hint="eastAsia"/>
          <w:lang w:eastAsia="zh-CN"/>
        </w:rPr>
        <w:t>材料款和设备款是否包含在合同价格中？</w:t>
      </w:r>
    </w:p>
  </w:comment>
  <w:comment w:id="1" w:author="立源-孙蔚" w:date="2024-06-24T15:47:00Z" w:initials="">
    <w:p w14:paraId="27882392">
      <w:pPr>
        <w:pStyle w:val="16"/>
        <w:rPr>
          <w:rFonts w:hint="eastAsia" w:eastAsia="宋体"/>
          <w:lang w:eastAsia="zh-CN"/>
        </w:rPr>
      </w:pPr>
      <w:r>
        <w:rPr>
          <w:rFonts w:hint="eastAsia"/>
          <w:lang w:eastAsia="zh-CN"/>
        </w:rPr>
        <w:t>是否需要预留质保金？</w:t>
      </w:r>
    </w:p>
  </w:comment>
  <w:comment w:id="2" w:author="立源-孙蔚" w:date="2024-06-24T15:50:00Z" w:initials="">
    <w:p w14:paraId="481979AE">
      <w:pPr>
        <w:pStyle w:val="16"/>
        <w:rPr>
          <w:rFonts w:hint="default" w:eastAsia="宋体"/>
          <w:lang w:val="en-US" w:eastAsia="zh-CN"/>
        </w:rPr>
      </w:pPr>
      <w:r>
        <w:rPr>
          <w:rFonts w:hint="eastAsia"/>
          <w:lang w:eastAsia="zh-CN"/>
        </w:rPr>
        <w:t>违约金约定略高，考虑</w:t>
      </w:r>
      <w:r>
        <w:rPr>
          <w:rFonts w:hint="eastAsia"/>
          <w:lang w:val="en-US" w:eastAsia="zh-CN"/>
        </w:rPr>
        <w:t>0.03%</w:t>
      </w:r>
    </w:p>
  </w:comment>
  <w:comment w:id="3" w:author="立源-孙蔚" w:date="2024-06-24T15:52:00Z" w:initials="">
    <w:p w14:paraId="3EF5B033">
      <w:pPr>
        <w:pStyle w:val="16"/>
        <w:rPr>
          <w:rFonts w:hint="eastAsia" w:eastAsia="宋体"/>
          <w:lang w:eastAsia="zh-CN"/>
        </w:rPr>
      </w:pPr>
      <w:r>
        <w:rPr>
          <w:rFonts w:hint="eastAsia"/>
          <w:lang w:eastAsia="zh-CN"/>
        </w:rPr>
        <w:t>已支付的如安全文明施工费是否要求退还？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2F89DD" w15:done="0"/>
  <w15:commentEx w15:paraId="27882392" w15:done="0"/>
  <w15:commentEx w15:paraId="481979AE" w15:done="0"/>
  <w15:commentEx w15:paraId="3EF5B0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5A3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995D">
    <w:pPr>
      <w:pStyle w:val="29"/>
      <w:jc w:val="center"/>
    </w:pPr>
    <w:r>
      <w:fldChar w:fldCharType="begin"/>
    </w:r>
    <w:r>
      <w:instrText xml:space="preserve">PAGE   \* MERGEFORMAT</w:instrText>
    </w:r>
    <w:r>
      <w:fldChar w:fldCharType="separate"/>
    </w:r>
    <w:r>
      <w:rPr>
        <w:lang w:val="zh-CN"/>
      </w:rPr>
      <w:t>2</w:t>
    </w:r>
    <w:r>
      <w:fldChar w:fldCharType="end"/>
    </w:r>
  </w:p>
  <w:p w14:paraId="0EF17795">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D18E">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25673B">
      <w:pPr>
        <w:pStyle w:val="34"/>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5BF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15704"/>
    <w:multiLevelType w:val="singleLevel"/>
    <w:tmpl w:val="3F415704"/>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立源-孙蔚">
    <w15:presenceInfo w15:providerId="None" w15:userId="立源-孙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3712D21"/>
    <w:rsid w:val="043C1EA8"/>
    <w:rsid w:val="057364D8"/>
    <w:rsid w:val="067018B8"/>
    <w:rsid w:val="07146850"/>
    <w:rsid w:val="0747316B"/>
    <w:rsid w:val="08D852DC"/>
    <w:rsid w:val="0AC34A23"/>
    <w:rsid w:val="0B374AB7"/>
    <w:rsid w:val="0B8A12CF"/>
    <w:rsid w:val="0F3118B1"/>
    <w:rsid w:val="0FED2443"/>
    <w:rsid w:val="102C328E"/>
    <w:rsid w:val="10662E20"/>
    <w:rsid w:val="13CA799C"/>
    <w:rsid w:val="13DD62E6"/>
    <w:rsid w:val="15194865"/>
    <w:rsid w:val="155F0AA1"/>
    <w:rsid w:val="169224FD"/>
    <w:rsid w:val="17072F54"/>
    <w:rsid w:val="185276F3"/>
    <w:rsid w:val="1BDB12EA"/>
    <w:rsid w:val="1D9E2B66"/>
    <w:rsid w:val="1EB93EB5"/>
    <w:rsid w:val="1F996596"/>
    <w:rsid w:val="202820DF"/>
    <w:rsid w:val="210618F0"/>
    <w:rsid w:val="21270CC2"/>
    <w:rsid w:val="24266EC9"/>
    <w:rsid w:val="248F3D0B"/>
    <w:rsid w:val="26D36140"/>
    <w:rsid w:val="28AF528E"/>
    <w:rsid w:val="2B24412B"/>
    <w:rsid w:val="2D316018"/>
    <w:rsid w:val="2D397AFE"/>
    <w:rsid w:val="2EBF07A0"/>
    <w:rsid w:val="2F3F0791"/>
    <w:rsid w:val="2FE62A0A"/>
    <w:rsid w:val="301601A6"/>
    <w:rsid w:val="30BF31A0"/>
    <w:rsid w:val="316600C5"/>
    <w:rsid w:val="3300448E"/>
    <w:rsid w:val="33CB0DB0"/>
    <w:rsid w:val="342428E1"/>
    <w:rsid w:val="344A7EB3"/>
    <w:rsid w:val="3D3F248B"/>
    <w:rsid w:val="3E485474"/>
    <w:rsid w:val="40852FC7"/>
    <w:rsid w:val="424A2B87"/>
    <w:rsid w:val="42CE3A4F"/>
    <w:rsid w:val="435662AB"/>
    <w:rsid w:val="43BE2B8A"/>
    <w:rsid w:val="46277859"/>
    <w:rsid w:val="48093C71"/>
    <w:rsid w:val="49CE7107"/>
    <w:rsid w:val="4B3F6D5D"/>
    <w:rsid w:val="4D920C64"/>
    <w:rsid w:val="4F305D57"/>
    <w:rsid w:val="4F686B2E"/>
    <w:rsid w:val="4F79447E"/>
    <w:rsid w:val="522A6FE1"/>
    <w:rsid w:val="53394028"/>
    <w:rsid w:val="53B03160"/>
    <w:rsid w:val="546F7495"/>
    <w:rsid w:val="566209E7"/>
    <w:rsid w:val="56CC3E96"/>
    <w:rsid w:val="570263B4"/>
    <w:rsid w:val="591F4667"/>
    <w:rsid w:val="59952F94"/>
    <w:rsid w:val="5CBC4428"/>
    <w:rsid w:val="5F370970"/>
    <w:rsid w:val="5F37602A"/>
    <w:rsid w:val="618D4BBE"/>
    <w:rsid w:val="62C91582"/>
    <w:rsid w:val="63091321"/>
    <w:rsid w:val="6534707B"/>
    <w:rsid w:val="671764AB"/>
    <w:rsid w:val="677F7E04"/>
    <w:rsid w:val="68233E92"/>
    <w:rsid w:val="68BD30E3"/>
    <w:rsid w:val="6A9774F1"/>
    <w:rsid w:val="6B9D26D7"/>
    <w:rsid w:val="6BA64352"/>
    <w:rsid w:val="6D6C1709"/>
    <w:rsid w:val="6F00293A"/>
    <w:rsid w:val="6F0D49D1"/>
    <w:rsid w:val="760A6969"/>
    <w:rsid w:val="78BB630B"/>
    <w:rsid w:val="7A4160FC"/>
    <w:rsid w:val="7AFE0EDA"/>
    <w:rsid w:val="7D271CAE"/>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215"/>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6"/>
    <w:next w:val="16"/>
    <w:link w:val="264"/>
    <w:autoRedefine/>
    <w:qFormat/>
    <w:uiPriority w:val="0"/>
    <w:rPr>
      <w:b/>
      <w:bCs/>
    </w:rPr>
  </w:style>
  <w:style w:type="paragraph" w:styleId="45">
    <w:name w:val="Body Text First Indent"/>
    <w:basedOn w:val="2"/>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0"/>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2"/>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character" w:customStyle="1" w:styleId="316">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84</Pages>
  <Words>39706</Words>
  <Characters>42255</Characters>
  <Paragraphs>4432</Paragraphs>
  <TotalTime>62</TotalTime>
  <ScaleCrop>false</ScaleCrop>
  <LinksUpToDate>false</LinksUpToDate>
  <CharactersWithSpaces>45091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2024-07-11T08:26:50Z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E6374290250847599A73504CE915D5AE_13</vt:lpwstr>
  </property>
</Properties>
</file>